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Employee Attrition Analysis</w:t>
      </w:r>
    </w:p>
    <w:p>
      <w:pPr>
        <w:spacing w:after="400"/>
        <w:jc w:val="center"/>
      </w:pPr>
      <w:r>
        <w:t xml:space="preserve">An End-to-End HR Analytics Project</w:t>
      </w:r>
      <w:r>
        <w:rPr>
          <w:i/>
          <w:iCs/>
          <w:color w:val="555555"/>
          <w:sz w:val="28"/>
          <w:szCs w:val="28"/>
        </w:rPr>
        <w:t xml:space="preserve">An End-to-End HR Analytics Project</w:t>
      </w:r>
    </w:p>
    <w:p>
      <w:pPr>
        <w:spacing w:after="800"/>
        <w:jc w:val="center"/>
      </w:pPr>
      <w:r>
        <w:rPr>
          <w:color w:val="777777"/>
          <w:sz w:val="22"/>
          <w:szCs w:val="22"/>
        </w:rPr>
        <w:t xml:space="preserve">IBM HR Analytics Dataset  |  1,470 Employees  |  35 Original Features</w:t>
      </w:r>
    </w:p>
    <w:p>
      <w:r>
        <w:br w:type="page"/>
      </w:r>
    </w:p>
    <w:p>
      <w:pPr>
        <w:pStyle w:val="Heading1"/>
        <w:spacing w:after="200" w:before="400"/>
      </w:pPr>
      <w:r>
        <w:t xml:space="preserve">1. Introduction</w:t>
      </w:r>
    </w:p>
    <w:p>
      <w:pPr>
        <w:spacing w:after="150"/>
      </w:pPr>
      <w:r>
        <w:t xml:space="preserve">Employee attrition — the voluntary or involuntary departure of employees — is one of the most expensive and disruptive challenges an organization can face. Replacing a single employee typically costs between 50% and 200% of their annual salary once recruiting, onboarding, lost productivity, and knowledge transfer are accounted for.</w:t>
      </w:r>
    </w:p>
    <w:p>
      <w:pPr>
        <w:spacing w:after="150"/>
      </w:pPr>
      <w:r>
        <w:t xml:space="preserve">This project analyzes an IBM-published HR analytics dataset of 1,470 employees to identify which factors are statistically associated with attrition, quantify their effect, and translate the findings into concrete, evidence-based HR recommendations.</w:t>
      </w:r>
    </w:p>
    <w:p>
      <w:pPr>
        <w:pStyle w:val="Heading1"/>
        <w:spacing w:after="200" w:before="400"/>
      </w:pPr>
      <w:r>
        <w:t xml:space="preserve">2. Problem Statement</w:t>
      </w:r>
    </w:p>
    <w:p>
      <w:pPr>
        <w:spacing w:after="150"/>
      </w:pPr>
      <w:r>
        <w:t xml:space="preserve">The organization does not currently have a data-driven understanding of why employees leave. HR decisions around compensation, workload policy, and retention programs are made without quantitative evidence of which factors actually drive attrition versus which are commonly assumed but unsupported.</w:t>
      </w:r>
    </w:p>
    <w:p>
      <w:pPr>
        <w:pStyle w:val="Heading1"/>
        <w:spacing w:after="200" w:before="400"/>
      </w:pPr>
      <w:r>
        <w:t xml:space="preserve">3. Objectives</w:t>
      </w:r>
    </w:p>
    <w:p>
      <w:pPr>
        <w:pStyle w:val="ListParagraph"/>
        <w:numPr>
          <w:ilvl w:val="0"/>
          <w:numId w:val="1"/>
        </w:numPr>
        <w:spacing w:after="80"/>
      </w:pPr>
      <w:r>
        <w:t xml:space="preserve">Perform a complete, professional data cleaning and quality audit of the HR dataset.</w:t>
      </w:r>
    </w:p>
    <w:p>
      <w:pPr>
        <w:pStyle w:val="ListParagraph"/>
        <w:numPr>
          <w:ilvl w:val="0"/>
          <w:numId w:val="1"/>
        </w:numPr>
        <w:spacing w:after="80"/>
      </w:pPr>
      <w:r>
        <w:t xml:space="preserve">Engineer business-relevant features (age groups, salary bands, tenure groups, etc.).</w:t>
      </w:r>
    </w:p>
    <w:p>
      <w:pPr>
        <w:pStyle w:val="ListParagraph"/>
        <w:numPr>
          <w:ilvl w:val="0"/>
          <w:numId w:val="1"/>
        </w:numPr>
        <w:spacing w:after="80"/>
      </w:pPr>
      <w:r>
        <w:t xml:space="preserve">Conduct univariate, bivariate, multivariate, and correlation analysis to explore attrition patterns.</w:t>
      </w:r>
    </w:p>
    <w:p>
      <w:pPr>
        <w:pStyle w:val="ListParagraph"/>
        <w:numPr>
          <w:ilvl w:val="0"/>
          <w:numId w:val="1"/>
        </w:numPr>
        <w:spacing w:after="80"/>
      </w:pPr>
      <w:r>
        <w:t xml:space="preserve">Calculate core HR KPIs and segment-level attrition rates.</w:t>
      </w:r>
    </w:p>
    <w:p>
      <w:pPr>
        <w:pStyle w:val="ListParagraph"/>
        <w:numPr>
          <w:ilvl w:val="0"/>
          <w:numId w:val="1"/>
        </w:numPr>
        <w:spacing w:after="80"/>
      </w:pPr>
      <w:r>
        <w:t xml:space="preserve">Statistically validate (not just visually suggest) which factors are true attrition drivers.</w:t>
      </w:r>
    </w:p>
    <w:p>
      <w:pPr>
        <w:pStyle w:val="ListParagraph"/>
        <w:numPr>
          <w:ilvl w:val="0"/>
          <w:numId w:val="1"/>
        </w:numPr>
        <w:spacing w:after="80"/>
      </w:pPr>
      <w:r>
        <w:t xml:space="preserve">Deliver actionable, prioritized business recommendations.</w:t>
      </w:r>
    </w:p>
    <w:p>
      <w:pPr>
        <w:pStyle w:val="ListParagraph"/>
        <w:numPr>
          <w:ilvl w:val="0"/>
          <w:numId w:val="1"/>
        </w:numPr>
        <w:spacing w:after="80"/>
      </w:pPr>
      <w:r>
        <w:t xml:space="preserve">Provide a Power BI dashboard design so findings can be operationalized by HR.</w:t>
      </w:r>
    </w:p>
    <w:p>
      <w:pPr>
        <w:pStyle w:val="Heading1"/>
        <w:spacing w:after="200" w:before="400"/>
      </w:pPr>
      <w:r>
        <w:t xml:space="preserve">4. Dataset Description</w:t>
      </w:r>
    </w:p>
    <w:p>
      <w:pPr>
        <w:spacing w:after="150"/>
      </w:pPr>
      <w:r>
        <w:t xml:space="preserve">The dataset contains 1470 employee records across 35 original attributes, including demographic information (Age, Gender, Marital Status), job attributes (Department, Job Role, Job Level), compensation (Monthly Income, Daily Rate), satisfaction scores (Job Satisfaction, Environment Satisfaction, Work-Life Balance), and career history (Total Working Years, Years at Company, Years Since Last Promotion). The target variable, Attrition, is a binary Yes/No flag.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W w:type="dxa" w:w="4000"/>
            <w:shd w:fill="1F4E79" w:val="clear"/>
          </w:tcPr>
          <w:p>
            <w:r>
              <w:rPr>
                <w:b/>
                <w:bCs/>
                <w:color w:val="FFFFFF"/>
                <w:sz w:val="20"/>
                <w:szCs w:val="20"/>
              </w:rPr>
              <w:t xml:space="preserve">Property</w:t>
            </w:r>
          </w:p>
        </w:tc>
        <w:tc>
          <w:tcPr>
            <w:tcW w:type="dxa" w:w="5000"/>
            <w:shd w:fill="1F4E79" w:val="clear"/>
          </w:tcPr>
          <w:p>
            <w:r>
              <w:rPr>
                <w:b/>
                <w:bCs/>
                <w:color w:val="FFFFFF"/>
                <w:sz w:val="20"/>
                <w:szCs w:val="20"/>
              </w:rPr>
              <w:t xml:space="preserve">Value</w:t>
            </w:r>
          </w:p>
        </w:tc>
      </w:tr>
      <w:tr>
        <w:tc>
          <w:tcPr>
            <w:tcW w:type="dxa" w:w="4000"/>
          </w:tcPr>
          <w:p>
            <w:r>
              <w:rPr>
                <w:sz w:val="20"/>
                <w:szCs w:val="20"/>
              </w:rPr>
              <w:t xml:space="preserve">Total Records</w:t>
            </w:r>
          </w:p>
        </w:tc>
        <w:tc>
          <w:tcPr>
            <w:tcW w:type="dxa" w:w="5000"/>
          </w:tcPr>
          <w:p>
            <w:r>
              <w:rPr>
                <w:sz w:val="20"/>
                <w:szCs w:val="20"/>
              </w:rPr>
              <w:t xml:space="preserve">1470</w:t>
            </w:r>
          </w:p>
        </w:tc>
      </w:tr>
      <w:tr>
        <w:tc>
          <w:tcPr>
            <w:tcW w:type="dxa" w:w="4000"/>
          </w:tcPr>
          <w:p>
            <w:r>
              <w:rPr>
                <w:sz w:val="20"/>
                <w:szCs w:val="20"/>
              </w:rPr>
              <w:t xml:space="preserve">Total Original Columns</w:t>
            </w:r>
          </w:p>
        </w:tc>
        <w:tc>
          <w:tcPr>
            <w:tcW w:type="dxa" w:w="5000"/>
          </w:tcPr>
          <w:p>
            <w:r>
              <w:rPr>
                <w:sz w:val="20"/>
                <w:szCs w:val="20"/>
              </w:rPr>
              <w:t xml:space="preserve">35</w:t>
            </w:r>
          </w:p>
        </w:tc>
      </w:tr>
      <w:tr>
        <w:tc>
          <w:tcPr>
            <w:tcW w:type="dxa" w:w="4000"/>
          </w:tcPr>
          <w:p>
            <w:r>
              <w:rPr>
                <w:sz w:val="20"/>
                <w:szCs w:val="20"/>
              </w:rPr>
              <w:t xml:space="preserve">Missing Values</w:t>
            </w:r>
          </w:p>
        </w:tc>
        <w:tc>
          <w:tcPr>
            <w:tcW w:type="dxa" w:w="5000"/>
          </w:tcPr>
          <w:p>
            <w:r>
              <w:rPr>
                <w:sz w:val="20"/>
                <w:szCs w:val="20"/>
              </w:rPr>
              <w:t xml:space="preserve">0</w:t>
            </w:r>
          </w:p>
        </w:tc>
      </w:tr>
      <w:tr>
        <w:tc>
          <w:tcPr>
            <w:tcW w:type="dxa" w:w="4000"/>
          </w:tcPr>
          <w:p>
            <w:r>
              <w:rPr>
                <w:sz w:val="20"/>
                <w:szCs w:val="20"/>
              </w:rPr>
              <w:t xml:space="preserve">Duplicate Rows</w:t>
            </w:r>
          </w:p>
        </w:tc>
        <w:tc>
          <w:tcPr>
            <w:tcW w:type="dxa" w:w="5000"/>
          </w:tcPr>
          <w:p>
            <w:r>
              <w:rPr>
                <w:sz w:val="20"/>
                <w:szCs w:val="20"/>
              </w:rPr>
              <w:t xml:space="preserve">0</w:t>
            </w:r>
          </w:p>
        </w:tc>
      </w:tr>
      <w:tr>
        <w:tc>
          <w:tcPr>
            <w:tcW w:type="dxa" w:w="4000"/>
          </w:tcPr>
          <w:p>
            <w:r>
              <w:rPr>
                <w:sz w:val="20"/>
                <w:szCs w:val="20"/>
              </w:rPr>
              <w:t xml:space="preserve">Target Variable</w:t>
            </w:r>
          </w:p>
        </w:tc>
        <w:tc>
          <w:tcPr>
            <w:tcW w:type="dxa" w:w="5000"/>
          </w:tcPr>
          <w:p>
            <w:r>
              <w:rPr>
                <w:sz w:val="20"/>
                <w:szCs w:val="20"/>
              </w:rPr>
              <w:t xml:space="preserve">Attrition (Yes / No)</w:t>
            </w:r>
          </w:p>
        </w:tc>
      </w:tr>
      <w:tr>
        <w:tc>
          <w:tcPr>
            <w:tcW w:type="dxa" w:w="4000"/>
          </w:tcPr>
          <w:p>
            <w:r>
              <w:rPr>
                <w:sz w:val="20"/>
                <w:szCs w:val="20"/>
              </w:rPr>
              <w:t xml:space="preserve">Class Balance</w:t>
            </w:r>
          </w:p>
        </w:tc>
        <w:tc>
          <w:tcPr>
            <w:tcW w:type="dxa" w:w="5000"/>
          </w:tcPr>
          <w:p>
            <w:r>
              <w:rPr>
                <w:sz w:val="20"/>
                <w:szCs w:val="20"/>
              </w:rPr>
              <w:t xml:space="preserve">237 Left (Yes) / 1233 Stayed (No) — 16.12% attrition rate</w:t>
            </w:r>
          </w:p>
        </w:tc>
      </w:tr>
    </w:tbl>
    <w:p>
      <w:pPr>
        <w:pStyle w:val="Heading1"/>
        <w:spacing w:after="200" w:before="400"/>
      </w:pPr>
      <w:r>
        <w:t xml:space="preserve">5. Data Cleaning Summary</w:t>
      </w:r>
    </w:p>
    <w:p>
      <w:pPr>
        <w:spacing w:after="150"/>
      </w:pPr>
      <w:r>
        <w:t xml:space="preserve">A full audit was performed covering missing values, duplicate rows/columns, incorrect data types, whitespace/capitalization issues, invalid values, constant columns, and outliers.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00"/>
      </w:tblGrid>
      <w:tr>
        <w:tc>
          <w:tcPr>
            <w:tcW w:type="dxa" w:w="2600"/>
            <w:shd w:fill="1F4E79" w:val="clear"/>
          </w:tcPr>
          <w:p>
            <w:r>
              <w:rPr>
                <w:b/>
                <w:bCs/>
                <w:color w:val="FFFFFF"/>
                <w:sz w:val="20"/>
                <w:szCs w:val="20"/>
              </w:rPr>
              <w:t xml:space="preserve">Check</w:t>
            </w:r>
          </w:p>
        </w:tc>
        <w:tc>
          <w:tcPr>
            <w:tcW w:type="dxa" w:w="3600"/>
            <w:shd w:fill="1F4E79" w:val="clear"/>
          </w:tcPr>
          <w:p>
            <w:r>
              <w:rPr>
                <w:b/>
                <w:bCs/>
                <w:color w:val="FFFFFF"/>
                <w:sz w:val="20"/>
                <w:szCs w:val="20"/>
              </w:rPr>
              <w:t xml:space="preserve">Result</w:t>
            </w:r>
          </w:p>
        </w:tc>
        <w:tc>
          <w:tcPr>
            <w:tcW w:type="dxa" w:w="2800"/>
            <w:shd w:fill="1F4E79" w:val="clear"/>
          </w:tcPr>
          <w:p>
            <w:r>
              <w:rPr>
                <w:b/>
                <w:bCs/>
                <w:color w:val="FFFFFF"/>
                <w:sz w:val="20"/>
                <w:szCs w:val="20"/>
              </w:rPr>
              <w:t xml:space="preserve">Action Taken</w:t>
            </w:r>
          </w:p>
        </w:tc>
      </w:tr>
      <w:tr>
        <w:tc>
          <w:tcPr>
            <w:tcW w:type="dxa" w:w="2600"/>
          </w:tcPr>
          <w:p>
            <w:r>
              <w:rPr>
                <w:sz w:val="20"/>
                <w:szCs w:val="20"/>
              </w:rPr>
              <w:t xml:space="preserve">Missing values</w:t>
            </w:r>
          </w:p>
        </w:tc>
        <w:tc>
          <w:tcPr>
            <w:tcW w:type="dxa" w:w="3600"/>
          </w:tcPr>
          <w:p>
            <w:r>
              <w:rPr>
                <w:sz w:val="20"/>
                <w:szCs w:val="20"/>
              </w:rPr>
              <w:t xml:space="preserve">None found</w:t>
            </w:r>
          </w:p>
        </w:tc>
        <w:tc>
          <w:tcPr>
            <w:tcW w:type="dxa" w:w="2800"/>
          </w:tcPr>
          <w:p>
            <w:r>
              <w:rPr>
                <w:sz w:val="20"/>
                <w:szCs w:val="20"/>
              </w:rPr>
              <w:t xml:space="preserve">No imputation required</w:t>
            </w:r>
          </w:p>
        </w:tc>
      </w:tr>
      <w:tr>
        <w:tc>
          <w:tcPr>
            <w:tcW w:type="dxa" w:w="2600"/>
          </w:tcPr>
          <w:p>
            <w:r>
              <w:rPr>
                <w:sz w:val="20"/>
                <w:szCs w:val="20"/>
              </w:rPr>
              <w:t xml:space="preserve">Duplicate rows / IDs</w:t>
            </w:r>
          </w:p>
        </w:tc>
        <w:tc>
          <w:tcPr>
            <w:tcW w:type="dxa" w:w="3600"/>
          </w:tcPr>
          <w:p>
            <w:r>
              <w:rPr>
                <w:sz w:val="20"/>
                <w:szCs w:val="20"/>
              </w:rPr>
              <w:t xml:space="preserve">None found</w:t>
            </w:r>
          </w:p>
        </w:tc>
        <w:tc>
          <w:tcPr>
            <w:tcW w:type="dxa" w:w="2800"/>
          </w:tcPr>
          <w:p>
            <w:r>
              <w:rPr>
                <w:sz w:val="20"/>
                <w:szCs w:val="20"/>
              </w:rPr>
              <w:t xml:space="preserve">No removal required</w:t>
            </w:r>
          </w:p>
        </w:tc>
      </w:tr>
      <w:tr>
        <w:tc>
          <w:tcPr>
            <w:tcW w:type="dxa" w:w="2600"/>
          </w:tcPr>
          <w:p>
            <w:r>
              <w:rPr>
                <w:sz w:val="20"/>
                <w:szCs w:val="20"/>
              </w:rPr>
              <w:t xml:space="preserve">Constant columns</w:t>
            </w:r>
          </w:p>
        </w:tc>
        <w:tc>
          <w:tcPr>
            <w:tcW w:type="dxa" w:w="3600"/>
          </w:tcPr>
          <w:p>
            <w:r>
              <w:rPr>
                <w:sz w:val="20"/>
                <w:szCs w:val="20"/>
              </w:rPr>
              <w:t xml:space="preserve">3 found: EmployeeCount, Over18, StandardHours</w:t>
            </w:r>
          </w:p>
        </w:tc>
        <w:tc>
          <w:tcPr>
            <w:tcW w:type="dxa" w:w="2800"/>
          </w:tcPr>
          <w:p>
            <w:r>
              <w:rPr>
                <w:sz w:val="20"/>
                <w:szCs w:val="20"/>
              </w:rPr>
              <w:t xml:space="preserve">Dropped (zero variance, no analytical value)</w:t>
            </w:r>
          </w:p>
        </w:tc>
      </w:tr>
      <w:tr>
        <w:tc>
          <w:tcPr>
            <w:tcW w:type="dxa" w:w="2600"/>
          </w:tcPr>
          <w:p>
            <w:r>
              <w:rPr>
                <w:sz w:val="20"/>
                <w:szCs w:val="20"/>
              </w:rPr>
              <w:t xml:space="preserve">Whitespace / casing</w:t>
            </w:r>
          </w:p>
        </w:tc>
        <w:tc>
          <w:tcPr>
            <w:tcW w:type="dxa" w:w="3600"/>
          </w:tcPr>
          <w:p>
            <w:r>
              <w:rPr>
                <w:sz w:val="20"/>
                <w:szCs w:val="20"/>
              </w:rPr>
              <w:t xml:space="preserve">None found</w:t>
            </w:r>
          </w:p>
        </w:tc>
        <w:tc>
          <w:tcPr>
            <w:tcW w:type="dxa" w:w="2800"/>
          </w:tcPr>
          <w:p>
            <w:r>
              <w:rPr>
                <w:sz w:val="20"/>
                <w:szCs w:val="20"/>
              </w:rPr>
              <w:t xml:space="preserve">No cleaning required</w:t>
            </w:r>
          </w:p>
        </w:tc>
      </w:tr>
      <w:tr>
        <w:tc>
          <w:tcPr>
            <w:tcW w:type="dxa" w:w="2600"/>
          </w:tcPr>
          <w:p>
            <w:r>
              <w:rPr>
                <w:sz w:val="20"/>
                <w:szCs w:val="20"/>
              </w:rPr>
              <w:t xml:space="preserve">Invalid value ranges</w:t>
            </w:r>
          </w:p>
        </w:tc>
        <w:tc>
          <w:tcPr>
            <w:tcW w:type="dxa" w:w="3600"/>
          </w:tcPr>
          <w:p>
            <w:r>
              <w:rPr>
                <w:sz w:val="20"/>
                <w:szCs w:val="20"/>
              </w:rPr>
              <w:t xml:space="preserve">None found</w:t>
            </w:r>
          </w:p>
        </w:tc>
        <w:tc>
          <w:tcPr>
            <w:tcW w:type="dxa" w:w="2800"/>
          </w:tcPr>
          <w:p>
            <w:r>
              <w:rPr>
                <w:sz w:val="20"/>
                <w:szCs w:val="20"/>
              </w:rPr>
              <w:t xml:space="preserve">No filtering required</w:t>
            </w:r>
          </w:p>
        </w:tc>
      </w:tr>
      <w:tr>
        <w:tc>
          <w:tcPr>
            <w:tcW w:type="dxa" w:w="2600"/>
          </w:tcPr>
          <w:p>
            <w:r>
              <w:rPr>
                <w:sz w:val="20"/>
                <w:szCs w:val="20"/>
              </w:rPr>
              <w:t xml:space="preserve">Outliers (IQR method)</w:t>
            </w:r>
          </w:p>
        </w:tc>
        <w:tc>
          <w:tcPr>
            <w:tcW w:type="dxa" w:w="3600"/>
          </w:tcPr>
          <w:p>
            <w:r>
              <w:rPr>
                <w:sz w:val="20"/>
                <w:szCs w:val="20"/>
              </w:rPr>
              <w:t xml:space="preserve">Present in Income, Tenure, Promotion-gap fields (7-16%)</w:t>
            </w:r>
          </w:p>
        </w:tc>
        <w:tc>
          <w:tcPr>
            <w:tcW w:type="dxa" w:w="2800"/>
          </w:tcPr>
          <w:p>
            <w:r>
              <w:rPr>
                <w:sz w:val="20"/>
                <w:szCs w:val="20"/>
              </w:rPr>
              <w:t xml:space="preserve">Retained — legitimate business variation, not errors; robust statistics used</w:t>
            </w:r>
          </w:p>
        </w:tc>
      </w:tr>
    </w:tbl>
    <w:p>
      <w:pPr>
        <w:spacing w:after="150"/>
      </w:pPr>
      <w:r>
        <w:t xml:space="preserve">Final cleaned dataset: 1,470 rows × 32 columns.</w:t>
      </w:r>
    </w:p>
    <w:p>
      <w:pPr>
        <w:pStyle w:val="Heading1"/>
        <w:spacing w:after="200" w:before="400"/>
      </w:pPr>
      <w:r>
        <w:t xml:space="preserve">6. Feature Engineering</w:t>
      </w:r>
    </w:p>
    <w:p>
      <w:pPr>
        <w:spacing w:after="150"/>
      </w:pPr>
      <w:r>
        <w:t xml:space="preserve">Six new business-oriented features were engineered to support segment-level analysis and dashboard design:</w:t>
      </w:r>
    </w:p>
    <w:p>
      <w:pPr>
        <w:pStyle w:val="ListParagraph"/>
        <w:numPr>
          <w:ilvl w:val="0"/>
          <w:numId w:val="1"/>
        </w:numPr>
        <w:spacing w:after="80"/>
      </w:pPr>
      <w:r>
        <w:t xml:space="preserve">AgeGroup — 18-25, 26-35, 36-45, 46-55, 56-60</w:t>
      </w:r>
    </w:p>
    <w:p>
      <w:pPr>
        <w:pStyle w:val="ListParagraph"/>
        <w:numPr>
          <w:ilvl w:val="0"/>
          <w:numId w:val="1"/>
        </w:numPr>
        <w:spacing w:after="80"/>
      </w:pPr>
      <w:r>
        <w:t xml:space="preserve">SalaryBand — Low / Medium / High / Very High (quartile-based, relative pay position)</w:t>
      </w:r>
    </w:p>
    <w:p>
      <w:pPr>
        <w:pStyle w:val="ListParagraph"/>
        <w:numPr>
          <w:ilvl w:val="0"/>
          <w:numId w:val="1"/>
        </w:numPr>
        <w:spacing w:after="80"/>
      </w:pPr>
      <w:r>
        <w:t xml:space="preserve">ExperienceGroup — 0-2, 3-5, 6-10, 11-20, 20+ years</w:t>
      </w:r>
    </w:p>
    <w:p>
      <w:pPr>
        <w:pStyle w:val="ListParagraph"/>
        <w:numPr>
          <w:ilvl w:val="0"/>
          <w:numId w:val="1"/>
        </w:numPr>
        <w:spacing w:after="80"/>
      </w:pPr>
      <w:r>
        <w:t xml:space="preserve">PromotionGroup — Recent (0-1y), 1-3y, 4-6y, 7y+</w:t>
      </w:r>
    </w:p>
    <w:p>
      <w:pPr>
        <w:pStyle w:val="ListParagraph"/>
        <w:numPr>
          <w:ilvl w:val="0"/>
          <w:numId w:val="1"/>
        </w:numPr>
        <w:spacing w:after="80"/>
      </w:pPr>
      <w:r>
        <w:t xml:space="preserve">IncomeCategory — Low/Mid/High/Very High (fixed absolute thresholds)</w:t>
      </w:r>
    </w:p>
    <w:p>
      <w:pPr>
        <w:pStyle w:val="ListParagraph"/>
        <w:numPr>
          <w:ilvl w:val="0"/>
          <w:numId w:val="1"/>
        </w:numPr>
        <w:spacing w:after="80"/>
      </w:pPr>
      <w:r>
        <w:t xml:space="preserve">TenureGroup — New, Early, Established, Veteran</w:t>
      </w:r>
    </w:p>
    <w:p>
      <w:pPr>
        <w:pStyle w:val="Heading1"/>
        <w:spacing w:after="200" w:before="400"/>
      </w:pPr>
      <w:r>
        <w:t xml:space="preserve">7. Exploratory Data Analysis — Key Findings</w:t>
      </w:r>
    </w:p>
    <w:p>
      <w:pPr>
        <w:spacing w:after="150"/>
      </w:pPr>
      <w:r>
        <w:t xml:space="preserve">A complete univariate, bivariate, multivariate, and correlation analysis was performed (21 charts total — see the accompanying Jupyter Notebook for the full visual analysis). Key findings:</w:t>
      </w:r>
    </w:p>
    <w:p>
      <w:pPr>
        <w:pStyle w:val="ListParagraph"/>
        <w:numPr>
          <w:ilvl w:val="0"/>
          <w:numId w:val="1"/>
        </w:numPr>
        <w:spacing w:after="80"/>
      </w:pPr>
      <w:r>
        <w:t xml:space="preserve">Attrition is imbalanced: 16.12% of employees left (237 of 1470).</w:t>
      </w:r>
    </w:p>
    <w:p>
      <w:pPr>
        <w:pStyle w:val="ListParagraph"/>
        <w:numPr>
          <w:ilvl w:val="0"/>
          <w:numId w:val="1"/>
        </w:numPr>
        <w:spacing w:after="80"/>
      </w:pPr>
      <w:r>
        <w:t xml:space="preserve">The workforce skews young/mid-career (avg age 36.9), and compensation is right-skewed (median well below mean).</w:t>
      </w:r>
    </w:p>
    <w:p>
      <w:pPr>
        <w:pStyle w:val="ListParagraph"/>
        <w:numPr>
          <w:ilvl w:val="0"/>
          <w:numId w:val="1"/>
        </w:numPr>
        <w:spacing w:after="80"/>
      </w:pPr>
      <w:r>
        <w:t xml:space="preserve">OverTime shows the strongest bivariate relationship with attrition: 30.53% (OverTime=Yes) vs 10.44% (OverTime=No).</w:t>
      </w:r>
    </w:p>
    <w:p>
      <w:pPr>
        <w:pStyle w:val="ListParagraph"/>
        <w:numPr>
          <w:ilvl w:val="0"/>
          <w:numId w:val="1"/>
        </w:numPr>
        <w:spacing w:after="80"/>
      </w:pPr>
      <w:r>
        <w:t xml:space="preserve">Frequent travelers leave at 24.91% vs 8% for non-travelers.</w:t>
      </w:r>
    </w:p>
    <w:p>
      <w:pPr>
        <w:pStyle w:val="ListParagraph"/>
        <w:numPr>
          <w:ilvl w:val="0"/>
          <w:numId w:val="1"/>
        </w:numPr>
        <w:spacing w:after="80"/>
      </w:pPr>
      <w:r>
        <w:t xml:space="preserve">Sales Representatives have the highest job-role attrition at 39.76%; Research Director is the lowest at 2.5%.</w:t>
      </w:r>
    </w:p>
    <w:p>
      <w:pPr>
        <w:pStyle w:val="ListParagraph"/>
        <w:numPr>
          <w:ilvl w:val="0"/>
          <w:numId w:val="1"/>
        </w:numPr>
        <w:spacing w:after="80"/>
      </w:pPr>
      <w:r>
        <w:t xml:space="preserve">JobLevel and MonthlyIncome are almost perfectly correlated (r=0.95), indicating redundancy for future modeling.</w:t>
      </w:r>
    </w:p>
    <w:p>
      <w:pPr>
        <w:pStyle w:val="ListParagraph"/>
        <w:numPr>
          <w:ilvl w:val="0"/>
          <w:numId w:val="1"/>
        </w:numPr>
        <w:spacing w:after="80"/>
      </w:pPr>
      <w:r>
        <w:t xml:space="preserve">Attrition clusters specifically among young, low-income, low-job-level employees (multivariate scatterplots) — not spread evenly across the workforce.</w:t>
      </w:r>
    </w:p>
    <w:p>
      <w:pPr>
        <w:pStyle w:val="Heading1"/>
        <w:spacing w:after="200" w:before="400"/>
      </w:pPr>
      <w:r>
        <w:t xml:space="preserve">8. HR KPIs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shd w:fill="1F4E79" w:val="clear"/>
          </w:tcPr>
          <w:p>
            <w:r>
              <w:rPr>
                <w:b/>
                <w:bCs/>
                <w:color w:val="FFFFFF"/>
                <w:sz w:val="20"/>
                <w:szCs w:val="20"/>
              </w:rPr>
              <w:t xml:space="preserve">KPI</w:t>
            </w:r>
          </w:p>
        </w:tc>
        <w:tc>
          <w:tcPr>
            <w:tcW w:type="dxa" w:w="4000"/>
            <w:shd w:fill="1F4E79" w:val="clear"/>
          </w:tcPr>
          <w:p>
            <w:r>
              <w:rPr>
                <w:b/>
                <w:bCs/>
                <w:color w:val="FFFFFF"/>
                <w:sz w:val="20"/>
                <w:szCs w:val="20"/>
              </w:rPr>
              <w:t xml:space="preserve">Value</w:t>
            </w:r>
          </w:p>
        </w:tc>
      </w:tr>
      <w:tr>
        <w:tc>
          <w:tcPr>
            <w:tcW w:type="dxa" w:w="5000"/>
          </w:tcPr>
          <w:p>
            <w:r>
              <w:rPr>
                <w:sz w:val="20"/>
                <w:szCs w:val="20"/>
              </w:rPr>
              <w:t xml:space="preserve">Total Employees</w:t>
            </w:r>
          </w:p>
        </w:tc>
        <w:tc>
          <w:tcPr>
            <w:tcW w:type="dxa" w:w="4000"/>
          </w:tcPr>
          <w:p>
            <w:r>
              <w:rPr>
                <w:sz w:val="20"/>
                <w:szCs w:val="20"/>
              </w:rPr>
              <w:t xml:space="preserve">1470</w:t>
            </w:r>
          </w:p>
        </w:tc>
      </w:tr>
      <w:tr>
        <w:tc>
          <w:tcPr>
            <w:tcW w:type="dxa" w:w="5000"/>
          </w:tcPr>
          <w:p>
            <w:r>
              <w:rPr>
                <w:sz w:val="20"/>
                <w:szCs w:val="20"/>
              </w:rPr>
              <w:t xml:space="preserve">Employees Left</w:t>
            </w:r>
          </w:p>
        </w:tc>
        <w:tc>
          <w:tcPr>
            <w:tcW w:type="dxa" w:w="4000"/>
          </w:tcPr>
          <w:p>
            <w:r>
              <w:rPr>
                <w:sz w:val="20"/>
                <w:szCs w:val="20"/>
              </w:rPr>
              <w:t xml:space="preserve">237</w:t>
            </w:r>
          </w:p>
        </w:tc>
      </w:tr>
      <w:tr>
        <w:tc>
          <w:tcPr>
            <w:tcW w:type="dxa" w:w="5000"/>
          </w:tcPr>
          <w:p>
            <w:r>
              <w:rPr>
                <w:sz w:val="20"/>
                <w:szCs w:val="20"/>
              </w:rPr>
              <w:t xml:space="preserve">Active Employees</w:t>
            </w:r>
          </w:p>
        </w:tc>
        <w:tc>
          <w:tcPr>
            <w:tcW w:type="dxa" w:w="4000"/>
          </w:tcPr>
          <w:p>
            <w:r>
              <w:rPr>
                <w:sz w:val="20"/>
                <w:szCs w:val="20"/>
              </w:rPr>
              <w:t xml:space="preserve">1233</w:t>
            </w:r>
          </w:p>
        </w:tc>
      </w:tr>
      <w:tr>
        <w:tc>
          <w:tcPr>
            <w:tcW w:type="dxa" w:w="5000"/>
          </w:tcPr>
          <w:p>
            <w:r>
              <w:rPr>
                <w:sz w:val="20"/>
                <w:szCs w:val="20"/>
              </w:rPr>
              <w:t xml:space="preserve">Attrition Rate</w:t>
            </w:r>
          </w:p>
        </w:tc>
        <w:tc>
          <w:tcPr>
            <w:tcW w:type="dxa" w:w="4000"/>
          </w:tcPr>
          <w:p>
            <w:r>
              <w:rPr>
                <w:sz w:val="20"/>
                <w:szCs w:val="20"/>
              </w:rPr>
              <w:t xml:space="preserve">16.12%</w:t>
            </w:r>
          </w:p>
        </w:tc>
      </w:tr>
      <w:tr>
        <w:tc>
          <w:tcPr>
            <w:tcW w:type="dxa" w:w="5000"/>
          </w:tcPr>
          <w:p>
            <w:r>
              <w:rPr>
                <w:sz w:val="20"/>
                <w:szCs w:val="20"/>
              </w:rPr>
              <w:t xml:space="preserve">Average Age</w:t>
            </w:r>
          </w:p>
        </w:tc>
        <w:tc>
          <w:tcPr>
            <w:tcW w:type="dxa" w:w="4000"/>
          </w:tcPr>
          <w:p>
            <w:r>
              <w:rPr>
                <w:sz w:val="20"/>
                <w:szCs w:val="20"/>
              </w:rPr>
              <w:t xml:space="preserve">36.9 years</w:t>
            </w:r>
          </w:p>
        </w:tc>
      </w:tr>
      <w:tr>
        <w:tc>
          <w:tcPr>
            <w:tcW w:type="dxa" w:w="5000"/>
          </w:tcPr>
          <w:p>
            <w:r>
              <w:rPr>
                <w:sz w:val="20"/>
                <w:szCs w:val="20"/>
              </w:rPr>
              <w:t xml:space="preserve">Average Monthly Income</w:t>
            </w:r>
          </w:p>
        </w:tc>
        <w:tc>
          <w:tcPr>
            <w:tcW w:type="dxa" w:w="4000"/>
          </w:tcPr>
          <w:p>
            <w:r>
              <w:rPr>
                <w:sz w:val="20"/>
                <w:szCs w:val="20"/>
              </w:rPr>
              <w:t xml:space="preserve">$6,503</w:t>
            </w:r>
          </w:p>
        </w:tc>
      </w:tr>
      <w:tr>
        <w:tc>
          <w:tcPr>
            <w:tcW w:type="dxa" w:w="5000"/>
          </w:tcPr>
          <w:p>
            <w:r>
              <w:rPr>
                <w:sz w:val="20"/>
                <w:szCs w:val="20"/>
              </w:rPr>
              <w:t xml:space="preserve">Average Years at Company</w:t>
            </w:r>
          </w:p>
        </w:tc>
        <w:tc>
          <w:tcPr>
            <w:tcW w:type="dxa" w:w="4000"/>
          </w:tcPr>
          <w:p>
            <w:r>
              <w:rPr>
                <w:sz w:val="20"/>
                <w:szCs w:val="20"/>
              </w:rPr>
              <w:t xml:space="preserve">7.01</w:t>
            </w:r>
          </w:p>
        </w:tc>
      </w:tr>
      <w:tr>
        <w:tc>
          <w:tcPr>
            <w:tcW w:type="dxa" w:w="5000"/>
          </w:tcPr>
          <w:p>
            <w:r>
              <w:rPr>
                <w:sz w:val="20"/>
                <w:szCs w:val="20"/>
              </w:rPr>
              <w:t xml:space="preserve">Average Job Satisfaction</w:t>
            </w:r>
          </w:p>
        </w:tc>
        <w:tc>
          <w:tcPr>
            <w:tcW w:type="dxa" w:w="4000"/>
          </w:tcPr>
          <w:p>
            <w:r>
              <w:rPr>
                <w:sz w:val="20"/>
                <w:szCs w:val="20"/>
              </w:rPr>
              <w:t xml:space="preserve">2.73 / 4</w:t>
            </w:r>
          </w:p>
        </w:tc>
      </w:tr>
      <w:tr>
        <w:tc>
          <w:tcPr>
            <w:tcW w:type="dxa" w:w="5000"/>
          </w:tcPr>
          <w:p>
            <w:r>
              <w:rPr>
                <w:sz w:val="20"/>
                <w:szCs w:val="20"/>
              </w:rPr>
              <w:t xml:space="preserve">Average Environment Satisfaction</w:t>
            </w:r>
          </w:p>
        </w:tc>
        <w:tc>
          <w:tcPr>
            <w:tcW w:type="dxa" w:w="4000"/>
          </w:tcPr>
          <w:p>
            <w:r>
              <w:rPr>
                <w:sz w:val="20"/>
                <w:szCs w:val="20"/>
              </w:rPr>
              <w:t xml:space="preserve">2.72 / 4</w:t>
            </w:r>
          </w:p>
        </w:tc>
      </w:tr>
      <w:tr>
        <w:tc>
          <w:tcPr>
            <w:tcW w:type="dxa" w:w="5000"/>
          </w:tcPr>
          <w:p>
            <w:r>
              <w:rPr>
                <w:sz w:val="20"/>
                <w:szCs w:val="20"/>
              </w:rPr>
              <w:t xml:space="preserve">Average Work-Life Balance</w:t>
            </w:r>
          </w:p>
        </w:tc>
        <w:tc>
          <w:tcPr>
            <w:tcW w:type="dxa" w:w="4000"/>
          </w:tcPr>
          <w:p>
            <w:r>
              <w:rPr>
                <w:sz w:val="20"/>
                <w:szCs w:val="20"/>
              </w:rPr>
              <w:t xml:space="preserve">2.76 / 4</w:t>
            </w:r>
          </w:p>
        </w:tc>
      </w:tr>
      <w:tr>
        <w:tc>
          <w:tcPr>
            <w:tcW w:type="dxa" w:w="5000"/>
          </w:tcPr>
          <w:p>
            <w:r>
              <w:rPr>
                <w:sz w:val="20"/>
                <w:szCs w:val="20"/>
              </w:rPr>
              <w:t xml:space="preserve">Average Performance Rating</w:t>
            </w:r>
          </w:p>
        </w:tc>
        <w:tc>
          <w:tcPr>
            <w:tcW w:type="dxa" w:w="4000"/>
          </w:tcPr>
          <w:p>
            <w:r>
              <w:rPr>
                <w:sz w:val="20"/>
                <w:szCs w:val="20"/>
              </w:rPr>
              <w:t xml:space="preserve">3.15 / 4</w:t>
            </w:r>
          </w:p>
        </w:tc>
      </w:tr>
      <w:tr>
        <w:tc>
          <w:tcPr>
            <w:tcW w:type="dxa" w:w="5000"/>
          </w:tcPr>
          <w:p>
            <w:r>
              <w:rPr>
                <w:sz w:val="20"/>
                <w:szCs w:val="20"/>
              </w:rPr>
              <w:t xml:space="preserve">Average Years Since Promotion</w:t>
            </w:r>
          </w:p>
        </w:tc>
        <w:tc>
          <w:tcPr>
            <w:tcW w:type="dxa" w:w="4000"/>
          </w:tcPr>
          <w:p>
            <w:r>
              <w:rPr>
                <w:sz w:val="20"/>
                <w:szCs w:val="20"/>
              </w:rPr>
              <w:t xml:space="preserve">2.19</w:t>
            </w:r>
          </w:p>
        </w:tc>
      </w:tr>
      <w:tr>
        <w:tc>
          <w:tcPr>
            <w:tcW w:type="dxa" w:w="5000"/>
          </w:tcPr>
          <w:p>
            <w:r>
              <w:rPr>
                <w:sz w:val="20"/>
                <w:szCs w:val="20"/>
              </w:rPr>
              <w:t xml:space="preserve">Average Years With Current Manager</w:t>
            </w:r>
          </w:p>
        </w:tc>
        <w:tc>
          <w:tcPr>
            <w:tcW w:type="dxa" w:w="4000"/>
          </w:tcPr>
          <w:p>
            <w:r>
              <w:rPr>
                <w:sz w:val="20"/>
                <w:szCs w:val="20"/>
              </w:rPr>
              <w:t xml:space="preserve">4.12</w:t>
            </w:r>
          </w:p>
        </w:tc>
      </w:tr>
    </w:tbl>
    <w:p>
      <w:pPr>
        <w:pStyle w:val="Heading2"/>
        <w:spacing w:after="150" w:before="300"/>
      </w:pPr>
      <w:r>
        <w:t xml:space="preserve">Segment-wise Attrition Rate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1F4E79" w:val="clear"/>
          </w:tcPr>
          <w:p>
            <w:r>
              <w:rPr>
                <w:b/>
                <w:bCs/>
                <w:color w:val="FFFFFF"/>
                <w:sz w:val="20"/>
                <w:szCs w:val="20"/>
              </w:rPr>
              <w:t xml:space="preserve">Segment</w:t>
            </w:r>
          </w:p>
        </w:tc>
        <w:tc>
          <w:tcPr>
            <w:tcW w:type="dxa" w:w="6500"/>
            <w:shd w:fill="1F4E79" w:val="clear"/>
          </w:tcPr>
          <w:p>
            <w:r>
              <w:rPr>
                <w:b/>
                <w:bCs/>
                <w:color w:val="FFFFFF"/>
                <w:sz w:val="20"/>
                <w:szCs w:val="20"/>
              </w:rPr>
              <w:t xml:space="preserve">Breakdown</w:t>
            </w:r>
          </w:p>
        </w:tc>
      </w:tr>
      <w:tr>
        <w:tc>
          <w:tcPr>
            <w:tcW w:type="dxa" w:w="2500"/>
          </w:tcPr>
          <w:p>
            <w:r>
              <w:rPr>
                <w:sz w:val="20"/>
                <w:szCs w:val="20"/>
              </w:rPr>
              <w:t xml:space="preserve">Department</w:t>
            </w:r>
          </w:p>
        </w:tc>
        <w:tc>
          <w:tcPr>
            <w:tcW w:type="dxa" w:w="6500"/>
          </w:tcPr>
          <w:p>
            <w:r>
              <w:rPr>
                <w:sz w:val="20"/>
                <w:szCs w:val="20"/>
              </w:rPr>
              <w:t xml:space="preserve">Sales 20.63%  ·  HR 19.05%  ·  R&amp;D 13.84%</w:t>
            </w:r>
          </w:p>
        </w:tc>
      </w:tr>
      <w:tr>
        <w:tc>
          <w:tcPr>
            <w:tcW w:type="dxa" w:w="2500"/>
          </w:tcPr>
          <w:p>
            <w:r>
              <w:rPr>
                <w:sz w:val="20"/>
                <w:szCs w:val="20"/>
              </w:rPr>
              <w:t xml:space="preserve">Gender</w:t>
            </w:r>
          </w:p>
        </w:tc>
        <w:tc>
          <w:tcPr>
            <w:tcW w:type="dxa" w:w="6500"/>
          </w:tcPr>
          <w:p>
            <w:r>
              <w:rPr>
                <w:sz w:val="20"/>
                <w:szCs w:val="20"/>
              </w:rPr>
              <w:t xml:space="preserve">Male 17.01%  ·  Female 14.8%</w:t>
            </w:r>
          </w:p>
        </w:tc>
      </w:tr>
      <w:tr>
        <w:tc>
          <w:tcPr>
            <w:tcW w:type="dxa" w:w="2500"/>
          </w:tcPr>
          <w:p>
            <w:r>
              <w:rPr>
                <w:sz w:val="20"/>
                <w:szCs w:val="20"/>
              </w:rPr>
              <w:t xml:space="preserve">Salary Band</w:t>
            </w:r>
          </w:p>
        </w:tc>
        <w:tc>
          <w:tcPr>
            <w:tcW w:type="dxa" w:w="6500"/>
          </w:tcPr>
          <w:p>
            <w:r>
              <w:rPr>
                <w:sz w:val="20"/>
                <w:szCs w:val="20"/>
              </w:rPr>
              <w:t xml:space="preserve">Low 29.27%  ·  Medium 14.21%  ·  High 10.63%  ·  Very High 10.33%</w:t>
            </w:r>
          </w:p>
        </w:tc>
      </w:tr>
      <w:tr>
        <w:tc>
          <w:tcPr>
            <w:tcW w:type="dxa" w:w="2500"/>
          </w:tcPr>
          <w:p>
            <w:r>
              <w:rPr>
                <w:sz w:val="20"/>
                <w:szCs w:val="20"/>
              </w:rPr>
              <w:t xml:space="preserve">Business Travel</w:t>
            </w:r>
          </w:p>
        </w:tc>
        <w:tc>
          <w:tcPr>
            <w:tcW w:type="dxa" w:w="6500"/>
          </w:tcPr>
          <w:p>
            <w:r>
              <w:rPr>
                <w:sz w:val="20"/>
                <w:szCs w:val="20"/>
              </w:rPr>
              <w:t xml:space="preserve">Frequent 24.91%  ·  Rare 14.96%  ·  None 8%</w:t>
            </w:r>
          </w:p>
        </w:tc>
      </w:tr>
      <w:tr>
        <w:tc>
          <w:tcPr>
            <w:tcW w:type="dxa" w:w="2500"/>
          </w:tcPr>
          <w:p>
            <w:r>
              <w:rPr>
                <w:sz w:val="20"/>
                <w:szCs w:val="20"/>
              </w:rPr>
              <w:t xml:space="preserve">OverTime</w:t>
            </w:r>
          </w:p>
        </w:tc>
        <w:tc>
          <w:tcPr>
            <w:tcW w:type="dxa" w:w="6500"/>
          </w:tcPr>
          <w:p>
            <w:r>
              <w:rPr>
                <w:sz w:val="20"/>
                <w:szCs w:val="20"/>
              </w:rPr>
              <w:t xml:space="preserve">Yes 30.53%  ·  No 10.44%</w:t>
            </w:r>
          </w:p>
        </w:tc>
      </w:tr>
    </w:tbl>
    <w:p>
      <w:pPr>
        <w:pStyle w:val="Heading1"/>
        <w:spacing w:after="200" w:before="400"/>
      </w:pPr>
      <w:r>
        <w:t xml:space="preserve">9. Statistical Validation Summary</w:t>
      </w:r>
    </w:p>
    <w:p>
      <w:pPr>
        <w:spacing w:after="150"/>
      </w:pPr>
      <w:r>
        <w:t xml:space="preserve">Chi-square, t-tests, ANOVA, and correlation tests (α = 0.05) were used to confirm which visually-suggested patterns are statistically real.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500"/>
        <w:gridCol w:w="1500"/>
      </w:tblGrid>
      <w:tr>
        <w:tc>
          <w:tcPr>
            <w:tcW w:type="dxa" w:w="3000"/>
            <w:shd w:fill="1F4E79" w:val="clear"/>
          </w:tcPr>
          <w:p>
            <w:r>
              <w:rPr>
                <w:b/>
                <w:bCs/>
                <w:color w:val="FFFFFF"/>
                <w:sz w:val="20"/>
                <w:szCs w:val="20"/>
              </w:rPr>
              <w:t xml:space="preserve">Factor</w:t>
            </w:r>
          </w:p>
        </w:tc>
        <w:tc>
          <w:tcPr>
            <w:tcW w:type="dxa" w:w="2000"/>
            <w:shd w:fill="1F4E79" w:val="clear"/>
          </w:tcPr>
          <w:p>
            <w:r>
              <w:rPr>
                <w:b/>
                <w:bCs/>
                <w:color w:val="FFFFFF"/>
                <w:sz w:val="20"/>
                <w:szCs w:val="20"/>
              </w:rPr>
              <w:t xml:space="preserve">Test</w:t>
            </w:r>
          </w:p>
        </w:tc>
        <w:tc>
          <w:tcPr>
            <w:tcW w:type="dxa" w:w="2500"/>
            <w:shd w:fill="1F4E79" w:val="clear"/>
          </w:tcPr>
          <w:p>
            <w:r>
              <w:rPr>
                <w:b/>
                <w:bCs/>
                <w:color w:val="FFFFFF"/>
                <w:sz w:val="20"/>
                <w:szCs w:val="20"/>
              </w:rPr>
              <w:t xml:space="preserve">Result</w:t>
            </w:r>
          </w:p>
        </w:tc>
        <w:tc>
          <w:tcPr>
            <w:tcW w:type="dxa" w:w="1500"/>
            <w:shd w:fill="1F4E79" w:val="clear"/>
          </w:tcPr>
          <w:p>
            <w:r>
              <w:rPr>
                <w:b/>
                <w:bCs/>
                <w:color w:val="FFFFFF"/>
                <w:sz w:val="20"/>
                <w:szCs w:val="20"/>
              </w:rPr>
              <w:t xml:space="preserve">Significant?</w:t>
            </w:r>
          </w:p>
        </w:tc>
      </w:tr>
      <w:tr>
        <w:tc>
          <w:tcPr>
            <w:tcW w:type="dxa" w:w="3000"/>
          </w:tcPr>
          <w:p>
            <w:r>
              <w:rPr>
                <w:sz w:val="20"/>
                <w:szCs w:val="20"/>
              </w:rPr>
              <w:t xml:space="preserve">Department</w:t>
            </w:r>
          </w:p>
        </w:tc>
        <w:tc>
          <w:tcPr>
            <w:tcW w:type="dxa" w:w="2000"/>
          </w:tcPr>
          <w:p>
            <w:r>
              <w:rPr>
                <w:sz w:val="20"/>
                <w:szCs w:val="20"/>
              </w:rPr>
              <w:t xml:space="preserve">Chi-square</w:t>
            </w:r>
          </w:p>
        </w:tc>
        <w:tc>
          <w:tcPr>
            <w:tcW w:type="dxa" w:w="2500"/>
          </w:tcPr>
          <w:p>
            <w:r>
              <w:rPr>
                <w:sz w:val="20"/>
                <w:szCs w:val="20"/>
              </w:rPr>
              <w:t xml:space="preserve">p = 0.00453</w:t>
            </w:r>
          </w:p>
        </w:tc>
        <w:tc>
          <w:tcPr>
            <w:tcW w:type="dxa" w:w="1500"/>
          </w:tcPr>
          <w:p>
            <w:r>
              <w:rPr>
                <w:sz w:val="20"/>
                <w:szCs w:val="20"/>
              </w:rPr>
              <w:t xml:space="preserve">Yes</w:t>
            </w:r>
          </w:p>
        </w:tc>
      </w:tr>
      <w:tr>
        <w:tc>
          <w:tcPr>
            <w:tcW w:type="dxa" w:w="3000"/>
          </w:tcPr>
          <w:p>
            <w:r>
              <w:rPr>
                <w:sz w:val="20"/>
                <w:szCs w:val="20"/>
              </w:rPr>
              <w:t xml:space="preserve">Job Role</w:t>
            </w:r>
          </w:p>
        </w:tc>
        <w:tc>
          <w:tcPr>
            <w:tcW w:type="dxa" w:w="2000"/>
          </w:tcPr>
          <w:p>
            <w:r>
              <w:rPr>
                <w:sz w:val="20"/>
                <w:szCs w:val="20"/>
              </w:rPr>
              <w:t xml:space="preserve">Chi-square</w:t>
            </w:r>
          </w:p>
        </w:tc>
        <w:tc>
          <w:tcPr>
            <w:tcW w:type="dxa" w:w="2500"/>
          </w:tcPr>
          <w:p>
            <w:r>
              <w:rPr>
                <w:sz w:val="20"/>
                <w:szCs w:val="20"/>
              </w:rPr>
              <w:t xml:space="preserve">p = 0</w:t>
            </w:r>
          </w:p>
        </w:tc>
        <w:tc>
          <w:tcPr>
            <w:tcW w:type="dxa" w:w="1500"/>
          </w:tcPr>
          <w:p>
            <w:r>
              <w:rPr>
                <w:sz w:val="20"/>
                <w:szCs w:val="20"/>
              </w:rPr>
              <w:t xml:space="preserve">Yes</w:t>
            </w:r>
          </w:p>
        </w:tc>
      </w:tr>
      <w:tr>
        <w:tc>
          <w:tcPr>
            <w:tcW w:type="dxa" w:w="3000"/>
          </w:tcPr>
          <w:p>
            <w:r>
              <w:rPr>
                <w:sz w:val="20"/>
                <w:szCs w:val="20"/>
              </w:rPr>
              <w:t xml:space="preserve">OverTime</w:t>
            </w:r>
          </w:p>
        </w:tc>
        <w:tc>
          <w:tcPr>
            <w:tcW w:type="dxa" w:w="2000"/>
          </w:tcPr>
          <w:p>
            <w:r>
              <w:rPr>
                <w:sz w:val="20"/>
                <w:szCs w:val="20"/>
              </w:rPr>
              <w:t xml:space="preserve">Chi-square</w:t>
            </w:r>
          </w:p>
        </w:tc>
        <w:tc>
          <w:tcPr>
            <w:tcW w:type="dxa" w:w="2500"/>
          </w:tcPr>
          <w:p>
            <w:r>
              <w:rPr>
                <w:sz w:val="20"/>
                <w:szCs w:val="20"/>
              </w:rPr>
              <w:t xml:space="preserve">p = 0</w:t>
            </w:r>
          </w:p>
        </w:tc>
        <w:tc>
          <w:tcPr>
            <w:tcW w:type="dxa" w:w="1500"/>
          </w:tcPr>
          <w:p>
            <w:r>
              <w:rPr>
                <w:sz w:val="20"/>
                <w:szCs w:val="20"/>
              </w:rPr>
              <w:t xml:space="preserve">Yes</w:t>
            </w:r>
          </w:p>
        </w:tc>
      </w:tr>
      <w:tr>
        <w:tc>
          <w:tcPr>
            <w:tcW w:type="dxa" w:w="3000"/>
          </w:tcPr>
          <w:p>
            <w:r>
              <w:rPr>
                <w:sz w:val="20"/>
                <w:szCs w:val="20"/>
              </w:rPr>
              <w:t xml:space="preserve">Business Travel</w:t>
            </w:r>
          </w:p>
        </w:tc>
        <w:tc>
          <w:tcPr>
            <w:tcW w:type="dxa" w:w="2000"/>
          </w:tcPr>
          <w:p>
            <w:r>
              <w:rPr>
                <w:sz w:val="20"/>
                <w:szCs w:val="20"/>
              </w:rPr>
              <w:t xml:space="preserve">Chi-square</w:t>
            </w:r>
          </w:p>
        </w:tc>
        <w:tc>
          <w:tcPr>
            <w:tcW w:type="dxa" w:w="2500"/>
          </w:tcPr>
          <w:p>
            <w:r>
              <w:rPr>
                <w:sz w:val="20"/>
                <w:szCs w:val="20"/>
              </w:rPr>
              <w:t xml:space="preserve">p = 0.00001</w:t>
            </w:r>
          </w:p>
        </w:tc>
        <w:tc>
          <w:tcPr>
            <w:tcW w:type="dxa" w:w="1500"/>
          </w:tcPr>
          <w:p>
            <w:r>
              <w:rPr>
                <w:sz w:val="20"/>
                <w:szCs w:val="20"/>
              </w:rPr>
              <w:t xml:space="preserve">Yes</w:t>
            </w:r>
          </w:p>
        </w:tc>
      </w:tr>
      <w:tr>
        <w:tc>
          <w:tcPr>
            <w:tcW w:type="dxa" w:w="3000"/>
          </w:tcPr>
          <w:p>
            <w:r>
              <w:rPr>
                <w:sz w:val="20"/>
                <w:szCs w:val="20"/>
              </w:rPr>
              <w:t xml:space="preserve">Marital Status</w:t>
            </w:r>
          </w:p>
        </w:tc>
        <w:tc>
          <w:tcPr>
            <w:tcW w:type="dxa" w:w="2000"/>
          </w:tcPr>
          <w:p>
            <w:r>
              <w:rPr>
                <w:sz w:val="20"/>
                <w:szCs w:val="20"/>
              </w:rPr>
              <w:t xml:space="preserve">Chi-square</w:t>
            </w:r>
          </w:p>
        </w:tc>
        <w:tc>
          <w:tcPr>
            <w:tcW w:type="dxa" w:w="2500"/>
          </w:tcPr>
          <w:p>
            <w:r>
              <w:rPr>
                <w:sz w:val="20"/>
                <w:szCs w:val="20"/>
              </w:rPr>
              <w:t xml:space="preserve">p = 0</w:t>
            </w:r>
          </w:p>
        </w:tc>
        <w:tc>
          <w:tcPr>
            <w:tcW w:type="dxa" w:w="1500"/>
          </w:tcPr>
          <w:p>
            <w:r>
              <w:rPr>
                <w:sz w:val="20"/>
                <w:szCs w:val="20"/>
              </w:rPr>
              <w:t xml:space="preserve">Yes</w:t>
            </w:r>
          </w:p>
        </w:tc>
      </w:tr>
      <w:tr>
        <w:tc>
          <w:tcPr>
            <w:tcW w:type="dxa" w:w="3000"/>
          </w:tcPr>
          <w:p>
            <w:r>
              <w:rPr>
                <w:sz w:val="20"/>
                <w:szCs w:val="20"/>
              </w:rPr>
              <w:t xml:space="preserve">Gender</w:t>
            </w:r>
          </w:p>
        </w:tc>
        <w:tc>
          <w:tcPr>
            <w:tcW w:type="dxa" w:w="2000"/>
          </w:tcPr>
          <w:p>
            <w:r>
              <w:rPr>
                <w:sz w:val="20"/>
                <w:szCs w:val="20"/>
              </w:rPr>
              <w:t xml:space="preserve">Chi-square</w:t>
            </w:r>
          </w:p>
        </w:tc>
        <w:tc>
          <w:tcPr>
            <w:tcW w:type="dxa" w:w="2500"/>
          </w:tcPr>
          <w:p>
            <w:r>
              <w:rPr>
                <w:sz w:val="20"/>
                <w:szCs w:val="20"/>
              </w:rPr>
              <w:t xml:space="preserve">p = 0.29057</w:t>
            </w:r>
          </w:p>
        </w:tc>
        <w:tc>
          <w:tcPr>
            <w:tcW w:type="dxa" w:w="1500"/>
          </w:tcPr>
          <w:p>
            <w:r>
              <w:rPr>
                <w:sz w:val="20"/>
                <w:szCs w:val="20"/>
              </w:rPr>
              <w:t xml:space="preserve">No</w:t>
            </w:r>
          </w:p>
        </w:tc>
      </w:tr>
      <w:tr>
        <w:tc>
          <w:tcPr>
            <w:tcW w:type="dxa" w:w="3000"/>
          </w:tcPr>
          <w:p>
            <w:r>
              <w:rPr>
                <w:sz w:val="20"/>
                <w:szCs w:val="20"/>
              </w:rPr>
              <w:t xml:space="preserve">Age</w:t>
            </w:r>
          </w:p>
        </w:tc>
        <w:tc>
          <w:tcPr>
            <w:tcW w:type="dxa" w:w="2000"/>
          </w:tcPr>
          <w:p>
            <w:r>
              <w:rPr>
                <w:sz w:val="20"/>
                <w:szCs w:val="20"/>
              </w:rPr>
              <w:t xml:space="preserve">T-test</w:t>
            </w:r>
          </w:p>
        </w:tc>
        <w:tc>
          <w:tcPr>
            <w:tcW w:type="dxa" w:w="2500"/>
          </w:tcPr>
          <w:p>
            <w:r>
              <w:rPr>
                <w:sz w:val="20"/>
                <w:szCs w:val="20"/>
              </w:rPr>
              <w:t xml:space="preserve">p = 0</w:t>
            </w:r>
          </w:p>
        </w:tc>
        <w:tc>
          <w:tcPr>
            <w:tcW w:type="dxa" w:w="1500"/>
          </w:tcPr>
          <w:p>
            <w:r>
              <w:rPr>
                <w:sz w:val="20"/>
                <w:szCs w:val="20"/>
              </w:rPr>
              <w:t xml:space="preserve">Yes</w:t>
            </w:r>
          </w:p>
        </w:tc>
      </w:tr>
      <w:tr>
        <w:tc>
          <w:tcPr>
            <w:tcW w:type="dxa" w:w="3000"/>
          </w:tcPr>
          <w:p>
            <w:r>
              <w:rPr>
                <w:sz w:val="20"/>
                <w:szCs w:val="20"/>
              </w:rPr>
              <w:t xml:space="preserve">Monthly Income</w:t>
            </w:r>
          </w:p>
        </w:tc>
        <w:tc>
          <w:tcPr>
            <w:tcW w:type="dxa" w:w="2000"/>
          </w:tcPr>
          <w:p>
            <w:r>
              <w:rPr>
                <w:sz w:val="20"/>
                <w:szCs w:val="20"/>
              </w:rPr>
              <w:t xml:space="preserve">T-test</w:t>
            </w:r>
          </w:p>
        </w:tc>
        <w:tc>
          <w:tcPr>
            <w:tcW w:type="dxa" w:w="2500"/>
          </w:tcPr>
          <w:p>
            <w:r>
              <w:rPr>
                <w:sz w:val="20"/>
                <w:szCs w:val="20"/>
              </w:rPr>
              <w:t xml:space="preserve">p = 0</w:t>
            </w:r>
          </w:p>
        </w:tc>
        <w:tc>
          <w:tcPr>
            <w:tcW w:type="dxa" w:w="1500"/>
          </w:tcPr>
          <w:p>
            <w:r>
              <w:rPr>
                <w:sz w:val="20"/>
                <w:szCs w:val="20"/>
              </w:rPr>
              <w:t xml:space="preserve">Yes</w:t>
            </w:r>
          </w:p>
        </w:tc>
      </w:tr>
      <w:tr>
        <w:tc>
          <w:tcPr>
            <w:tcW w:type="dxa" w:w="3000"/>
          </w:tcPr>
          <w:p>
            <w:r>
              <w:rPr>
                <w:sz w:val="20"/>
                <w:szCs w:val="20"/>
              </w:rPr>
              <w:t xml:space="preserve">Distance From Home</w:t>
            </w:r>
          </w:p>
        </w:tc>
        <w:tc>
          <w:tcPr>
            <w:tcW w:type="dxa" w:w="2000"/>
          </w:tcPr>
          <w:p>
            <w:r>
              <w:rPr>
                <w:sz w:val="20"/>
                <w:szCs w:val="20"/>
              </w:rPr>
              <w:t xml:space="preserve">T-test</w:t>
            </w:r>
          </w:p>
        </w:tc>
        <w:tc>
          <w:tcPr>
            <w:tcW w:type="dxa" w:w="2500"/>
          </w:tcPr>
          <w:p>
            <w:r>
              <w:rPr>
                <w:sz w:val="20"/>
                <w:szCs w:val="20"/>
              </w:rPr>
              <w:t xml:space="preserve">p = 0.004137</w:t>
            </w:r>
          </w:p>
        </w:tc>
        <w:tc>
          <w:tcPr>
            <w:tcW w:type="dxa" w:w="1500"/>
          </w:tcPr>
          <w:p>
            <w:r>
              <w:rPr>
                <w:sz w:val="20"/>
                <w:szCs w:val="20"/>
              </w:rPr>
              <w:t xml:space="preserve">Yes</w:t>
            </w:r>
          </w:p>
        </w:tc>
      </w:tr>
      <w:tr>
        <w:tc>
          <w:tcPr>
            <w:tcW w:type="dxa" w:w="3000"/>
          </w:tcPr>
          <w:p>
            <w:r>
              <w:rPr>
                <w:sz w:val="20"/>
                <w:szCs w:val="20"/>
              </w:rPr>
              <w:t xml:space="preserve">Years at Company</w:t>
            </w:r>
          </w:p>
        </w:tc>
        <w:tc>
          <w:tcPr>
            <w:tcW w:type="dxa" w:w="2000"/>
          </w:tcPr>
          <w:p>
            <w:r>
              <w:rPr>
                <w:sz w:val="20"/>
                <w:szCs w:val="20"/>
              </w:rPr>
              <w:t xml:space="preserve">T-test</w:t>
            </w:r>
          </w:p>
        </w:tc>
        <w:tc>
          <w:tcPr>
            <w:tcW w:type="dxa" w:w="2500"/>
          </w:tcPr>
          <w:p>
            <w:r>
              <w:rPr>
                <w:sz w:val="20"/>
                <w:szCs w:val="20"/>
              </w:rPr>
              <w:t xml:space="preserve">p = 0</w:t>
            </w:r>
          </w:p>
        </w:tc>
        <w:tc>
          <w:tcPr>
            <w:tcW w:type="dxa" w:w="1500"/>
          </w:tcPr>
          <w:p>
            <w:r>
              <w:rPr>
                <w:sz w:val="20"/>
                <w:szCs w:val="20"/>
              </w:rPr>
              <w:t xml:space="preserve">Yes</w:t>
            </w:r>
          </w:p>
        </w:tc>
      </w:tr>
      <w:tr>
        <w:tc>
          <w:tcPr>
            <w:tcW w:type="dxa" w:w="3000"/>
          </w:tcPr>
          <w:p>
            <w:r>
              <w:rPr>
                <w:sz w:val="20"/>
                <w:szCs w:val="20"/>
              </w:rPr>
              <w:t xml:space="preserve">Years Since Last Promotion</w:t>
            </w:r>
          </w:p>
        </w:tc>
        <w:tc>
          <w:tcPr>
            <w:tcW w:type="dxa" w:w="2000"/>
          </w:tcPr>
          <w:p>
            <w:r>
              <w:rPr>
                <w:sz w:val="20"/>
                <w:szCs w:val="20"/>
              </w:rPr>
              <w:t xml:space="preserve">T-test</w:t>
            </w:r>
          </w:p>
        </w:tc>
        <w:tc>
          <w:tcPr>
            <w:tcW w:type="dxa" w:w="2500"/>
          </w:tcPr>
          <w:p>
            <w:r>
              <w:rPr>
                <w:sz w:val="20"/>
                <w:szCs w:val="20"/>
              </w:rPr>
              <w:t xml:space="preserve">p = 0.198651</w:t>
            </w:r>
          </w:p>
        </w:tc>
        <w:tc>
          <w:tcPr>
            <w:tcW w:type="dxa" w:w="1500"/>
          </w:tcPr>
          <w:p>
            <w:r>
              <w:rPr>
                <w:sz w:val="20"/>
                <w:szCs w:val="20"/>
              </w:rPr>
              <w:t xml:space="preserve">No</w:t>
            </w:r>
          </w:p>
        </w:tc>
      </w:tr>
      <w:tr>
        <w:tc>
          <w:tcPr>
            <w:tcW w:type="dxa" w:w="3000"/>
          </w:tcPr>
          <w:p>
            <w:r>
              <w:rPr>
                <w:sz w:val="20"/>
                <w:szCs w:val="20"/>
              </w:rPr>
              <w:t xml:space="preserve">Num Companies Worked</w:t>
            </w:r>
          </w:p>
        </w:tc>
        <w:tc>
          <w:tcPr>
            <w:tcW w:type="dxa" w:w="2000"/>
          </w:tcPr>
          <w:p>
            <w:r>
              <w:rPr>
                <w:sz w:val="20"/>
                <w:szCs w:val="20"/>
              </w:rPr>
              <w:t xml:space="preserve">T-test</w:t>
            </w:r>
          </w:p>
        </w:tc>
        <w:tc>
          <w:tcPr>
            <w:tcW w:type="dxa" w:w="2500"/>
          </w:tcPr>
          <w:p>
            <w:r>
              <w:rPr>
                <w:sz w:val="20"/>
                <w:szCs w:val="20"/>
              </w:rPr>
              <w:t xml:space="preserve">p = 0.116334</w:t>
            </w:r>
          </w:p>
        </w:tc>
        <w:tc>
          <w:tcPr>
            <w:tcW w:type="dxa" w:w="1500"/>
          </w:tcPr>
          <w:p>
            <w:r>
              <w:rPr>
                <w:sz w:val="20"/>
                <w:szCs w:val="20"/>
              </w:rPr>
              <w:t xml:space="preserve">No</w:t>
            </w:r>
          </w:p>
        </w:tc>
      </w:tr>
      <w:tr>
        <w:tc>
          <w:tcPr>
            <w:tcW w:type="dxa" w:w="3000"/>
          </w:tcPr>
          <w:p>
            <w:r>
              <w:rPr>
                <w:sz w:val="20"/>
                <w:szCs w:val="20"/>
              </w:rPr>
              <w:t xml:space="preserve">Job Satisfaction by Job Role</w:t>
            </w:r>
          </w:p>
        </w:tc>
        <w:tc>
          <w:tcPr>
            <w:tcW w:type="dxa" w:w="2000"/>
          </w:tcPr>
          <w:p>
            <w:r>
              <w:rPr>
                <w:sz w:val="20"/>
                <w:szCs w:val="20"/>
              </w:rPr>
              <w:t xml:space="preserve">ANOVA</w:t>
            </w:r>
          </w:p>
        </w:tc>
        <w:tc>
          <w:tcPr>
            <w:tcW w:type="dxa" w:w="2500"/>
          </w:tcPr>
          <w:p>
            <w:r>
              <w:rPr>
                <w:sz w:val="20"/>
                <w:szCs w:val="20"/>
              </w:rPr>
              <w:t xml:space="preserve">p = 0.93899</w:t>
            </w:r>
          </w:p>
        </w:tc>
        <w:tc>
          <w:tcPr>
            <w:tcW w:type="dxa" w:w="1500"/>
          </w:tcPr>
          <w:p>
            <w:r>
              <w:rPr>
                <w:sz w:val="20"/>
                <w:szCs w:val="20"/>
              </w:rPr>
              <w:t xml:space="preserve">No</w:t>
            </w:r>
          </w:p>
        </w:tc>
      </w:tr>
      <w:tr>
        <w:tc>
          <w:tcPr>
            <w:tcW w:type="dxa" w:w="3000"/>
          </w:tcPr>
          <w:p>
            <w:r>
              <w:rPr>
                <w:sz w:val="20"/>
                <w:szCs w:val="20"/>
              </w:rPr>
              <w:t xml:space="preserve">Income by Department</w:t>
            </w:r>
          </w:p>
        </w:tc>
        <w:tc>
          <w:tcPr>
            <w:tcW w:type="dxa" w:w="2000"/>
          </w:tcPr>
          <w:p>
            <w:r>
              <w:rPr>
                <w:sz w:val="20"/>
                <w:szCs w:val="20"/>
              </w:rPr>
              <w:t xml:space="preserve">ANOVA</w:t>
            </w:r>
          </w:p>
        </w:tc>
        <w:tc>
          <w:tcPr>
            <w:tcW w:type="dxa" w:w="2500"/>
          </w:tcPr>
          <w:p>
            <w:r>
              <w:rPr>
                <w:sz w:val="20"/>
                <w:szCs w:val="20"/>
              </w:rPr>
              <w:t xml:space="preserve">p = 0.0409741</w:t>
            </w:r>
          </w:p>
        </w:tc>
        <w:tc>
          <w:tcPr>
            <w:tcW w:type="dxa" w:w="1500"/>
          </w:tcPr>
          <w:p>
            <w:r>
              <w:rPr>
                <w:sz w:val="20"/>
                <w:szCs w:val="20"/>
              </w:rPr>
              <w:t xml:space="preserve">Yes</w:t>
            </w:r>
          </w:p>
        </w:tc>
      </w:tr>
    </w:tbl>
    <w:p>
      <w:pPr>
        <w:spacing w:after="150"/>
      </w:pPr>
      <w:r>
        <w:t xml:space="preserve">Key takeaway: promotion recency, prior job-hopping (NumCompaniesWorked), and gender do NOT show statistically significant relationships with attrition in this dataset — despite being common assumptions in HR discourse. Recommendations in this report deliberately avoid over-weighting these factors.</w:t>
      </w:r>
    </w:p>
    <w:p>
      <w:pPr>
        <w:pStyle w:val="Heading1"/>
        <w:spacing w:after="200" w:before="400"/>
      </w:pPr>
      <w:r>
        <w:t xml:space="preserve">10. Business Insights (Selected)</w:t>
      </w:r>
    </w:p>
    <w:p>
      <w:pPr>
        <w:pStyle w:val="ListParagraph"/>
        <w:numPr>
          <w:ilvl w:val="0"/>
          <w:numId w:val="1"/>
        </w:numPr>
        <w:spacing w:after="80"/>
      </w:pPr>
      <w:r>
        <w:t xml:space="preserve">OverTime is the single strongest attrition driver identified (30.5% vs 10.4%).</w:t>
      </w:r>
    </w:p>
    <w:p>
      <w:pPr>
        <w:pStyle w:val="ListParagraph"/>
        <w:numPr>
          <w:ilvl w:val="0"/>
          <w:numId w:val="1"/>
        </w:numPr>
        <w:spacing w:after="80"/>
      </w:pPr>
      <w:r>
        <w:t xml:space="preserve">Frequent travel roughly triples attrition risk (24.9% vs 8.0%).</w:t>
      </w:r>
    </w:p>
    <w:p>
      <w:pPr>
        <w:pStyle w:val="ListParagraph"/>
        <w:numPr>
          <w:ilvl w:val="0"/>
          <w:numId w:val="1"/>
        </w:numPr>
        <w:spacing w:after="80"/>
      </w:pPr>
      <w:r>
        <w:t xml:space="preserve">Sales Representatives show the highest job-role attrition at 39.8%.</w:t>
      </w:r>
    </w:p>
    <w:p>
      <w:pPr>
        <w:pStyle w:val="ListParagraph"/>
        <w:numPr>
          <w:ilvl w:val="0"/>
          <w:numId w:val="1"/>
        </w:numPr>
        <w:spacing w:after="80"/>
      </w:pPr>
      <w:r>
        <w:t xml:space="preserve">Leavers earn significantly less than stayers, even within the same job role — ruling out role-mix as the explanation.</w:t>
      </w:r>
    </w:p>
    <w:p>
      <w:pPr>
        <w:pStyle w:val="ListParagraph"/>
        <w:numPr>
          <w:ilvl w:val="0"/>
          <w:numId w:val="1"/>
        </w:numPr>
        <w:spacing w:after="80"/>
      </w:pPr>
      <w:r>
        <w:t xml:space="preserve">Attrition concentrates in a specific segment: young, lower-income, lower-job-level employees, not the workforce broadly.</w:t>
      </w:r>
    </w:p>
    <w:p>
      <w:pPr>
        <w:pStyle w:val="ListParagraph"/>
        <w:numPr>
          <w:ilvl w:val="0"/>
          <w:numId w:val="1"/>
        </w:numPr>
        <w:spacing w:after="80"/>
      </w:pPr>
      <w:r>
        <w:t xml:space="preserve">Promotion recency and job-hopping history show no significant standalone effect — common assumptions not supported by this data.</w:t>
      </w:r>
    </w:p>
    <w:p>
      <w:pPr>
        <w:spacing w:after="150"/>
      </w:pPr>
      <w:r>
        <w:t xml:space="preserve">(Full list of 20+ insights with evidence is provided in the accompanying Jupyter Notebook, Stage 8.)</w:t>
      </w:r>
    </w:p>
    <w:p>
      <w:pPr>
        <w:pStyle w:val="Heading1"/>
        <w:spacing w:after="200" w:before="400"/>
      </w:pPr>
      <w:r>
        <w:t xml:space="preserve">11. Recommendations (Selected, by Priority)</w:t>
      </w:r>
    </w:p>
    <w:p>
      <w:pPr>
        <w:pStyle w:val="Heading3"/>
        <w:spacing w:after="100" w:before="200"/>
      </w:pPr>
      <w:r>
        <w:t xml:space="preserve">High Priority</w:t>
      </w:r>
    </w:p>
    <w:p>
      <w:pPr>
        <w:pStyle w:val="ListParagraph"/>
        <w:numPr>
          <w:ilvl w:val="0"/>
          <w:numId w:val="1"/>
        </w:numPr>
        <w:spacing w:after="80"/>
      </w:pPr>
      <w:r>
        <w:t xml:space="preserve">Audit and cap overtime workload in high-OT teams — the single highest-leverage intervention.</w:t>
      </w:r>
    </w:p>
    <w:p>
      <w:pPr>
        <w:pStyle w:val="ListParagraph"/>
        <w:numPr>
          <w:ilvl w:val="0"/>
          <w:numId w:val="1"/>
        </w:numPr>
        <w:spacing w:after="80"/>
      </w:pPr>
      <w:r>
        <w:t xml:space="preserve">Review travel policy for frequent travelers (rotation, caps, compensation).</w:t>
      </w:r>
    </w:p>
    <w:p>
      <w:pPr>
        <w:pStyle w:val="ListParagraph"/>
        <w:numPr>
          <w:ilvl w:val="0"/>
          <w:numId w:val="1"/>
        </w:numPr>
        <w:spacing w:after="80"/>
      </w:pPr>
      <w:r>
        <w:t xml:space="preserve">Launch a dedicated Sales Representative retention task force.</w:t>
      </w:r>
    </w:p>
    <w:p>
      <w:pPr>
        <w:pStyle w:val="ListParagraph"/>
        <w:numPr>
          <w:ilvl w:val="0"/>
          <w:numId w:val="1"/>
        </w:numPr>
        <w:spacing w:after="80"/>
      </w:pPr>
      <w:r>
        <w:t xml:space="preserve">Conduct a within-role pay-equity audit for below-median earners.</w:t>
      </w:r>
    </w:p>
    <w:p>
      <w:pPr>
        <w:pStyle w:val="ListParagraph"/>
        <w:numPr>
          <w:ilvl w:val="0"/>
          <w:numId w:val="1"/>
        </w:numPr>
        <w:spacing w:after="80"/>
      </w:pPr>
      <w:r>
        <w:t xml:space="preserve">Build a structured mentorship/career-pathing program for early-career (&lt;35, &lt;3 yrs tenure) employees.</w:t>
      </w:r>
    </w:p>
    <w:p>
      <w:pPr>
        <w:pStyle w:val="Heading3"/>
        <w:spacing w:after="100" w:before="200"/>
      </w:pPr>
      <w:r>
        <w:t xml:space="preserve">Medium Priority</w:t>
      </w:r>
    </w:p>
    <w:p>
      <w:pPr>
        <w:pStyle w:val="ListParagraph"/>
        <w:numPr>
          <w:ilvl w:val="0"/>
          <w:numId w:val="1"/>
        </w:numPr>
        <w:spacing w:after="80"/>
      </w:pPr>
      <w:r>
        <w:t xml:space="preserve">Run Sales-department-specific engagement diagnostics.</w:t>
      </w:r>
    </w:p>
    <w:p>
      <w:pPr>
        <w:pStyle w:val="ListParagraph"/>
        <w:numPr>
          <w:ilvl w:val="0"/>
          <w:numId w:val="1"/>
        </w:numPr>
        <w:spacing w:after="80"/>
      </w:pPr>
      <w:r>
        <w:t xml:space="preserve">Offer hybrid/remote flexibility for employees with long commutes.</w:t>
      </w:r>
    </w:p>
    <w:p>
      <w:pPr>
        <w:pStyle w:val="ListParagraph"/>
        <w:numPr>
          <w:ilvl w:val="0"/>
          <w:numId w:val="1"/>
        </w:numPr>
        <w:spacing w:after="80"/>
      </w:pPr>
      <w:r>
        <w:t xml:space="preserve">Deploy recurring job-satisfaction pulse surveys as an early-warning system.</w:t>
      </w:r>
    </w:p>
    <w:p>
      <w:pPr>
        <w:pStyle w:val="ListParagraph"/>
        <w:numPr>
          <w:ilvl w:val="0"/>
          <w:numId w:val="1"/>
        </w:numPr>
        <w:spacing w:after="80"/>
      </w:pPr>
      <w:r>
        <w:t xml:space="preserve">Benchmark department-level compensation against market rates.</w:t>
      </w:r>
    </w:p>
    <w:p>
      <w:pPr>
        <w:pStyle w:val="Heading3"/>
        <w:spacing w:after="100" w:before="200"/>
      </w:pPr>
      <w:r>
        <w:t xml:space="preserve">Low Priority / Do-Not-Act (data does not support)</w:t>
      </w:r>
    </w:p>
    <w:p>
      <w:pPr>
        <w:pStyle w:val="ListParagraph"/>
        <w:numPr>
          <w:ilvl w:val="0"/>
          <w:numId w:val="1"/>
        </w:numPr>
        <w:spacing w:after="80"/>
      </w:pPr>
      <w:r>
        <w:t xml:space="preserve">Do not reallocate budget toward promotion-cadence changes based on this dataset alone.</w:t>
      </w:r>
    </w:p>
    <w:p>
      <w:pPr>
        <w:pStyle w:val="ListParagraph"/>
        <w:numPr>
          <w:ilvl w:val="0"/>
          <w:numId w:val="1"/>
        </w:numPr>
        <w:spacing w:after="80"/>
      </w:pPr>
      <w:r>
        <w:t xml:space="preserve">Do not use prior job-hopping as a hiring/retention screening criterion.</w:t>
      </w:r>
    </w:p>
    <w:p>
      <w:pPr>
        <w:pStyle w:val="ListParagraph"/>
        <w:numPr>
          <w:ilvl w:val="0"/>
          <w:numId w:val="1"/>
        </w:numPr>
        <w:spacing w:after="80"/>
      </w:pPr>
      <w:r>
        <w:t xml:space="preserve">Do not design gender-specific retention programs — no significant relationship found.</w:t>
      </w:r>
    </w:p>
    <w:p>
      <w:pPr>
        <w:spacing w:after="150"/>
      </w:pPr>
      <w:r>
        <w:t xml:space="preserve">(Full list of 15+ recommendations with expected benefit and priority is provided in the accompanying Jupyter Notebook, Stage 9.)</w:t>
      </w:r>
    </w:p>
    <w:p>
      <w:pPr>
        <w:pStyle w:val="Heading1"/>
        <w:spacing w:after="200" w:before="400"/>
      </w:pPr>
      <w:r>
        <w:t xml:space="preserve">12. Conclusion</w:t>
      </w:r>
    </w:p>
    <w:p>
      <w:pPr>
        <w:spacing w:after="150"/>
      </w:pPr>
      <w:r>
        <w:t xml:space="preserve">This analysis demonstrates that employee attrition at this organization is not random or evenly distributed — it concentrates predictably among overtime-burdened, frequently-traveling, lower-paid, early-career employees, particularly within the Sales Representative role. Equally important, the analysis statistically rules out several common HR assumptions (promotion recency, job-hopping history, gender) as significant drivers in this dataset, preventing misallocation of retention resources. HR leadership now has an evidence-based basis to prioritize workload management, compensation equity, and early-career engagement as the primary levers for reducing attrition.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2026-07-12T16:25:54.523Z</dcterms:created>
  <dcterms:modified xsi:type="dcterms:W3CDTF">2026-07-12T16:25:54.523Z</dcterms:modified>
</cp:coreProperties>
</file>

<file path=docProps/custom.xml><?xml version="1.0" encoding="utf-8"?>
<Properties xmlns="http://schemas.openxmlformats.org/officeDocument/2006/custom-properties" xmlns:vt="http://schemas.openxmlformats.org/officeDocument/2006/docPropsVTypes"/>
</file>