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Employee Attrition Analysis</w:t>
      </w:r>
    </w:p>
    <w:p>
      <w:pPr>
        <w:pStyle w:val="Heading1"/>
        <w:spacing w:after="300"/>
        <w:jc w:val="center"/>
      </w:pPr>
      <w:r>
        <w:t xml:space="preserve">Exploratory Data Analysis &amp; Business Insights Report</w:t>
      </w:r>
    </w:p>
    <w:p>
      <w:pPr>
        <w:pStyle w:val="Heading1"/>
        <w:spacing w:after="150" w:before="300"/>
      </w:pPr>
      <w:r>
        <w:t xml:space="preserve">1. Column Classification</w:t>
      </w:r>
    </w:p>
    <w:p>
      <w:pPr>
        <w:pStyle w:val="Heading2"/>
        <w:spacing w:after="120" w:before="250"/>
      </w:pPr>
      <w:r>
        <w:t xml:space="preserve">Numerical Columns</w:t>
      </w:r>
    </w:p>
    <w:p>
      <w:pPr>
        <w:spacing w:after="120"/>
      </w:pPr>
      <w:r>
        <w:t xml:space="preserve">Age, DailyRate, DistanceFromHome, HourlyRate, MonthlyIncome, MonthlyRate, NumCompaniesWorked, PercentSalaryHike, TotalWorkingYears, TrainingTimesLastYear, YearsAtCompany, YearsInCurrentRole, YearsSinceLastPromotion, YearsWithCurrManager.</w:t>
      </w:r>
    </w:p>
    <w:p>
      <w:pPr>
        <w:pStyle w:val="Heading2"/>
        <w:spacing w:after="120" w:before="250"/>
      </w:pPr>
      <w:r>
        <w:t xml:space="preserve">Categorical Columns</w:t>
      </w:r>
    </w:p>
    <w:p>
      <w:pPr>
        <w:spacing w:after="120"/>
      </w:pPr>
      <w:r>
        <w:t xml:space="preserve">Attrition, BusinessTravel, Department, EducationField, Gender, JobRole, MaritalStatus, OverTime.</w:t>
      </w:r>
    </w:p>
    <w:p>
      <w:pPr>
        <w:pStyle w:val="Heading2"/>
        <w:spacing w:after="120" w:before="250"/>
      </w:pPr>
      <w:r>
        <w:t xml:space="preserve">Ordinal Columns (numeric scale, treated as categorical for segmentation)</w:t>
      </w:r>
    </w:p>
    <w:p>
      <w:pPr>
        <w:spacing w:after="120"/>
      </w:pPr>
      <w:r>
        <w:t xml:space="preserve">Education, EnvironmentSatisfaction, JobInvolvement, JobLevel, JobSatisfaction, PerformanceRating, RelationshipSatisfaction, StockOptionLevel, WorkLifeBalance.</w:t>
      </w:r>
    </w:p>
    <w:p>
      <w:pPr>
        <w:pStyle w:val="Heading1"/>
        <w:spacing w:after="150" w:before="300"/>
      </w:pPr>
      <w:r>
        <w:t xml:space="preserve">2. Key HR Metrics (KPIs)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2800"/>
      </w:tblGrid>
      <w:tr>
        <w:tc>
          <w:tcPr>
            <w:tcW w:type="dxa" w:w="62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8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6200"/>
          </w:tcPr>
          <w:p>
            <w:r>
              <w:t xml:space="preserve">Total Employees</w:t>
            </w:r>
          </w:p>
        </w:tc>
        <w:tc>
          <w:tcPr>
            <w:tcW w:type="dxa" w:w="2800"/>
          </w:tcPr>
          <w:p>
            <w:r>
              <w:t xml:space="preserve">1,470</w:t>
            </w:r>
          </w:p>
        </w:tc>
      </w:tr>
      <w:tr>
        <w:tc>
          <w:tcPr>
            <w:tcW w:type="dxa" w:w="6200"/>
          </w:tcPr>
          <w:p>
            <w:r>
              <w:t xml:space="preserve">Employees Who Left (Attrition = Yes)</w:t>
            </w:r>
          </w:p>
        </w:tc>
        <w:tc>
          <w:tcPr>
            <w:tcW w:type="dxa" w:w="2800"/>
          </w:tcPr>
          <w:p>
            <w:r>
              <w:t xml:space="preserve">237</w:t>
            </w:r>
          </w:p>
        </w:tc>
      </w:tr>
      <w:tr>
        <w:tc>
          <w:tcPr>
            <w:tcW w:type="dxa" w:w="6200"/>
          </w:tcPr>
          <w:p>
            <w:r>
              <w:t xml:space="preserve">Overall Attrition Rate</w:t>
            </w:r>
          </w:p>
        </w:tc>
        <w:tc>
          <w:tcPr>
            <w:tcW w:type="dxa" w:w="2800"/>
          </w:tcPr>
          <w:p>
            <w:r>
              <w:t xml:space="preserve">16.12%</w:t>
            </w:r>
          </w:p>
        </w:tc>
      </w:tr>
      <w:tr>
        <w:tc>
          <w:tcPr>
            <w:tcW w:type="dxa" w:w="6200"/>
          </w:tcPr>
          <w:p>
            <w:r>
              <w:t xml:space="preserve">Avg Monthly Income - Stayed</w:t>
            </w:r>
          </w:p>
        </w:tc>
        <w:tc>
          <w:tcPr>
            <w:tcW w:type="dxa" w:w="2800"/>
          </w:tcPr>
          <w:p>
            <w:r>
              <w:t xml:space="preserve">$6,833</w:t>
            </w:r>
          </w:p>
        </w:tc>
      </w:tr>
      <w:tr>
        <w:tc>
          <w:tcPr>
            <w:tcW w:type="dxa" w:w="6200"/>
          </w:tcPr>
          <w:p>
            <w:r>
              <w:t xml:space="preserve">Avg Monthly Income - Left</w:t>
            </w:r>
          </w:p>
        </w:tc>
        <w:tc>
          <w:tcPr>
            <w:tcW w:type="dxa" w:w="2800"/>
          </w:tcPr>
          <w:p>
            <w:r>
              <w:t xml:space="preserve">$4,787</w:t>
            </w:r>
          </w:p>
        </w:tc>
      </w:tr>
      <w:tr>
        <w:tc>
          <w:tcPr>
            <w:tcW w:type="dxa" w:w="6200"/>
          </w:tcPr>
          <w:p>
            <w:r>
              <w:t xml:space="preserve">Avg Tenure (Years) - Stayed</w:t>
            </w:r>
          </w:p>
        </w:tc>
        <w:tc>
          <w:tcPr>
            <w:tcW w:type="dxa" w:w="2800"/>
          </w:tcPr>
          <w:p>
            <w:r>
              <w:t xml:space="preserve">7.37</w:t>
            </w:r>
          </w:p>
        </w:tc>
      </w:tr>
      <w:tr>
        <w:tc>
          <w:tcPr>
            <w:tcW w:type="dxa" w:w="6200"/>
          </w:tcPr>
          <w:p>
            <w:r>
              <w:t xml:space="preserve">Avg Tenure (Years) - Left</w:t>
            </w:r>
          </w:p>
        </w:tc>
        <w:tc>
          <w:tcPr>
            <w:tcW w:type="dxa" w:w="2800"/>
          </w:tcPr>
          <w:p>
            <w:r>
              <w:t xml:space="preserve">5.13</w:t>
            </w:r>
          </w:p>
        </w:tc>
      </w:tr>
      <w:tr>
        <w:tc>
          <w:tcPr>
            <w:tcW w:type="dxa" w:w="6200"/>
          </w:tcPr>
          <w:p>
            <w:r>
              <w:t xml:space="preserve">Attrition Rate - Works Overtime</w:t>
            </w:r>
          </w:p>
        </w:tc>
        <w:tc>
          <w:tcPr>
            <w:tcW w:type="dxa" w:w="2800"/>
          </w:tcPr>
          <w:p>
            <w:r>
              <w:t xml:space="preserve">30.53%</w:t>
            </w:r>
          </w:p>
        </w:tc>
      </w:tr>
      <w:tr>
        <w:tc>
          <w:tcPr>
            <w:tcW w:type="dxa" w:w="6200"/>
          </w:tcPr>
          <w:p>
            <w:r>
              <w:t xml:space="preserve">Attrition Rate - No Overtime</w:t>
            </w:r>
          </w:p>
        </w:tc>
        <w:tc>
          <w:tcPr>
            <w:tcW w:type="dxa" w:w="2800"/>
          </w:tcPr>
          <w:p>
            <w:r>
              <w:t xml:space="preserve">10.44%</w:t>
            </w:r>
          </w:p>
        </w:tc>
      </w:tr>
      <w:tr>
        <w:tc>
          <w:tcPr>
            <w:tcW w:type="dxa" w:w="6200"/>
          </w:tcPr>
          <w:p>
            <w:r>
              <w:t xml:space="preserve">Attrition Rate - Low Job Satisfaction</w:t>
            </w:r>
          </w:p>
        </w:tc>
        <w:tc>
          <w:tcPr>
            <w:tcW w:type="dxa" w:w="2800"/>
          </w:tcPr>
          <w:p>
            <w:r>
              <w:t xml:space="preserve">22.84%</w:t>
            </w:r>
          </w:p>
        </w:tc>
      </w:tr>
      <w:tr>
        <w:tc>
          <w:tcPr>
            <w:tcW w:type="dxa" w:w="6200"/>
          </w:tcPr>
          <w:p>
            <w:r>
              <w:t xml:space="preserve">Attrition Rate - Very High Job Satisfaction</w:t>
            </w:r>
          </w:p>
        </w:tc>
        <w:tc>
          <w:tcPr>
            <w:tcW w:type="dxa" w:w="2800"/>
          </w:tcPr>
          <w:p>
            <w:r>
              <w:t xml:space="preserve">11.33%</w:t>
            </w:r>
          </w:p>
        </w:tc>
      </w:tr>
      <w:tr>
        <w:tc>
          <w:tcPr>
            <w:tcW w:type="dxa" w:w="6200"/>
          </w:tcPr>
          <w:p>
            <w:r>
              <w:t xml:space="preserve">Attrition Rate - Bad Work-Life Balance</w:t>
            </w:r>
          </w:p>
        </w:tc>
        <w:tc>
          <w:tcPr>
            <w:tcW w:type="dxa" w:w="2800"/>
          </w:tcPr>
          <w:p>
            <w:r>
              <w:t xml:space="preserve">31.25%</w:t>
            </w:r>
          </w:p>
        </w:tc>
      </w:tr>
      <w:tr>
        <w:tc>
          <w:tcPr>
            <w:tcW w:type="dxa" w:w="6200"/>
          </w:tcPr>
          <w:p>
            <w:r>
              <w:t xml:space="preserve">Attrition Rate - Best Work-Life Balance</w:t>
            </w:r>
          </w:p>
        </w:tc>
        <w:tc>
          <w:tcPr>
            <w:tcW w:type="dxa" w:w="2800"/>
          </w:tcPr>
          <w:p>
            <w:r>
              <w:t xml:space="preserve">17.65%</w:t>
            </w:r>
          </w:p>
        </w:tc>
      </w:tr>
      <w:tr>
        <w:tc>
          <w:tcPr>
            <w:tcW w:type="dxa" w:w="6200"/>
          </w:tcPr>
          <w:p>
            <w:r>
              <w:t xml:space="preserve">Avg Companies Worked Previously - Left</w:t>
            </w:r>
          </w:p>
        </w:tc>
        <w:tc>
          <w:tcPr>
            <w:tcW w:type="dxa" w:w="2800"/>
          </w:tcPr>
          <w:p>
            <w:r>
              <w:t xml:space="preserve">2.94</w:t>
            </w:r>
          </w:p>
        </w:tc>
      </w:tr>
      <w:tr>
        <w:tc>
          <w:tcPr>
            <w:tcW w:type="dxa" w:w="6200"/>
          </w:tcPr>
          <w:p>
            <w:r>
              <w:t xml:space="preserve">Avg Companies Worked Previously - Stayed</w:t>
            </w:r>
          </w:p>
        </w:tc>
        <w:tc>
          <w:tcPr>
            <w:tcW w:type="dxa" w:w="2800"/>
          </w:tcPr>
          <w:p>
            <w:r>
              <w:t xml:space="preserve">2.65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3. Exploratory Data Analysis</w:t>
      </w:r>
    </w:p>
    <w:p>
      <w:pPr>
        <w:pStyle w:val="Heading2"/>
        <w:spacing w:after="120" w:before="250"/>
      </w:pPr>
      <w:r>
        <w:t xml:space="preserve">3.1 Overall Attrition</w:t>
      </w:r>
    </w:p>
    <w:p>
      <w:pPr>
        <w:spacing w:after="120"/>
      </w:pPr>
      <w:r>
        <w:t xml:space="preserve">16.12% of employees have left the company — roughly 1 in 6. This is the baseline rate against which every segment below is compared.</w:t>
      </w:r>
    </w:p>
    <w:p>
      <w:pPr>
        <w:spacing w:after="200"/>
        <w:jc w:val="center"/>
      </w:pPr>
      <w:r>
        <w:drawing>
          <wp:inline distT="0" distB="0" distL="0" distR="0">
            <wp:extent cx="333375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50"/>
      </w:pPr>
      <w:r>
        <w:t xml:space="preserve">3.2 Attrition by Department &amp; Job Role</w:t>
      </w:r>
    </w:p>
    <w:p>
      <w:pPr>
        <w:spacing w:after="120"/>
      </w:pPr>
      <w:r>
        <w:t xml:space="preserve">Sales has the highest departmental attrition (20.63%), followed by HR (19.05%); R&amp;D is comparatively stable (13.84%). At the role level, Sales Representatives stand out sharply.</w:t>
      </w:r>
    </w:p>
    <w:p>
      <w:pPr>
        <w:spacing w:after="200"/>
        <w:jc w:val="center"/>
      </w:pPr>
      <w:r>
        <w:drawing>
          <wp:inline distT="0" distB="0" distL="0" distR="0">
            <wp:extent cx="49530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</w:tblGrid>
      <w:tr>
        <w:tc>
          <w:tcPr>
            <w:tcW w:type="dxa" w:w="50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Department</w:t>
            </w:r>
          </w:p>
        </w:tc>
        <w:tc>
          <w:tcPr>
            <w:tcW w:type="dxa" w:w="20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Attrition Rate</w:t>
            </w:r>
          </w:p>
        </w:tc>
      </w:tr>
      <w:tr>
        <w:tc>
          <w:tcPr>
            <w:tcW w:type="dxa" w:w="5000"/>
          </w:tcPr>
          <w:p>
            <w:r>
              <w:t xml:space="preserve">Sales</w:t>
            </w:r>
          </w:p>
        </w:tc>
        <w:tc>
          <w:tcPr>
            <w:tcW w:type="dxa" w:w="2000"/>
          </w:tcPr>
          <w:p>
            <w:r>
              <w:t xml:space="preserve">20.63%</w:t>
            </w:r>
          </w:p>
        </w:tc>
      </w:tr>
      <w:tr>
        <w:tc>
          <w:tcPr>
            <w:tcW w:type="dxa" w:w="5000"/>
          </w:tcPr>
          <w:p>
            <w:r>
              <w:t xml:space="preserve">Human Resources</w:t>
            </w:r>
          </w:p>
        </w:tc>
        <w:tc>
          <w:tcPr>
            <w:tcW w:type="dxa" w:w="2000"/>
          </w:tcPr>
          <w:p>
            <w:r>
              <w:t xml:space="preserve">19.05%</w:t>
            </w:r>
          </w:p>
        </w:tc>
      </w:tr>
      <w:tr>
        <w:tc>
          <w:tcPr>
            <w:tcW w:type="dxa" w:w="5000"/>
          </w:tcPr>
          <w:p>
            <w:r>
              <w:t xml:space="preserve">Research &amp; Development</w:t>
            </w:r>
          </w:p>
        </w:tc>
        <w:tc>
          <w:tcPr>
            <w:tcW w:type="dxa" w:w="2000"/>
          </w:tcPr>
          <w:p>
            <w:r>
              <w:t xml:space="preserve">13.84%</w:t>
            </w:r>
          </w:p>
        </w:tc>
      </w:tr>
    </w:tbl>
    <w:p>
      <w:pPr>
        <w:spacing w:after="200"/>
        <w:jc w:val="center"/>
      </w:pPr>
      <w:r>
        <w:drawing>
          <wp:inline distT="0" distB="0" distL="0" distR="0">
            <wp:extent cx="49530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</w:tblGrid>
      <w:tr>
        <w:tc>
          <w:tcPr>
            <w:tcW w:type="dxa" w:w="50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Job Role</w:t>
            </w:r>
          </w:p>
        </w:tc>
        <w:tc>
          <w:tcPr>
            <w:tcW w:type="dxa" w:w="20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Attrition Rate</w:t>
            </w:r>
          </w:p>
        </w:tc>
      </w:tr>
      <w:tr>
        <w:tc>
          <w:tcPr>
            <w:tcW w:type="dxa" w:w="5000"/>
          </w:tcPr>
          <w:p>
            <w:r>
              <w:t xml:space="preserve">Sales Representative</w:t>
            </w:r>
          </w:p>
        </w:tc>
        <w:tc>
          <w:tcPr>
            <w:tcW w:type="dxa" w:w="2000"/>
          </w:tcPr>
          <w:p>
            <w:r>
              <w:t xml:space="preserve">39.76%</w:t>
            </w:r>
          </w:p>
        </w:tc>
      </w:tr>
      <w:tr>
        <w:tc>
          <w:tcPr>
            <w:tcW w:type="dxa" w:w="5000"/>
          </w:tcPr>
          <w:p>
            <w:r>
              <w:t xml:space="preserve">Laboratory Technician</w:t>
            </w:r>
          </w:p>
        </w:tc>
        <w:tc>
          <w:tcPr>
            <w:tcW w:type="dxa" w:w="2000"/>
          </w:tcPr>
          <w:p>
            <w:r>
              <w:t xml:space="preserve">23.94%</w:t>
            </w:r>
          </w:p>
        </w:tc>
      </w:tr>
      <w:tr>
        <w:tc>
          <w:tcPr>
            <w:tcW w:type="dxa" w:w="5000"/>
          </w:tcPr>
          <w:p>
            <w:r>
              <w:t xml:space="preserve">Human Resources</w:t>
            </w:r>
          </w:p>
        </w:tc>
        <w:tc>
          <w:tcPr>
            <w:tcW w:type="dxa" w:w="2000"/>
          </w:tcPr>
          <w:p>
            <w:r>
              <w:t xml:space="preserve">23.08%</w:t>
            </w:r>
          </w:p>
        </w:tc>
      </w:tr>
      <w:tr>
        <w:tc>
          <w:tcPr>
            <w:tcW w:type="dxa" w:w="5000"/>
          </w:tcPr>
          <w:p>
            <w:r>
              <w:t xml:space="preserve">Sales Executive</w:t>
            </w:r>
          </w:p>
        </w:tc>
        <w:tc>
          <w:tcPr>
            <w:tcW w:type="dxa" w:w="2000"/>
          </w:tcPr>
          <w:p>
            <w:r>
              <w:t xml:space="preserve">17.48%</w:t>
            </w:r>
          </w:p>
        </w:tc>
      </w:tr>
      <w:tr>
        <w:tc>
          <w:tcPr>
            <w:tcW w:type="dxa" w:w="5000"/>
          </w:tcPr>
          <w:p>
            <w:r>
              <w:t xml:space="preserve">Research Scientist</w:t>
            </w:r>
          </w:p>
        </w:tc>
        <w:tc>
          <w:tcPr>
            <w:tcW w:type="dxa" w:w="2000"/>
          </w:tcPr>
          <w:p>
            <w:r>
              <w:t xml:space="preserve">16.10%</w:t>
            </w:r>
          </w:p>
        </w:tc>
      </w:tr>
      <w:tr>
        <w:tc>
          <w:tcPr>
            <w:tcW w:type="dxa" w:w="5000"/>
          </w:tcPr>
          <w:p>
            <w:r>
              <w:t xml:space="preserve">Manufacturing Director</w:t>
            </w:r>
          </w:p>
        </w:tc>
        <w:tc>
          <w:tcPr>
            <w:tcW w:type="dxa" w:w="2000"/>
          </w:tcPr>
          <w:p>
            <w:r>
              <w:t xml:space="preserve">6.90%</w:t>
            </w:r>
          </w:p>
        </w:tc>
      </w:tr>
      <w:tr>
        <w:tc>
          <w:tcPr>
            <w:tcW w:type="dxa" w:w="5000"/>
          </w:tcPr>
          <w:p>
            <w:r>
              <w:t xml:space="preserve">Healthcare Representative</w:t>
            </w:r>
          </w:p>
        </w:tc>
        <w:tc>
          <w:tcPr>
            <w:tcW w:type="dxa" w:w="2000"/>
          </w:tcPr>
          <w:p>
            <w:r>
              <w:t xml:space="preserve">6.87%</w:t>
            </w:r>
          </w:p>
        </w:tc>
      </w:tr>
      <w:tr>
        <w:tc>
          <w:tcPr>
            <w:tcW w:type="dxa" w:w="5000"/>
          </w:tcPr>
          <w:p>
            <w:r>
              <w:t xml:space="preserve">Manager</w:t>
            </w:r>
          </w:p>
        </w:tc>
        <w:tc>
          <w:tcPr>
            <w:tcW w:type="dxa" w:w="2000"/>
          </w:tcPr>
          <w:p>
            <w:r>
              <w:t xml:space="preserve">4.90%</w:t>
            </w:r>
          </w:p>
        </w:tc>
      </w:tr>
      <w:tr>
        <w:tc>
          <w:tcPr>
            <w:tcW w:type="dxa" w:w="5000"/>
          </w:tcPr>
          <w:p>
            <w:r>
              <w:t xml:space="preserve">Research Director</w:t>
            </w:r>
          </w:p>
        </w:tc>
        <w:tc>
          <w:tcPr>
            <w:tcW w:type="dxa" w:w="2000"/>
          </w:tcPr>
          <w:p>
            <w:r>
              <w:t xml:space="preserve">2.50%</w:t>
            </w:r>
          </w:p>
        </w:tc>
      </w:tr>
    </w:tbl>
    <w:p>
      <w:pPr>
        <w:spacing w:after="120"/>
      </w:pPr>
      <w:r>
        <w:t xml:space="preserve">Sales Representative is the single highest-risk role in the company at 39.76% attrition — more than double the company average.</w:t>
      </w:r>
    </w:p>
    <w:p>
      <w:pPr>
        <w:pStyle w:val="Heading2"/>
        <w:spacing w:after="120" w:before="250"/>
      </w:pPr>
      <w:r>
        <w:t xml:space="preserve">3.3 OverTime</w:t>
      </w:r>
    </w:p>
    <w:p>
      <w:pPr>
        <w:spacing w:after="120"/>
      </w:pPr>
      <w:r>
        <w:t xml:space="preserve">Employees who work overtime leave at nearly 3x the rate of those who don't (30.53% vs 10.44%). This is one of the strongest single predictors of attrition in the dataset.</w:t>
      </w:r>
    </w:p>
    <w:p>
      <w:pPr>
        <w:spacing w:after="200"/>
        <w:jc w:val="center"/>
      </w:pPr>
      <w:r>
        <w:drawing>
          <wp:inline distT="0" distB="0" distL="0" distR="0">
            <wp:extent cx="49530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50"/>
      </w:pPr>
      <w:r>
        <w:t xml:space="preserve">3.4 Salary / Monthly Income</w:t>
      </w:r>
    </w:p>
    <w:p>
      <w:pPr>
        <w:spacing w:after="120"/>
      </w:pPr>
      <w:r>
        <w:t xml:space="preserve">Employees who left earn substantially less on average ($4,787) than those who stayed ($6,833). The boxplot shows the departing group is concentrated in the lower income band with a lower median and narrower upper range.</w:t>
      </w:r>
    </w:p>
    <w:p>
      <w:pPr>
        <w:spacing w:after="200"/>
        <w:jc w:val="center"/>
      </w:pPr>
      <w:r>
        <w:drawing>
          <wp:inline distT="0" distB="0" distL="0" distR="0">
            <wp:extent cx="49530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50"/>
      </w:pPr>
      <w:r>
        <w:t xml:space="preserve">3.5 Job Satisfaction</w:t>
      </w:r>
    </w:p>
    <w:p>
      <w:pPr>
        <w:spacing w:after="120"/>
      </w:pPr>
      <w:r>
        <w:t xml:space="preserve">Attrition falls steadily as job satisfaction rises: 22.84% for 'Low' satisfaction down to 11.33% for 'Very High'. Satisfaction is a strong, monotonic driver of retention.</w:t>
      </w:r>
    </w:p>
    <w:p>
      <w:pPr>
        <w:spacing w:after="200"/>
        <w:jc w:val="center"/>
      </w:pPr>
      <w:r>
        <w:drawing>
          <wp:inline distT="0" distB="0" distL="0" distR="0">
            <wp:extent cx="49530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50"/>
      </w:pPr>
      <w:r>
        <w:t xml:space="preserve">3.6 Work-Life Balance</w:t>
      </w:r>
    </w:p>
    <w:p>
      <w:pPr>
        <w:spacing w:after="120"/>
      </w:pPr>
      <w:r>
        <w:t xml:space="preserve">Employees reporting 'Bad' work-life balance leave at 31.25%, nearly double the company average. Attrition drops as balance improves, though it ticks up slightly at 'Best' vs 'Better' — 'Better' seems to be the retention sweet spot, not the extreme.</w:t>
      </w:r>
    </w:p>
    <w:p>
      <w:pPr>
        <w:spacing w:after="200"/>
        <w:jc w:val="center"/>
      </w:pPr>
      <w:r>
        <w:drawing>
          <wp:inline distT="0" distB="0" distL="0" distR="0">
            <wp:extent cx="49530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50"/>
      </w:pPr>
      <w:r>
        <w:t xml:space="preserve">3.7 Age</w:t>
      </w:r>
    </w:p>
    <w:p>
      <w:pPr>
        <w:spacing w:after="120"/>
      </w:pPr>
      <w:r>
        <w:t xml:space="preserve">Attrition skews younger — employees in their early-to-mid 20s and early 30s show visibly higher departure counts relative to their group size than employees 40+.</w:t>
      </w:r>
    </w:p>
    <w:p>
      <w:pPr>
        <w:spacing w:after="200"/>
        <w:jc w:val="center"/>
      </w:pPr>
      <w:r>
        <w:drawing>
          <wp:inline distT="0" distB="0" distL="0" distR="0">
            <wp:extent cx="49530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50"/>
      </w:pPr>
      <w:r>
        <w:t xml:space="preserve">3.8 Tenure</w:t>
      </w:r>
    </w:p>
    <w:p>
      <w:pPr>
        <w:spacing w:after="120"/>
      </w:pPr>
      <w:r>
        <w:t xml:space="preserve">Attrition is highest in the first 1-3 years of employment and steadily declines with tenure — the classic early-tenure flight risk pattern seen across most companies.</w:t>
      </w:r>
    </w:p>
    <w:p>
      <w:pPr>
        <w:spacing w:after="200"/>
        <w:jc w:val="center"/>
      </w:pPr>
      <w:r>
        <w:drawing>
          <wp:inline distT="0" distB="0" distL="0" distR="0">
            <wp:extent cx="49530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50"/>
      </w:pPr>
      <w:r>
        <w:t xml:space="preserve">3.9 Correlation Summary</w:t>
      </w:r>
    </w:p>
    <w:p>
      <w:pPr>
        <w:spacing w:after="120"/>
      </w:pPr>
      <w:r>
        <w:t xml:space="preserve">Ranking numeric fields by their correlation with attrition confirms the patterns above: tenure-related fields (YearsInCurrentRole, YearsWithCurrManager, YearsAtCompany, TotalWorkingYears, Age) correlate negatively with leaving; DistanceFromHome and NumCompaniesWorked correlate positively.</w:t>
      </w:r>
    </w:p>
    <w:p>
      <w:pPr>
        <w:spacing w:after="200"/>
        <w:jc w:val="center"/>
      </w:pPr>
      <w:r>
        <w:drawing>
          <wp:inline distT="0" distB="0" distL="0" distR="0">
            <wp:extent cx="4000500" cy="466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50" w:before="300"/>
      </w:pPr>
      <w:r>
        <w:t xml:space="preserve">4. Business Insights (Summary)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Overtime is the single biggest red flag — nearly 1 in 3 overtime workers leave, vs. 1 in 10 who don't.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Compensation matters: departing employees earn ~30% less on average than those who stay.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Sales Representatives are a critical risk group (40% attrition) — far above every other role.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Early tenure (years 0-3) is the highest-risk window; retention risk drops sharply after year 5.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Job satisfaction and work-life balance both show a clear inverse relationship with attrition.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Younger employees (20s-early 30s) leave more often than employees 40+.</w:t>
      </w:r>
    </w:p>
    <w:p>
      <w:pPr>
        <w:pStyle w:val="Heading1"/>
        <w:spacing w:after="150" w:before="300"/>
      </w:pPr>
      <w:r>
        <w:t xml:space="preserve">5. Business Recommendations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Audit and reduce mandatory overtime, especially in Sales and Laboratory Technician roles; consider overtime pay premiums or workload redistribution.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Review compensation bands for Sales Representatives and other high-attrition, lower-paid roles — targeted retention raises or bonuses are likely to pay back quickly given replacement costs.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a structured onboarding + mentorship program for the first 3 years of tenure, when flight risk is highest.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Run regular job-satisfaction and work-life-balance pulse surveys, with manager action plans triggered for teams scoring 'Low'/'Bad'.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 clearer promotion/growth pathways for younger employees, who show higher attrition despite typically being early in tenure.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Prioritize retention interventions by segment: Sales department, Sales Representative role, overtime workers, and 0-3 year tenure employees are the four highest-leverage groups.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a5e32a833bbde410c6bd58427f27a27f26ed4ba.png"/><Relationship Id="rId8" Type="http://schemas.openxmlformats.org/officeDocument/2006/relationships/image" Target="media/ad2001413c9c5c3ee08e8aabb0fc8e646dfd5a7e.png"/><Relationship Id="rId9" Type="http://schemas.openxmlformats.org/officeDocument/2006/relationships/image" Target="media/e295e9f31e96b500337e8db2971d9f6354ebd046.png"/><Relationship Id="rId10" Type="http://schemas.openxmlformats.org/officeDocument/2006/relationships/image" Target="media/108f8d8fc05586b6e0b7fba1ee6b6c491bc9be6a.png"/><Relationship Id="rId11" Type="http://schemas.openxmlformats.org/officeDocument/2006/relationships/image" Target="media/f9150d489ef1210aa97efdce6102f8df515fc2dd.png"/><Relationship Id="rId12" Type="http://schemas.openxmlformats.org/officeDocument/2006/relationships/image" Target="media/1314ec4c8e047749af61c210a3d8af6c31f05b7f.png"/><Relationship Id="rId13" Type="http://schemas.openxmlformats.org/officeDocument/2006/relationships/image" Target="media/64746b06ce799199783db1a6a1b7e9d81ea5efce.png"/><Relationship Id="rId14" Type="http://schemas.openxmlformats.org/officeDocument/2006/relationships/image" Target="media/d1ce949edd8fc8cf2ba3768fe222ef509debbed8.png"/><Relationship Id="rId15" Type="http://schemas.openxmlformats.org/officeDocument/2006/relationships/image" Target="media/7f9340eb605516aa171399937f03ba1360555e8b.png"/><Relationship Id="rId16" Type="http://schemas.openxmlformats.org/officeDocument/2006/relationships/image" Target="media/ca5e805c4a78d036bc6706bb3644ef8764836209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2026-07-04T04:34:03.793Z</dcterms:created>
  <dcterms:modified xsi:type="dcterms:W3CDTF">2026-07-04T04:34:03.793Z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