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A4BD"/>
          <w:sz w:val="28"/>
          <w:szCs w:val="28"/>
        </w:rPr>
        <w:t xml:space="preserve">ANÁLISE DE ARQUITETURA TÉCNICA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Migração Camunda → AWS Step Functions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Integração com IBM MQ via Service Task</w:t>
      </w:r>
    </w:p>
    <w:p>
      <w:pPr>
        <w:spacing w:before="6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 Record (ADR)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Integração Empresarial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Proposto — Pendente de Aprovação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de Arquitetura Técnica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FF9900" w:sz="8" w:space="1"/>
        </w:pBdr>
        <w:spacing w:before="6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CONFIDENCIAL — USO INTERNO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Contexto e Escopo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registra a decisão de arquitetura referente à estratégia de integração com IBM MQ durante a migração dos processos Camunda para AWS Step Functions. O cenário central envolve processos de negócio que, no modelo atual, utilizam Service Tasks do Camunda para enviar e receber mensagens em filas IBM MQ.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decisão aqui tomada é de natureza estrutural e será replicada para múltiplos processos. Por isso, os critérios de escalabilidade, padronização operacional e custo total de propriedade (TCO) foram ponderados com o mesmo peso que os critérios técnicos imediatos.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Restrições e Premissas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IBM MQ permanece na infraestrutura legada durante o período de transição.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IBM MQ Client (biblioteca nativa) e o protocolo JMS são as únicas opções de conectividade.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solução escolhida precisa ser replicável para N processos distintos com custo marginal baixo.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empresa opera em escala enterprise: alta disponibilidade, observabilidade e governança são mandatórios.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Existe investimento estabelecido em EKS (Kubernetes) e em workloads Spring Boot.</w:t>
      </w:r>
    </w:p>
    <w:p>
      <w:pPr>
        <w:pBdr>
          <w:bottom w:val="single" w:color="2E5090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Alternativas Avaliadas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Alternativa 1 — Lambda Nativa com Quarkus + GraalVM/Mandrel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Uma AWS Lambda implementada em Java 17 com Quarkus compilado via Mandrel/GraalVM (native image) se conecta diretamente ao IBM MQ usando o IBM MQ Client nativo (com.ibm.mq.allclient).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Limitação crítica — GraalVM + IBM MQ Client: </w:t>
      </w:r>
      <w:r>
        <w:rPr>
          <w:rFonts w:ascii="Arial" w:cs="Arial" w:eastAsia="Arial" w:hAnsi="Arial"/>
          <w:sz w:val="22"/>
          <w:szCs w:val="22"/>
        </w:rPr>
        <w:t xml:space="preserve">O IBM MQ allclient realiza reflection massiva internamente para inicialização do canal de conexão, JSSE e serialização de mensagens. A IBM não fornece nem mantém oficialmente as configurações reflect-config.json para compilação native image. Isso impõe trabalho artesanal frágil a cada upgrade de versão do client.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Lambda stateless vs IBM MQ que favorece conexões persistentes — risco de atingir MAXCHL do broker.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novo processo exige nova Lambda com rebuild GraalVM (pipelines de 10-20 minutos por módulo).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Alternativa 2 — Lambda Proxy → Microserviço no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Uma Lambda thin atua como proxy entre a Step Function e um microserviço Spring Boot no EKS, traduzindo o evento em chamada HTTP.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Antipadrão identificado: </w:t>
      </w:r>
      <w:r>
        <w:rPr>
          <w:rFonts w:ascii="Arial" w:cs="Arial" w:eastAsia="Arial" w:hAnsi="Arial"/>
          <w:sz w:val="22"/>
          <w:szCs w:val="22"/>
        </w:rPr>
        <w:t xml:space="preserve">A Lambda não executa nenhuma lógica de negócio — existe apenas para bridgear protocolos. Isso introduz latência adicional, mais um componente para monitorar, e custo de invocação sem contrapartida funcional. A Step Function já possui integração nativa com SQS que resolve o mesmo problema de forma mais elegante.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Dois pontos de falha distintos (Lambda + EKS service) aumentam a surface de erro.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Acoplamento temporal: se o EKS estiver com latência alta, a Lambda e a Step Function ficam bloqueadas.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Alternativa 3 — Step Function → SQS → EKS → IBM MQ [RECOMENDADA]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DECISÃO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Step Function publica em SQS via integração SDK nativa com .waitForTaskToken. Um microserviço Spring Boot no EKS consome o SQS e interage com o IBM MQ via IBM MQ Spring Boot Starter (JMS). O callback é feito via SendTaskSuccess/SendTaskFailure.</w:t>
            </w:r>
          </w:p>
        </w:tc>
      </w:tr>
    </w:tbl>
    <w:p>
      <w:pPr>
        <w:pBdr>
          <w:bottom w:val="single" w:color="2E5090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Diagrama de Arquitetura — Visão de Componentes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diagrama abaixo apresenta a visão completa de componentes da solução recomendada (Alternativa 3). As zonas coloridas delimitam os domínios de responsabilidade: orquestração AWS (Step Functions + SQS), camada de integração no EKS (Spring Boot / Anti-Corruption Layer) e infraestrutura legada on-premise (IBM MQ + sistemas existentes).</w:t>
      </w:r>
    </w:p>
    <w:p>
      <w:pPr>
        <w:spacing w:before="8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600450"/>
            <wp:effectExtent t="0" r="0" b="0" l="0"/>
            <wp:docPr id="1" name="diagram" descr="Architecture/Sequenc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Figura 1 — Diagrama de Arquitetura: Alternativa 3 (Recomendada) | Step Functions → SQS → EKS Spring Boot → IBM MQ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Descrição dos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Step Functions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Orquestrador do processo de negócio. Publica no SQS e aguarda callback via TaskToken.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Amazon SQS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Queue + DLQ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 desacoplador entre orquestrador e executor. DLQ para mensagens com falha repetida.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 Adapter (EKS)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Anti-Corruption Layer. Consome SQS, interage com IBM MQ via JMS, envia callback à Step Function.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K8s Autoscaler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 os pods do Integration Adapter proporcionalmente ao número de mensagens no SQS.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IBM MQ Broker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IBM MQ 9.x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Broker legado. Mantém as filas REQUEST e REPLY consumidas/publicadas pelos sistemas existentes.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SSM / AppConfig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Config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Mapeamento externalizado SQS Queue → IBM MQ Queue. Permite onboarding de novos processos sem redeploy.</w:t>
            </w:r>
          </w:p>
        </w:tc>
      </w:tr>
    </w:tbl>
    <w:p>
      <w:pPr>
        <w:pBdr>
          <w:bottom w:val="single" w:color="2E5090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Diagrama de Sequência — Fluxo de Integração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diagrama de sequência abaixo detalha o fluxo de interação entre os participantes da solução. O padrão .waitForTaskToken é central: a Step Function publica no SQS incluindo o TaskToken como atributo da mensagem, pausa a execução e retoma somente após receber o callback do Integration Adapter no EKS — replicando exatamente o comportamento síncrono do Service Task do Camunda.</w:t>
      </w:r>
    </w:p>
    <w:p>
      <w:pPr>
        <w:spacing w:before="80" w:after="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05500" cy="4810125"/>
            <wp:effectExtent t="0" r="0" b="0" l="0"/>
            <wp:docPr id="1" name="diagram" descr="Architecture/Sequenc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Figura 2 — Diagrama de Sequência: Fluxo completo Step Functions → SQS → Integration Adapter (EKS) → IBM MQ → Callback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Detalhamento dos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Técnica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[1]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Function invoca estado de integração. Via SDK nativa (Resource: arn:aws:states:::sqs:sendMessage), publica no SQS com payload do processo + TaskToken como MessageAttribute. Não há Lambda intermediária.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[2]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Function entra em modo waitForTaskToken. Execução é pausada. Nenhum recurso computacional é consumido durante a espera — billing baseado em transições de estado, não em tempo de espera.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[3]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Adapter no EKS (Spring Boot) faz polling no SQS via @SqsListener / DefaultMessageListenerContainer. Consome a mensagem, extrai payload e TaskToken. Visibility timeout ativado — mensagem invisível para outros consumidores.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[4]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IBM MQ Spring Boot Starter (JMS), o adapter executa MQPUT na fila REQUEST do IBM MQ com o payload do processo. A CachingConnectionFactory garante reuso de conexão (sem abrir nova conexão por mensagem).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[5]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legado processa a mensagem na fila REQUEST e publica a resposta na fila REPLY correlacionada (por CorrelationId ou ReplyToQueue header do MQMD).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[6]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Adapter executa MQGET na fila REPLY. Obtém a resposta do sistema legado.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[7]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Adapter chama stepFunctions.sendTaskSuccess(taskToken, output) via AWS SDK. Em caso de erro, chama sendTaskFailure(taskToken, errorCode, errorMessage). Step Function retoma a execução com o output recebido.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[8]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Adapter confirma o processamento chamando DeleteMessage no SQS. Mensagem removida da fila. Em caso de falha no processamento, a mensagem retorna à fila após o visibility timeout e pode ser reprocessada até maxReceiveCount, depois segue para DLQ.</w:t>
            </w:r>
          </w:p>
        </w:tc>
      </w:tr>
    </w:tbl>
    <w:p>
      <w:pPr>
        <w:pBdr>
          <w:bottom w:val="single" w:color="2E5090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Fundamentação da Decisão Técnica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Desacoplamento via Mensageria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SQS atua como buffer desacoplador entre o orquestrador (Step Function) e o executor (Integration Adapter EKS). Esse padrão segue o princípio de Loose Coupling e é o alicerce do Event-Driven Architecture (EDA).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4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Step Function não precisa saber como o IBM MQ funciona. O Integration Adapter não precisa saber como a Step Function funciona. O SQS é o contrato entre eles — qualquer lado pode evoluir independentemente.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Conectividade IBM MQ — IBM MQ Spring Boot Starter (JMS)</w:t>
      </w:r>
    </w:p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Usar o IBM MQ Spring Boot Starter (com.ibm.mq:mq-jms-spring-boot-starter), mantido oficialmente pela IBM no repositório ibm-messaging/mq-jms-spring. Ele utiliza JMS como API com IBM MQ Client como provider, entregando auto-configuração via application.properties, CachingConnectionFactory nativa para connection pooling e integração com Spring Actuator/Micrometer para observabilidade.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5.3 Replicabilidade para N Processos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é o critério estratégico mais relevante. O Integration Adapter é projetado como um componente de configuração — novos processos são onboardados via: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Criação de nova fila SQS (IaC via Terraform/CDK — operação trivial).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Adição de rota no SSM/AppConfig: mapeamento SQS Queue → IBM MQ Queue (sem redeploy).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Definição do novo estado na Step Function com integração SQS.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5.4 Comparativo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Alt. 1 GraalVM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Alt. 2 Proxy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Alt. 3 SQS 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Compatibilidade IBM MQ Client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(native image friction)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Resiliência / DLQ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(DLQ nativo)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Replicabilidade N processos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(rebuild/processo)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(config-driven)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Desacoplamento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 (SQS como contrato)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(builds frágeis)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(Spring Boot padrão)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 RELATIVA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23 / 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 / 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44 / 50</w:t>
            </w:r>
          </w:p>
        </w:tc>
      </w:tr>
    </w:tbl>
    <w:p>
      <w:pPr>
        <w:pBdr>
          <w:bottom w:val="single" w:color="2E5090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Referências Técnicas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Documentation — Step Functions SQS SDK Integration (.waitForTaskToken)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https://docs.aws.amazon.com/step-functions/latest/dg/connect-sqs.html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IBM Documentation — IBM MQ Spring Boot Starter (oficial)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https://github.com/ibm-messaging/mq-jms-spring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https://www.ibm.com/docs/en/ibm-mq/9.3?topic=spring-using-mq-jms-starter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GraalVM — Reflection in Native Image (limitações)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https://www.graalvm.org/latest/reference-manual/native-image/dynamic-features/Reflection/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KEDA — SQS Scaler para Kubernetes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https://keda.sh/docs/scalers/aws-sqs-queue/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Richardson, C. (2018). Microservices Patterns. Manning. — Cap. 3: Messaging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Newman, S. (2021). Building Microservices, 2nd Ed. O'Reilly. — Cap. 4: Async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Evans, E. (2003). Domain-Driven Design. Addison-Wesley. — Anti-Corruption Layer pattern</w:t>
      </w:r>
    </w:p>
    <w:p>
      <w:pPr>
        <w:pBdr>
          <w:bottom w:val="single" w:color="2E5090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Conclusão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Alternativa 3 (Step Function → SQS → Integration Adapter EKS Spring Boot → IBM MQ). IBM MQ Spring Boot Starter (JMS) como forma de conectividade. Padrão .waitForTaskToken para semântica síncrona do processo de negócio.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Próximos Passos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Seleção de processo piloto para PoC da Alternativa 3.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Criação do módulo Spring Boot base (Integration Adapter) com configuração externalizada via SSM.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 IaC (Terraform/CDK) para provisionamento de SQS + DLQ por processo.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Definição da estratégia de trace end-to-end (X-Ray + Micrometer Tracing).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Alinhamento com time de infra legada para dimensionamento do MAXCHL do IBM MQ.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Apresentação desta ADR ao Architecture Review Board para aprovação formal.</w:t>
      </w:r>
    </w:p>
    <w:p>
      <w:pPr>
        <w:spacing w:before="80" w:after="0"/>
      </w:pPr>
      <w:r>
        <w:t xml:space="preserve"/>
      </w:r>
    </w:p>
    <w:p>
      <w:pPr>
        <w:pBdr>
          <w:bottom w:val="single" w:color="FF9900" w:sz="6" w:space="1"/>
        </w:pBdr>
        <w:spacing w:before="200" w:after="20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Este documento é um Architecture Decision Record (ADR) e deve ser versionado junto ao repositório de arquitetura da empresa.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200" w:after="0"/>
    </w:pPr>
    <w:r>
      <w:rPr>
        <w:rFonts w:ascii="Arial" w:cs="Arial" w:eastAsia="Arial" w:hAnsi="Arial"/>
        <w:color w:val="555555"/>
        <w:sz w:val="18"/>
        <w:szCs w:val="18"/>
      </w:rPr>
      <w:t xml:space="preserve">Time de Arquitetura Técnica — Março 2026</w:t>
    </w:r>
    <w:r>
      <w:rPr>
        <w:rFonts w:ascii="Arial" w:cs="Arial" w:eastAsia="Arial" w:hAnsi="Arial"/>
        <w:color w:val="555555"/>
        <w:sz w:val="18"/>
        <w:szCs w:val="18"/>
      </w:rPr>
      <w:t xml:space="preserve">	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  <w:tabs>
        <w:tab w:val="right" w:pos="9026"/>
      </w:tabs>
      <w:spacing w:before="0" w:after="200"/>
    </w:pPr>
    <w:r>
      <w:rPr>
        <w:rFonts w:ascii="Arial" w:cs="Arial" w:eastAsia="Arial" w:hAnsi="Arial"/>
        <w:color w:val="555555"/>
        <w:sz w:val="18"/>
        <w:szCs w:val="18"/>
      </w:rPr>
      <w:t xml:space="preserve">ADR — Migração Camunda → AWS Step Functions | IBM MQ Integration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A4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a8e2e0896c7e965ebe8c8aff4f76ea8d15cb3b6.png"/><Relationship Id="rId9" Type="http://schemas.openxmlformats.org/officeDocument/2006/relationships/image" Target="media/95a1e4f6ecc10dc0a6cffef9b4a8d7c2c291b87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2026-03-04T00:45:29.526Z</dcterms:created>
  <dcterms:modified xsi:type="dcterms:W3CDTF">2026-03-04T00:45:29.527Z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