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Igor</w:t>
      </w:r>
      <w:r>
        <w:t xml:space="preserve"> </w:t>
      </w:r>
      <w:r>
        <w:t xml:space="preserve">Dimitrov</w:t>
      </w:r>
    </w:p>
    <w:p>
      <w:pPr>
        <w:pStyle w:val="Date"/>
      </w:pPr>
      <w:r>
        <w:t xml:space="preserve">2023-10-27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p>
      <w:pPr>
        <w:pStyle w:val="FirstParagraph"/>
      </w:pPr>
      <w:r>
        <w:t xml:space="preserve">Einsteins’s theory of of special relativity that expresses the equivalence</w:t>
      </w:r>
      <w:r>
        <w:t xml:space="preserve"> </w:t>
      </w:r>
      <w:r>
        <w:t xml:space="preserve">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</w:t>
        </w:r>
      </w:hyperlink>
      <w:r>
        <w:t xml:space="preserve"> </w:t>
      </w:r>
      <w:r>
        <w:t xml:space="preserve">for a demo of a simple plot</w:t>
      </w:r>
    </w:p>
    <w:bookmarkEnd w:id="23"/>
    <w:bookmarkStart w:id="28" w:name="sec-plot"/>
    <w:p>
      <w:pPr>
        <w:pStyle w:val="Heading2"/>
      </w:pPr>
      <w:r>
        <w:t xml:space="preserve">5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simple"/>
          <w:p>
            <w:pPr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7"/>
        </w:tc>
      </w:tr>
    </w:tbl>
    <w:bookmarkEnd w:id="28"/>
    <w:bookmarkStart w:id="33" w:name="sec-equation"/>
    <w:p>
      <w:pPr>
        <w:pStyle w:val="Heading2"/>
      </w:pPr>
      <w:r>
        <w:t xml:space="preserve">6 Equation</w:t>
      </w:r>
    </w:p>
    <w:p>
      <w:pPr>
        <w:pStyle w:val="FirstParagraph"/>
      </w:pPr>
      <w:bookmarkStart w:id="29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9"/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igord\AppData\Local\Programs\Quarto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33"/>
    <w:bookmarkStart w:id="39" w:name="placing-colorbars"/>
    <w:p>
      <w:pPr>
        <w:pStyle w:val="Heading2"/>
      </w:pPr>
      <w:r>
        <w:t xml:space="preserve">7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4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uthoring_files/figure-docx/cell-3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5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35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Igor Dimitrov</dc:creator>
  <cp:keywords/>
  <dcterms:created xsi:type="dcterms:W3CDTF">2024-04-09T14:25:54Z</dcterms:created>
  <dcterms:modified xsi:type="dcterms:W3CDTF">2024-04-09T14:25:54Z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2023-10-27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