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rP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rPr/>
        <w:t xml:space="preserve"> и </w:t>
      </w:r>
      <w:r>
        <w:rPr>
          <w:i/>
        </w:rPr>
        <w:t>Android</w:t>
      </w:r>
      <w:r>
        <w:rPr/>
        <w:t xml:space="preserve"> клијента реализованог у програмском језику </w:t>
      </w:r>
      <w:r>
        <w:rPr>
          <w:i/>
        </w:rPr>
        <w:t>Kotlin</w:t>
      </w:r>
      <w:r>
        <w:rPr/>
        <w:t xml:space="preserve"> применом алата </w:t>
      </w:r>
      <w:r>
        <w:rPr>
          <w:i/>
        </w:rPr>
        <w:t>Jetpack Compose</w:t>
      </w:r>
      <w:r>
        <w:rP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rP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rPr/>
        <w:t xml:space="preserve">, </w:t>
      </w:r>
      <w:r>
        <w:rPr>
          <w:i/>
        </w:rPr>
        <w:t>Room</w:t>
      </w:r>
      <w:r>
        <w:rPr/>
        <w:t xml:space="preserve">, </w:t>
      </w:r>
      <w:r>
        <w:rPr>
          <w:i/>
        </w:rPr>
        <w:t>DataStore</w:t>
      </w:r>
      <w:r>
        <w:rPr/>
        <w:t xml:space="preserve">, </w:t>
      </w:r>
      <w:r>
        <w:rPr>
          <w:i/>
        </w:rPr>
        <w:t>WorkManager</w:t>
      </w:r>
      <w:r>
        <w:rPr/>
        <w:t xml:space="preserve"> и </w:t>
      </w:r>
      <w:r>
        <w:rPr>
          <w:i/>
        </w:rPr>
        <w:t>Hilt</w:t>
      </w:r>
      <w:r>
        <w:rP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rP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rP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rPr/>
        <w:t xml:space="preserve">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w:t>
      </w:r>
      <w:r>
        <w:rPr/>
        <w:t>Такво окружење се у литератури описује као информационо преоптерећење, стање у коме количина долазних информација превазилази способност њихове обраде [1], [2]. Испитивања спроведена међу корисницима вести показују да се тај осећај јавља управо при праћењу онлајн вести и да га обим излагања вестима предвиђа [3], [4], а последица је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Тон извештавања је у новинарским студијама препозната и мерљива особина текста [5], а његово аутоматско одређивање припада области анализе сентимента [6].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rP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уз навођење предности, ограничења и начина на који је одговарајућа идеја употребљена у систему „Ток”.</w:t>
      </w:r>
      <w:r>
        <w:rPr/>
        <w:t xml:space="preserve"> Систематски прегледи система за препоруку вести показују да та област има особености којих нема у општим препоручивачким системима: садржај брзо застарева, скуп ставки се стално мења, а нови корисник нема историју на основу које би се препорука формирала [7], [8].</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Архитектура таквог система, у коме се рангирање изводи из понашања великог броја корисника, описана је на примеру сервиса Google News [9].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rPr/>
        <w:t>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w:t>
      </w:r>
      <w:r>
        <w:rPr/>
        <w:t xml:space="preserve"> Мерења разноврсности извора на том сервису показала су да персонализација мање сужава избор него што се обично претпоставља, али да сам поступак избора остаје непрозиран за корисника [10].</w:t>
      </w:r>
      <w:r>
        <w:rPr/>
        <w:t xml:space="preserve"> Извор: снимак екрана сервиса </w:t>
      </w:r>
      <w:r>
        <w:rPr>
          <w:i/>
        </w:rPr>
        <w:t>Google News</w:t>
      </w:r>
      <w:r>
        <w:rP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Емпиријска мерења потврђују постојање тог ефекта и показују да је он израженији на платформама са алгоритамски рангираним током [11], [12], при чему сужавању доприносе и алгоритам и сопствени избор корисника [13].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rP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[14].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[15] се користи у асинхроном режиму за моделирање чланака, анализа и семантичких покретања. </w:t>
      </w:r>
      <w:r>
        <w:rPr>
          <w:i/>
        </w:rPr>
        <w:t>PostgreSQL</w:t>
      </w:r>
      <w:r>
        <w:t xml:space="preserve"> [16] је продукциона база, док тестови користе привремену </w:t>
      </w:r>
      <w:r>
        <w:rPr>
          <w:i/>
        </w:rPr>
        <w:t>SQLite</w:t>
      </w:r>
      <w:r>
        <w:t xml:space="preserve"> базу. </w:t>
      </w:r>
      <w:r>
        <w:rPr>
          <w:i/>
        </w:rPr>
        <w:t>Alembic</w:t>
      </w:r>
      <w:r>
        <w:t xml:space="preserve"> [17]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[18], при чему је вишејезички модел неопходан због српске ћирилице, латинице и страних назива који се појављују у вестима. Вишејезичке верзије таквих модела настају дестилацијом знања из једнојезичког модела, па реченице на различитим језицима завршавају у истом векторском простору [19]. Представљање чланака векторима користе и продукциони системи за препоруку вести [20].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[21]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[22]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18CE4481" w14:textId="77777777" w:rsidR="002B5BB4" w:rsidRDefault="00B47641">
      <w:pPr>
        <w:pStyle w:val="Osnovnitekst"/>
      </w:pPr>
      <w:r>
        <w:rPr/>
        <w:t>Анализа сентимента за српски језик располаже ограниченим ресурсима. Јавно доступни означени скупови односе се на филмске рецензије [23], кратке коментаре [24] и поруке са друштвених мрежа [25], док означен скуп вести на српском језику није пронађен. Богата морфологија српског отежава приступе засноване на лексиконима и захтева нормализацију облика речи [26], а вишејезичка мерења показују да је горња граница тачности класификатора одређена слагањем људских оцењивача [27]. У сродним јужнословенским језицима означени корпуси вести постоје [28] и показано је да се вишејезички модели могу применити на вести без података за обуку у циљном језику [29]. Због непостојања домаћег означеног скупа вести, у овом раду је за анализу тона изабран велики језички модел са структурисаним одговором, уз изричиту ограду да добијене вредности нису калибрисане вероватноће.</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[30] је примарни језик </w:t>
      </w:r>
      <w:r>
        <w:rPr>
          <w:i/>
        </w:rPr>
        <w:t>Android</w:t>
      </w:r>
      <w:r>
        <w:t xml:space="preserve"> апликације. </w:t>
      </w:r>
      <w:r>
        <w:rPr>
          <w:i/>
        </w:rPr>
        <w:t>Jetpack Compose</w:t>
      </w:r>
      <w:r>
        <w:t xml:space="preserve"> [31]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[32]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[33]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[34]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[35] гради граф зависности и раздваја интерфејсе од конкретних имплементација. </w:t>
      </w:r>
      <w:r>
        <w:rPr>
          <w:i/>
        </w:rPr>
        <w:t>WorkManager</w:t>
      </w:r>
      <w:r>
        <w:t xml:space="preserve"> [36]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rPr/>
        <w:t xml:space="preserve">Систем је реализован као две одвојене апликације повезане HTTP уговором [37]. Сервер је одговоран за прикупљање и аналитичку обраду, док </w:t>
      </w:r>
      <w:r>
        <w:rPr>
          <w:i/>
        </w:rPr>
        <w:t>Android</w:t>
      </w:r>
      <w:r>
        <w:rP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rP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[38],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rP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rPr/>
        <w:t xml:space="preserve"> има резервну имплементацију у програмском језику </w:t>
      </w:r>
      <w:r>
        <w:rPr>
          <w:i/>
        </w:rPr>
        <w:t>Python</w:t>
      </w:r>
      <w:r>
        <w:rPr/>
        <w:t xml:space="preserve">, а подешавањем </w:t>
      </w:r>
      <w:r>
        <w:rPr>
          <w:i/>
        </w:rPr>
        <w:t>tone_analysis_provider</w:t>
      </w:r>
      <w:r>
        <w:rPr/>
        <w:t xml:space="preserve"> бира се између </w:t>
      </w:r>
      <w:r>
        <w:rPr>
          <w:i/>
        </w:rPr>
        <w:t>Groq</w:t>
      </w:r>
      <w:r>
        <w:rP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rPr/>
        <w:t xml:space="preserve">Однос корака цевовода и стратегија анализе приказан је на слици 4.1.5. </w:t>
      </w:r>
      <w:r>
        <w:rPr>
          <w:i/>
        </w:rPr>
        <w:t>ExistingToneAnalysisStep</w:t>
      </w:r>
      <w:r>
        <w:rP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w:t>
      </w:r>
      <w:r>
        <w:rPr/>
        <w:t xml:space="preserve"> Задатак одлучивања да ли нови чланак извештава о већ виђеном или о новом догађају формално је дефинисан у истраживањима откривања и праћења тема, где се решава инкременталним груписањем уз праг сличности [39], [40]; новији системи исти поступак примењују на вишејезичке токове вести [41].</w:t>
      </w:r>
      <w:r>
        <w:t xml:space="preserve">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w:t>
      </w:r>
      <w:r>
        <w:rPr/>
        <w:t xml:space="preserve"> Тај поступак и његова сложеност блиска линеарној описани су у изворном раду о структури дисјунктних скупова [42].</w:t>
      </w:r>
      <w:r>
        <w:t xml:space="preserve">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rPr/>
        <w:t xml:space="preserve">Вектори се чувају у табели </w:t>
      </w:r>
      <w:r>
        <w:rPr>
          <w:i/>
        </w:rPr>
        <w:t>article_embeddings</w:t>
      </w:r>
      <w:r>
        <w:rPr/>
        <w:t xml:space="preserve"> и поново користе док се текст чланка не промени, а тражење кандидата користи </w:t>
      </w:r>
      <w:r>
        <w:rPr>
          <w:i/>
        </w:rPr>
        <w:t>pgvector</w:t>
      </w:r>
      <w:r>
        <w:rPr/>
        <w:t xml:space="preserve"> упит над истом табелом, уз резервну имплементацију у програмском језику </w:t>
      </w:r>
      <w:r>
        <w:rPr>
          <w:i/>
        </w:rPr>
        <w:t>Python</w:t>
      </w:r>
      <w:r>
        <w:rPr/>
        <w:t>. Одлуке о паровима и предложене групе уписују се као засебно покретање, одвојено од самих чланака, па остаје сачувана историја груписања.</w:t>
      </w:r>
    </w:p>
    <w:p w14:paraId="23DCFE81" w14:textId="77777777" w:rsidR="002B5BB4" w:rsidRDefault="00B47641">
      <w:pPr>
        <w:pStyle w:val="Osnovnitekst"/>
      </w:pPr>
      <w:r>
        <w:rPr/>
        <w:t xml:space="preserve">Учинак те поновне употребе измерен је на стварним подацима, над 1.679 чланака који имају сачуван вектор. Рачунање свих вектора моделом </w:t>
      </w:r>
      <w:r>
        <w:rPr>
          <w:i/>
        </w:rPr>
        <w:t>distiluse-base-multilingual-cased-v2</w:t>
      </w:r>
      <w:r>
        <w:rPr/>
        <w:t xml:space="preserve"> траје 22,48 секунди, односно 13,4 милисекунде по чланку, док читање истих вектора из табеле </w:t>
      </w:r>
      <w:r>
        <w:rPr>
          <w:i/>
        </w:rPr>
        <w:t>article_embeddings</w:t>
      </w:r>
      <w:r>
        <w:rP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[43].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[44].</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rP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rP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rPr/>
        <w:t xml:space="preserve">Ток података чини једносмеран круг: стање се приказује, корисничка радња се преко </w:t>
      </w:r>
      <w:r>
        <w:rPr>
          <w:i/>
        </w:rPr>
        <w:t>callback</w:t>
      </w:r>
      <w:r>
        <w:rPr/>
        <w:t xml:space="preserve"> функције враћа држачу стања, он покреће методу или </w:t>
      </w:r>
      <w:r>
        <w:rPr>
          <w:i/>
        </w:rPr>
        <w:t>Command</w:t>
      </w:r>
      <w:r>
        <w:rP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rPr/>
        <w:t xml:space="preserve">Приказ се не празни током мрежне грешке. Постојећи </w:t>
      </w:r>
      <w:r>
        <w:rPr>
          <w:i/>
        </w:rPr>
        <w:t>Room</w:t>
      </w:r>
      <w:r>
        <w:rPr/>
        <w:t xml:space="preserve"> подаци остају видљиви, а UI добија заставицу </w:t>
      </w:r>
      <w:r>
        <w:rPr>
          <w:i/>
        </w:rPr>
        <w:t>articleRefreshFailed</w:t>
      </w:r>
      <w:r>
        <w:rP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rPr/>
        <w:t xml:space="preserve">Серверски део садржи 69 пословних тестова распоређених у осам датотека, уз </w:t>
      </w:r>
      <w:r>
        <w:rPr>
          <w:i/>
        </w:rPr>
        <w:t>pytest</w:t>
      </w:r>
      <w:r>
        <w:rPr/>
        <w:t xml:space="preserve"> </w:t>
      </w:r>
      <w:r>
        <w:rPr>
          <w:i/>
        </w:rPr>
        <w:t>fixture</w:t>
      </w:r>
      <w:r>
        <w:rPr/>
        <w:t xml:space="preserve"> функцију за привремену базу. Проверавају се руте API-ја, RSS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rP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t>Android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PDF извоза.</w:t>
      </w:r>
    </w:p>
    <w:p w14:paraId="09580093" w14:textId="77777777" w:rsidR="002B5BB4" w:rsidRDefault="00B47641">
      <w:pPr>
        <w:pStyle w:val="Osnovnitekst"/>
      </w:pPr>
      <w:r>
        <w:rPr/>
        <w:t xml:space="preserve">Оба скупа тестова покренута су над верзијом кода анализираном у овом раду. Серверски тестови се извршавају командом </w:t>
      </w:r>
      <w:r>
        <w:rPr>
          <w:i/>
        </w:rPr>
        <w:t>pytest</w:t>
      </w:r>
      <w:r>
        <w:rPr/>
        <w:t xml:space="preserve">, над привременом SQLite базом коју ствара </w:t>
      </w:r>
      <w:r>
        <w:rPr>
          <w:i/>
        </w:rPr>
        <w:t>fixture</w:t>
      </w:r>
      <w:r>
        <w:rPr/>
        <w:t xml:space="preserve"> функција, па не захтевају покренут PostgreSQL; читав скуп траје 94,6 секунди. Клијентски тестови се покрећу задатком </w:t>
      </w:r>
      <w:r>
        <w:rPr>
          <w:i/>
        </w:rPr>
        <w:t>gradlew testDebugUnitTest</w:t>
      </w:r>
      <w:r>
        <w:rPr/>
        <w:t xml:space="preserve"> на JVM-у,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type="auto" w:w="0"/>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b/>
                <w:sz w:val="16"/>
              </w:rPr>
              <w:t>Област</w:t>
            </w:r>
          </w:p>
        </w:tc>
        <w:tc>
          <w:tcPr>
            <w:tcW w:type="dxa" w:w="1606"/>
          </w:tcPr>
          <w:p>
            <w:r>
              <w:rPr>
                <w:b/>
                <w:sz w:val="16"/>
              </w:rPr>
              <w:t>Предуслов и конфигурација</w:t>
            </w:r>
          </w:p>
        </w:tc>
        <w:tc>
          <w:tcPr>
            <w:tcW w:type="dxa" w:w="1606"/>
          </w:tcPr>
          <w:p>
            <w:r>
              <w:rPr>
                <w:b/>
                <w:sz w:val="16"/>
              </w:rPr>
              <w:t>Тест који покрива проверу</w:t>
            </w:r>
          </w:p>
        </w:tc>
        <w:tc>
          <w:tcPr>
            <w:tcW w:type="dxa" w:w="1606"/>
          </w:tcPr>
          <w:p>
            <w:r>
              <w:rPr>
                <w:b/>
                <w:sz w:val="16"/>
              </w:rPr>
              <w:t>Очекивани резултат</w:t>
            </w:r>
          </w:p>
        </w:tc>
        <w:tc>
          <w:tcPr>
            <w:tcW w:type="dxa" w:w="1606"/>
          </w:tcPr>
          <w:p>
            <w:r>
              <w:rPr>
                <w:b/>
                <w:sz w:val="16"/>
              </w:rPr>
              <w:t>Добијени резултат</w:t>
            </w:r>
          </w:p>
        </w:tc>
        <w:tc>
          <w:tcPr>
            <w:tcW w:type="dxa" w:w="1606"/>
          </w:tcPr>
          <w:p>
            <w:r>
              <w:rPr>
                <w:b/>
                <w:sz w:val="16"/>
              </w:rPr>
              <w:t>Исход</w:t>
            </w:r>
          </w:p>
        </w:tc>
      </w:tr>
      <w:tr>
        <w:tc>
          <w:tcPr>
            <w:tcW w:type="dxa" w:w="1606"/>
          </w:tcPr>
          <w:p>
            <w:r>
              <w:rPr>
                <w:sz w:val="16"/>
              </w:rPr>
              <w:t>API</w:t>
            </w:r>
          </w:p>
        </w:tc>
        <w:tc>
          <w:tcPr>
            <w:tcW w:type="dxa" w:w="1606"/>
          </w:tcPr>
          <w:p>
            <w:r>
              <w:rPr>
                <w:sz w:val="16"/>
              </w:rPr>
              <w:t>TestClient, привремена база, чланак означен као неактиван</w:t>
            </w:r>
          </w:p>
        </w:tc>
        <w:tc>
          <w:tcPr>
            <w:tcW w:type="dxa" w:w="1606"/>
          </w:tcPr>
          <w:p>
            <w:r>
              <w:rPr>
                <w:i/>
                <w:sz w:val="16"/>
              </w:rPr>
              <w:t>test_get_inactive_article_returns_not_found</w:t>
            </w:r>
          </w:p>
        </w:tc>
        <w:tc>
          <w:tcPr>
            <w:tcW w:type="dxa" w:w="1606"/>
          </w:tcPr>
          <w:p>
            <w:r>
              <w:rPr>
                <w:sz w:val="16"/>
              </w:rPr>
              <w:t>HTTP 404</w:t>
            </w:r>
          </w:p>
        </w:tc>
        <w:tc>
          <w:tcPr>
            <w:tcW w:type="dxa" w:w="1606"/>
          </w:tcPr>
          <w:p>
            <w:r>
              <w:rPr>
                <w:sz w:val="16"/>
              </w:rPr>
              <w:t>HTTP 404</w:t>
            </w:r>
          </w:p>
        </w:tc>
        <w:tc>
          <w:tcPr>
            <w:tcW w:type="dxa" w:w="1606"/>
          </w:tcPr>
          <w:p>
            <w:r>
              <w:rPr>
                <w:b/>
                <w:sz w:val="16"/>
              </w:rPr>
              <w:t>PASS</w:t>
            </w:r>
          </w:p>
        </w:tc>
      </w:tr>
      <w:tr>
        <w:tc>
          <w:tcPr>
            <w:tcW w:type="dxa" w:w="1606"/>
          </w:tcPr>
          <w:p>
            <w:r>
              <w:rPr>
                <w:sz w:val="16"/>
              </w:rPr>
              <w:t>API</w:t>
            </w:r>
          </w:p>
        </w:tc>
        <w:tc>
          <w:tcPr>
            <w:tcW w:type="dxa" w:w="1606"/>
          </w:tcPr>
          <w:p>
            <w:r>
              <w:rPr>
                <w:sz w:val="16"/>
              </w:rPr>
              <w:t>TestClient, чланак без записа анализе</w:t>
            </w:r>
          </w:p>
        </w:tc>
        <w:tc>
          <w:tcPr>
            <w:tcW w:type="dxa" w:w="1606"/>
          </w:tcPr>
          <w:p>
            <w:r>
              <w:rPr>
                <w:i/>
                <w:sz w:val="16"/>
              </w:rPr>
              <w:t>test_get_article_without_analysis_returns_not_found</w:t>
            </w:r>
          </w:p>
        </w:tc>
        <w:tc>
          <w:tcPr>
            <w:tcW w:type="dxa" w:w="1606"/>
          </w:tcPr>
          <w:p>
            <w:r>
              <w:rPr>
                <w:sz w:val="16"/>
              </w:rPr>
              <w:t>HTTP 404</w:t>
            </w:r>
          </w:p>
        </w:tc>
        <w:tc>
          <w:tcPr>
            <w:tcW w:type="dxa" w:w="1606"/>
          </w:tcPr>
          <w:p>
            <w:r>
              <w:rPr>
                <w:sz w:val="16"/>
              </w:rPr>
              <w:t>HTTP 404</w:t>
            </w:r>
          </w:p>
        </w:tc>
        <w:tc>
          <w:tcPr>
            <w:tcW w:type="dxa" w:w="1606"/>
          </w:tcPr>
          <w:p>
            <w:r>
              <w:rPr>
                <w:b/>
                <w:sz w:val="16"/>
              </w:rPr>
              <w:t>PASS</w:t>
            </w:r>
          </w:p>
        </w:tc>
      </w:tr>
      <w:tr>
        <w:tc>
          <w:tcPr>
            <w:tcW w:type="dxa" w:w="1606"/>
          </w:tcPr>
          <w:p>
            <w:r>
              <w:rPr>
                <w:sz w:val="16"/>
              </w:rPr>
              <w:t>API</w:t>
            </w:r>
          </w:p>
        </w:tc>
        <w:tc>
          <w:tcPr>
            <w:tcW w:type="dxa" w:w="1606"/>
          </w:tcPr>
          <w:p>
            <w:r>
              <w:rPr>
                <w:sz w:val="16"/>
              </w:rPr>
              <w:t>Привремена база без иједног покретања груписања</w:t>
            </w:r>
          </w:p>
        </w:tc>
        <w:tc>
          <w:tcPr>
            <w:tcW w:type="dxa" w:w="1606"/>
          </w:tcPr>
          <w:p>
            <w:r>
              <w:rPr>
                <w:i/>
                <w:sz w:val="16"/>
              </w:rPr>
              <w:t>test_list_article_groups</w:t>
            </w:r>
          </w:p>
        </w:tc>
        <w:tc>
          <w:tcPr>
            <w:tcW w:type="dxa" w:w="1606"/>
          </w:tcPr>
          <w:p>
            <w:r>
              <w:rPr>
                <w:sz w:val="16"/>
              </w:rPr>
              <w:t>HTTP 200 и празна листа</w:t>
            </w:r>
          </w:p>
        </w:tc>
        <w:tc>
          <w:tcPr>
            <w:tcW w:type="dxa" w:w="1606"/>
          </w:tcPr>
          <w:p>
            <w:r>
              <w:rPr>
                <w:sz w:val="16"/>
              </w:rPr>
              <w:t>HTTP 200, празна листа</w:t>
            </w:r>
          </w:p>
        </w:tc>
        <w:tc>
          <w:tcPr>
            <w:tcW w:type="dxa" w:w="1606"/>
          </w:tcPr>
          <w:p>
            <w:r>
              <w:rPr>
                <w:b/>
                <w:sz w:val="16"/>
              </w:rPr>
              <w:t>PASS</w:t>
            </w:r>
          </w:p>
        </w:tc>
      </w:tr>
      <w:tr>
        <w:tc>
          <w:tcPr>
            <w:tcW w:type="dxa" w:w="1606"/>
          </w:tcPr>
          <w:p>
            <w:r>
              <w:rPr>
                <w:sz w:val="16"/>
              </w:rPr>
              <w:t>Тон</w:t>
            </w:r>
          </w:p>
        </w:tc>
        <w:tc>
          <w:tcPr>
            <w:tcW w:type="dxa" w:w="1606"/>
          </w:tcPr>
          <w:p>
            <w:r>
              <w:rPr>
                <w:sz w:val="16"/>
              </w:rPr>
              <w:t>Двојник LLM клијента враћа три вредности са ненултим збиром</w:t>
            </w:r>
          </w:p>
        </w:tc>
        <w:tc>
          <w:tcPr>
            <w:tcW w:type="dxa" w:w="1606"/>
          </w:tcPr>
          <w:p>
            <w:r>
              <w:rPr>
                <w:i/>
                <w:sz w:val="16"/>
              </w:rPr>
              <w:t>test_llm_tone_analysis_strategy_normalizes_response</w:t>
            </w:r>
          </w:p>
        </w:tc>
        <w:tc>
          <w:tcPr>
            <w:tcW w:type="dxa" w:w="1606"/>
          </w:tcPr>
          <w:p>
            <w:r>
              <w:rPr>
                <w:sz w:val="16"/>
              </w:rPr>
              <w:t>Проценти сабрани на 100</w:t>
            </w:r>
          </w:p>
        </w:tc>
        <w:tc>
          <w:tcPr>
            <w:tcW w:type="dxa" w:w="1606"/>
          </w:tcPr>
          <w:p>
            <w:r>
              <w:rPr>
                <w:sz w:val="16"/>
              </w:rPr>
              <w:t>Збир 100,00</w:t>
            </w:r>
          </w:p>
        </w:tc>
        <w:tc>
          <w:tcPr>
            <w:tcW w:type="dxa" w:w="1606"/>
          </w:tcPr>
          <w:p>
            <w:r>
              <w:rPr>
                <w:b/>
                <w:sz w:val="16"/>
              </w:rPr>
              <w:t>PASS</w:t>
            </w:r>
          </w:p>
        </w:tc>
      </w:tr>
      <w:tr>
        <w:tc>
          <w:tcPr>
            <w:tcW w:type="dxa" w:w="1606"/>
          </w:tcPr>
          <w:p>
            <w:r>
              <w:rPr>
                <w:sz w:val="16"/>
              </w:rPr>
              <w:t>Тон</w:t>
            </w:r>
          </w:p>
        </w:tc>
        <w:tc>
          <w:tcPr>
            <w:tcW w:type="dxa" w:w="1606"/>
          </w:tcPr>
          <w:p>
            <w:r>
              <w:rPr>
                <w:sz w:val="16"/>
              </w:rPr>
              <w:t>Двојник LLM клијента враћа 0, 0 и 0</w:t>
            </w:r>
          </w:p>
        </w:tc>
        <w:tc>
          <w:tcPr>
            <w:tcW w:type="dxa" w:w="1606"/>
          </w:tcPr>
          <w:p>
            <w:r>
              <w:rPr>
                <w:i/>
                <w:sz w:val="16"/>
              </w:rPr>
              <w:t>test_llm_tone_analysis_strategy_rejects_zero_total</w:t>
            </w:r>
          </w:p>
        </w:tc>
        <w:tc>
          <w:tcPr>
            <w:tcW w:type="dxa" w:w="1606"/>
          </w:tcPr>
          <w:p>
            <w:r>
              <w:rPr>
                <w:sz w:val="16"/>
              </w:rPr>
              <w:t>Експлицитна грешка</w:t>
            </w:r>
          </w:p>
        </w:tc>
        <w:tc>
          <w:tcPr>
            <w:tcW w:type="dxa" w:w="1606"/>
          </w:tcPr>
          <w:p>
            <w:r>
              <w:rPr>
                <w:sz w:val="16"/>
              </w:rPr>
              <w:t>Подигнут изузетак</w:t>
            </w:r>
          </w:p>
        </w:tc>
        <w:tc>
          <w:tcPr>
            <w:tcW w:type="dxa" w:w="1606"/>
          </w:tcPr>
          <w:p>
            <w:r>
              <w:rPr>
                <w:b/>
                <w:sz w:val="16"/>
              </w:rPr>
              <w:t>PASS</w:t>
            </w:r>
          </w:p>
        </w:tc>
      </w:tr>
      <w:tr>
        <w:tc>
          <w:tcPr>
            <w:tcW w:type="dxa" w:w="1606"/>
          </w:tcPr>
          <w:p>
            <w:r>
              <w:rPr>
                <w:sz w:val="16"/>
              </w:rPr>
              <w:t>Тон</w:t>
            </w:r>
          </w:p>
        </w:tc>
        <w:tc>
          <w:tcPr>
            <w:tcW w:type="dxa" w:w="1606"/>
          </w:tcPr>
          <w:p>
            <w:r>
              <w:rPr>
                <w:sz w:val="16"/>
              </w:rPr>
              <w:t>tone_analysis_provider = groq, без постављеног API кључа</w:t>
            </w:r>
          </w:p>
        </w:tc>
        <w:tc>
          <w:tcPr>
            <w:tcW w:type="dxa" w:w="1606"/>
          </w:tcPr>
          <w:p>
            <w:r>
              <w:rPr>
                <w:i/>
                <w:sz w:val="16"/>
              </w:rPr>
              <w:t>test_factory_requires_groq_api_key</w:t>
            </w:r>
          </w:p>
        </w:tc>
        <w:tc>
          <w:tcPr>
            <w:tcW w:type="dxa" w:w="1606"/>
          </w:tcPr>
          <w:p>
            <w:r>
              <w:rPr>
                <w:sz w:val="16"/>
              </w:rPr>
              <w:t>Одбијање при стварању стратегије</w:t>
            </w:r>
          </w:p>
        </w:tc>
        <w:tc>
          <w:tcPr>
            <w:tcW w:type="dxa" w:w="1606"/>
          </w:tcPr>
          <w:p>
            <w:r>
              <w:rPr>
                <w:sz w:val="16"/>
              </w:rPr>
              <w:t>Подигнут изузетак</w:t>
            </w:r>
          </w:p>
        </w:tc>
        <w:tc>
          <w:tcPr>
            <w:tcW w:type="dxa" w:w="1606"/>
          </w:tcPr>
          <w:p>
            <w:r>
              <w:rPr>
                <w:b/>
                <w:sz w:val="16"/>
              </w:rPr>
              <w:t>PASS</w:t>
            </w:r>
          </w:p>
        </w:tc>
      </w:tr>
      <w:tr>
        <w:tc>
          <w:tcPr>
            <w:tcW w:type="dxa" w:w="1606"/>
          </w:tcPr>
          <w:p>
            <w:r>
              <w:rPr>
                <w:sz w:val="16"/>
              </w:rPr>
              <w:t>Тон, кеш</w:t>
            </w:r>
          </w:p>
        </w:tc>
        <w:tc>
          <w:tcPr>
            <w:tcW w:type="dxa" w:w="1606"/>
          </w:tcPr>
          <w:p>
            <w:r>
              <w:rPr>
                <w:sz w:val="16"/>
              </w:rPr>
              <w:t>Чланак са већ сачуваном анализом за исти улазни хеш</w:t>
            </w:r>
          </w:p>
        </w:tc>
        <w:tc>
          <w:tcPr>
            <w:tcW w:type="dxa" w:w="1606"/>
          </w:tcPr>
          <w:p>
            <w:r>
              <w:rPr>
                <w:i/>
                <w:sz w:val="16"/>
              </w:rPr>
              <w:t>test_tone_analysis_step_reuses_existing_result</w:t>
            </w:r>
          </w:p>
        </w:tc>
        <w:tc>
          <w:tcPr>
            <w:tcW w:type="dxa" w:w="1606"/>
          </w:tcPr>
          <w:p>
            <w:r>
              <w:rPr>
                <w:sz w:val="16"/>
              </w:rPr>
              <w:t>Ниједан спољни позив</w:t>
            </w:r>
          </w:p>
        </w:tc>
        <w:tc>
          <w:tcPr>
            <w:tcW w:type="dxa" w:w="1606"/>
          </w:tcPr>
          <w:p>
            <w:r>
              <w:rPr>
                <w:sz w:val="16"/>
              </w:rPr>
              <w:t>0 позива модела</w:t>
            </w:r>
          </w:p>
        </w:tc>
        <w:tc>
          <w:tcPr>
            <w:tcW w:type="dxa" w:w="1606"/>
          </w:tcPr>
          <w:p>
            <w:r>
              <w:rPr>
                <w:b/>
                <w:sz w:val="16"/>
              </w:rPr>
              <w:t>PASS</w:t>
            </w:r>
          </w:p>
        </w:tc>
      </w:tr>
      <w:tr>
        <w:tc>
          <w:tcPr>
            <w:tcW w:type="dxa" w:w="1606"/>
          </w:tcPr>
          <w:p>
            <w:r>
              <w:rPr>
                <w:sz w:val="16"/>
              </w:rPr>
              <w:t>RSS</w:t>
            </w:r>
          </w:p>
        </w:tc>
        <w:tc>
          <w:tcPr>
            <w:tcW w:type="dxa" w:w="1606"/>
          </w:tcPr>
          <w:p>
            <w:r>
              <w:rPr>
                <w:sz w:val="16"/>
              </w:rPr>
              <w:t>Регистар свих девет подешених извора</w:t>
            </w:r>
          </w:p>
        </w:tc>
        <w:tc>
          <w:tcPr>
            <w:tcW w:type="dxa" w:w="1606"/>
          </w:tcPr>
          <w:p>
            <w:r>
              <w:rPr>
                <w:i/>
                <w:sz w:val="16"/>
              </w:rPr>
              <w:t>test_rss_news_sources_have_unique_metadata</w:t>
            </w:r>
          </w:p>
        </w:tc>
        <w:tc>
          <w:tcPr>
            <w:tcW w:type="dxa" w:w="1606"/>
          </w:tcPr>
          <w:p>
            <w:r>
              <w:rPr>
                <w:sz w:val="16"/>
              </w:rPr>
              <w:t>Јединствени ID и назив</w:t>
            </w:r>
          </w:p>
        </w:tc>
        <w:tc>
          <w:tcPr>
            <w:tcW w:type="dxa" w:w="1606"/>
          </w:tcPr>
          <w:p>
            <w:r>
              <w:rPr>
                <w:sz w:val="16"/>
              </w:rPr>
              <w:t>9 јединствених вредности</w:t>
            </w:r>
          </w:p>
        </w:tc>
        <w:tc>
          <w:tcPr>
            <w:tcW w:type="dxa" w:w="1606"/>
          </w:tcPr>
          <w:p>
            <w:r>
              <w:rPr>
                <w:b/>
                <w:sz w:val="16"/>
              </w:rPr>
              <w:t>PASS</w:t>
            </w:r>
          </w:p>
        </w:tc>
      </w:tr>
      <w:tr>
        <w:tc>
          <w:tcPr>
            <w:tcW w:type="dxa" w:w="1606"/>
          </w:tcPr>
          <w:p>
            <w:r>
              <w:rPr>
                <w:sz w:val="16"/>
              </w:rPr>
              <w:t>RSS</w:t>
            </w:r>
          </w:p>
        </w:tc>
        <w:tc>
          <w:tcPr>
            <w:tcW w:type="dxa" w:w="1606"/>
          </w:tcPr>
          <w:p>
            <w:r>
              <w:rPr>
                <w:sz w:val="16"/>
              </w:rPr>
              <w:t>Један извор истиче време, остали исправни</w:t>
            </w:r>
          </w:p>
        </w:tc>
        <w:tc>
          <w:tcPr>
            <w:tcW w:type="dxa" w:w="1606"/>
          </w:tcPr>
          <w:p>
            <w:r>
              <w:rPr>
                <w:i/>
                <w:sz w:val="16"/>
              </w:rPr>
              <w:t>test_polling_service_isolates_a_failing_source</w:t>
            </w:r>
          </w:p>
        </w:tc>
        <w:tc>
          <w:tcPr>
            <w:tcW w:type="dxa" w:w="1606"/>
          </w:tcPr>
          <w:p>
            <w:r>
              <w:rPr>
                <w:sz w:val="16"/>
              </w:rPr>
              <w:t>Остали извори обрађени</w:t>
            </w:r>
          </w:p>
        </w:tc>
        <w:tc>
          <w:tcPr>
            <w:tcW w:type="dxa" w:w="1606"/>
          </w:tcPr>
          <w:p>
            <w:r>
              <w:rPr>
                <w:sz w:val="16"/>
              </w:rPr>
              <w:t>Остали обрађени</w:t>
            </w:r>
          </w:p>
        </w:tc>
        <w:tc>
          <w:tcPr>
            <w:tcW w:type="dxa" w:w="1606"/>
          </w:tcPr>
          <w:p>
            <w:r>
              <w:rPr>
                <w:b/>
                <w:sz w:val="16"/>
              </w:rPr>
              <w:t>PASS</w:t>
            </w:r>
          </w:p>
        </w:tc>
      </w:tr>
      <w:tr>
        <w:tc>
          <w:tcPr>
            <w:tcW w:type="dxa" w:w="1606"/>
          </w:tcPr>
          <w:p>
            <w:r>
              <w:rPr>
                <w:sz w:val="16"/>
              </w:rPr>
              <w:t>Груписање</w:t>
            </w:r>
          </w:p>
        </w:tc>
        <w:tc>
          <w:tcPr>
            <w:tcW w:type="dxa" w:w="1606"/>
          </w:tcPr>
          <w:p>
            <w:r>
              <w:rPr>
                <w:sz w:val="16"/>
              </w:rPr>
              <w:t>Три чланка, позитивне одлуке А–Б и Б–Ц, пар А–Ц неоцењен</w:t>
            </w:r>
          </w:p>
        </w:tc>
        <w:tc>
          <w:tcPr>
            <w:tcW w:type="dxa" w:w="1606"/>
          </w:tcPr>
          <w:p>
            <w:r>
              <w:rPr>
                <w:i/>
                <w:sz w:val="16"/>
              </w:rPr>
              <w:t>test_assign_returns_transitively_merged_groups</w:t>
            </w:r>
          </w:p>
        </w:tc>
        <w:tc>
          <w:tcPr>
            <w:tcW w:type="dxa" w:w="1606"/>
          </w:tcPr>
          <w:p>
            <w:r>
              <w:rPr>
                <w:sz w:val="16"/>
              </w:rPr>
              <w:t>Једна група од три члана</w:t>
            </w:r>
          </w:p>
        </w:tc>
        <w:tc>
          <w:tcPr>
            <w:tcW w:type="dxa" w:w="1606"/>
          </w:tcPr>
          <w:p>
            <w:r>
              <w:rPr>
                <w:sz w:val="16"/>
              </w:rPr>
              <w:t>Једна група, три члана</w:t>
            </w:r>
          </w:p>
        </w:tc>
        <w:tc>
          <w:tcPr>
            <w:tcW w:type="dxa" w:w="1606"/>
          </w:tcPr>
          <w:p>
            <w:r>
              <w:rPr>
                <w:b/>
                <w:sz w:val="16"/>
              </w:rPr>
              <w:t>PASS</w:t>
            </w:r>
          </w:p>
        </w:tc>
      </w:tr>
      <w:tr>
        <w:tc>
          <w:tcPr>
            <w:tcW w:type="dxa" w:w="1606"/>
          </w:tcPr>
          <w:p>
            <w:r>
              <w:rPr>
                <w:sz w:val="16"/>
              </w:rPr>
              <w:t>Груписање</w:t>
            </w:r>
          </w:p>
        </w:tc>
        <w:tc>
          <w:tcPr>
            <w:tcW w:type="dxa" w:w="1606"/>
          </w:tcPr>
          <w:p>
            <w:r>
              <w:rPr>
                <w:sz w:val="16"/>
              </w:rPr>
              <w:t>Исти улаз обрађен различитим редоследом</w:t>
            </w:r>
          </w:p>
        </w:tc>
        <w:tc>
          <w:tcPr>
            <w:tcW w:type="dxa" w:w="1606"/>
          </w:tcPr>
          <w:p>
            <w:r>
              <w:rPr>
                <w:i/>
                <w:sz w:val="16"/>
              </w:rPr>
              <w:t>test_assign_produces_deterministic_group_ids</w:t>
            </w:r>
          </w:p>
        </w:tc>
        <w:tc>
          <w:tcPr>
            <w:tcW w:type="dxa" w:w="1606"/>
          </w:tcPr>
          <w:p>
            <w:r>
              <w:rPr>
                <w:sz w:val="16"/>
              </w:rPr>
              <w:t>Исти SHA-256 идентификатор групе</w:t>
            </w:r>
          </w:p>
        </w:tc>
        <w:tc>
          <w:tcPr>
            <w:tcW w:type="dxa" w:w="1606"/>
          </w:tcPr>
          <w:p>
            <w:r>
              <w:rPr>
                <w:sz w:val="16"/>
              </w:rPr>
              <w:t>Идентичан идентификатор</w:t>
            </w:r>
          </w:p>
        </w:tc>
        <w:tc>
          <w:tcPr>
            <w:tcW w:type="dxa" w:w="1606"/>
          </w:tcPr>
          <w:p>
            <w:r>
              <w:rPr>
                <w:b/>
                <w:sz w:val="16"/>
              </w:rPr>
              <w:t>PASS</w:t>
            </w:r>
          </w:p>
        </w:tc>
      </w:tr>
      <w:tr>
        <w:tc>
          <w:tcPr>
            <w:tcW w:type="dxa" w:w="1606"/>
          </w:tcPr>
          <w:p>
            <w:r>
              <w:rPr>
                <w:sz w:val="16"/>
              </w:rPr>
              <w:t>Груписање, кеш</w:t>
            </w:r>
          </w:p>
        </w:tc>
        <w:tc>
          <w:tcPr>
            <w:tcW w:type="dxa" w:w="1606"/>
          </w:tcPr>
          <w:p>
            <w:r>
              <w:rPr>
                <w:sz w:val="16"/>
              </w:rPr>
              <w:t>Чланак са сачуваним вектором и непромењеним хешом</w:t>
            </w:r>
          </w:p>
        </w:tc>
        <w:tc>
          <w:tcPr>
            <w:tcW w:type="dxa" w:w="1606"/>
          </w:tcPr>
          <w:p>
            <w:r>
              <w:rPr>
                <w:i/>
                <w:sz w:val="16"/>
              </w:rPr>
              <w:t>test_embedding_service_reuses_stored_embeddings</w:t>
            </w:r>
          </w:p>
        </w:tc>
        <w:tc>
          <w:tcPr>
            <w:tcW w:type="dxa" w:w="1606"/>
          </w:tcPr>
          <w:p>
            <w:r>
              <w:rPr>
                <w:sz w:val="16"/>
              </w:rPr>
              <w:t>Модел се не позива</w:t>
            </w:r>
          </w:p>
        </w:tc>
        <w:tc>
          <w:tcPr>
            <w:tcW w:type="dxa" w:w="1606"/>
          </w:tcPr>
          <w:p>
            <w:r>
              <w:rPr>
                <w:sz w:val="16"/>
              </w:rPr>
              <w:t>0 позива модела</w:t>
            </w:r>
          </w:p>
        </w:tc>
        <w:tc>
          <w:tcPr>
            <w:tcW w:type="dxa" w:w="1606"/>
          </w:tcPr>
          <w:p>
            <w:r>
              <w:rPr>
                <w:b/>
                <w:sz w:val="16"/>
              </w:rPr>
              <w:t>PASS</w:t>
            </w:r>
          </w:p>
        </w:tc>
      </w:tr>
      <w:tr>
        <w:tc>
          <w:tcPr>
            <w:tcW w:type="dxa" w:w="1606"/>
          </w:tcPr>
          <w:p>
            <w:r>
              <w:rPr>
                <w:sz w:val="16"/>
              </w:rPr>
              <w:t>Android, мапирање</w:t>
            </w:r>
          </w:p>
        </w:tc>
        <w:tc>
          <w:tcPr>
            <w:tcW w:type="dxa" w:w="1606"/>
          </w:tcPr>
          <w:p>
            <w:r>
              <w:rPr>
                <w:sz w:val="16"/>
              </w:rPr>
              <w:t>Одговор сервера са процентима чији збир није 100</w:t>
            </w:r>
          </w:p>
        </w:tc>
        <w:tc>
          <w:tcPr>
            <w:tcW w:type="dxa" w:w="1606"/>
          </w:tcPr>
          <w:p>
            <w:r>
              <w:rPr>
                <w:i/>
                <w:sz w:val="16"/>
              </w:rPr>
              <w:t>rejectsTonePercentagesThatDoNotTotalOneHundred</w:t>
            </w:r>
          </w:p>
        </w:tc>
        <w:tc>
          <w:tcPr>
            <w:tcW w:type="dxa" w:w="1606"/>
          </w:tcPr>
          <w:p>
            <w:r>
              <w:rPr>
                <w:sz w:val="16"/>
              </w:rPr>
              <w:t>Одбијање чланка</w:t>
            </w:r>
          </w:p>
        </w:tc>
        <w:tc>
          <w:tcPr>
            <w:tcW w:type="dxa" w:w="1606"/>
          </w:tcPr>
          <w:p>
            <w:r>
              <w:rPr>
                <w:sz w:val="16"/>
              </w:rPr>
              <w:t>Чланак одбијен</w:t>
            </w:r>
          </w:p>
        </w:tc>
        <w:tc>
          <w:tcPr>
            <w:tcW w:type="dxa" w:w="1606"/>
          </w:tcPr>
          <w:p>
            <w:r>
              <w:rPr>
                <w:b/>
                <w:sz w:val="16"/>
              </w:rPr>
              <w:t>PASS</w:t>
            </w:r>
          </w:p>
        </w:tc>
      </w:tr>
      <w:tr>
        <w:tc>
          <w:tcPr>
            <w:tcW w:type="dxa" w:w="1606"/>
          </w:tcPr>
          <w:p>
            <w:r>
              <w:rPr>
                <w:sz w:val="16"/>
              </w:rPr>
              <w:t>Android, кеш</w:t>
            </w:r>
          </w:p>
        </w:tc>
        <w:tc>
          <w:tcPr>
            <w:tcW w:type="dxa" w:w="1606"/>
          </w:tcPr>
          <w:p>
            <w:r>
              <w:rPr>
                <w:sz w:val="16"/>
              </w:rPr>
              <w:t>Анализа уклоњена новијим снимком базе</w:t>
            </w:r>
          </w:p>
        </w:tc>
        <w:tc>
          <w:tcPr>
            <w:tcW w:type="dxa" w:w="1606"/>
          </w:tcPr>
          <w:p>
            <w:r>
              <w:rPr>
                <w:i/>
                <w:sz w:val="16"/>
              </w:rPr>
              <w:t>analyze_returnsNullWhenAnalysisWasRemovedByNewerSnapshot</w:t>
            </w:r>
          </w:p>
        </w:tc>
        <w:tc>
          <w:tcPr>
            <w:tcW w:type="dxa" w:w="1606"/>
          </w:tcPr>
          <w:p>
            <w:r>
              <w:rPr>
                <w:sz w:val="16"/>
              </w:rPr>
              <w:t>Враћа се null, не застарела вредност</w:t>
            </w:r>
          </w:p>
        </w:tc>
        <w:tc>
          <w:tcPr>
            <w:tcW w:type="dxa" w:w="1606"/>
          </w:tcPr>
          <w:p>
            <w:r>
              <w:rPr>
                <w:sz w:val="16"/>
              </w:rPr>
              <w:t>Враћено null</w:t>
            </w:r>
          </w:p>
        </w:tc>
        <w:tc>
          <w:tcPr>
            <w:tcW w:type="dxa" w:w="1606"/>
          </w:tcPr>
          <w:p>
            <w:r>
              <w:rPr>
                <w:b/>
                <w:sz w:val="16"/>
              </w:rPr>
              <w:t>PASS</w:t>
            </w:r>
          </w:p>
        </w:tc>
      </w:tr>
      <w:tr>
        <w:tc>
          <w:tcPr>
            <w:tcW w:type="dxa" w:w="1606"/>
          </w:tcPr>
          <w:p>
            <w:r>
              <w:rPr>
                <w:sz w:val="16"/>
              </w:rPr>
              <w:t>Локација</w:t>
            </w:r>
          </w:p>
        </w:tc>
        <w:tc>
          <w:tcPr>
            <w:tcW w:type="dxa" w:w="1606"/>
          </w:tcPr>
          <w:p>
            <w:r>
              <w:rPr>
                <w:sz w:val="16"/>
              </w:rPr>
              <w:t>Назив града који је део друге речи у тексту</w:t>
            </w:r>
          </w:p>
        </w:tc>
        <w:tc>
          <w:tcPr>
            <w:tcW w:type="dxa" w:w="1606"/>
          </w:tcPr>
          <w:p>
            <w:r>
              <w:rPr>
                <w:i/>
                <w:sz w:val="16"/>
              </w:rPr>
              <w:t>shortCityNameDoesNotMatchPartOfAnotherWord</w:t>
            </w:r>
          </w:p>
        </w:tc>
        <w:tc>
          <w:tcPr>
            <w:tcW w:type="dxa" w:w="1606"/>
          </w:tcPr>
          <w:p>
            <w:r>
              <w:rPr>
                <w:sz w:val="16"/>
              </w:rPr>
              <w:t>Без поклапања</w:t>
            </w:r>
          </w:p>
        </w:tc>
        <w:tc>
          <w:tcPr>
            <w:tcW w:type="dxa" w:w="1606"/>
          </w:tcPr>
          <w:p>
            <w:r>
              <w:rPr>
                <w:sz w:val="16"/>
              </w:rPr>
              <w:t>Без поклапања</w:t>
            </w:r>
          </w:p>
        </w:tc>
        <w:tc>
          <w:tcPr>
            <w:tcW w:type="dxa" w:w="1606"/>
          </w:tcPr>
          <w:p>
            <w:r>
              <w:rPr>
                <w:b/>
                <w:sz w:val="16"/>
              </w:rPr>
              <w:t>PASS</w:t>
            </w:r>
          </w:p>
        </w:tc>
      </w:tr>
      <w:tr>
        <w:tc>
          <w:tcPr>
            <w:tcW w:type="dxa" w:w="1606"/>
          </w:tcPr>
          <w:p>
            <w:r>
              <w:rPr>
                <w:sz w:val="16"/>
              </w:rPr>
              <w:t>Локација</w:t>
            </w:r>
          </w:p>
        </w:tc>
        <w:tc>
          <w:tcPr>
            <w:tcW w:type="dxa" w:w="1606"/>
          </w:tcPr>
          <w:p>
            <w:r>
              <w:rPr>
                <w:sz w:val="16"/>
              </w:rPr>
              <w:t>Координате изван подржаног подручја</w:t>
            </w:r>
          </w:p>
        </w:tc>
        <w:tc>
          <w:tcPr>
            <w:tcW w:type="dxa" w:w="1606"/>
          </w:tcPr>
          <w:p>
            <w:r>
              <w:rPr>
                <w:i/>
                <w:sz w:val="16"/>
              </w:rPr>
              <w:t>returnsNullOutsideSupportedArea</w:t>
            </w:r>
          </w:p>
        </w:tc>
        <w:tc>
          <w:tcPr>
            <w:tcW w:type="dxa" w:w="1606"/>
          </w:tcPr>
          <w:p>
            <w:r>
              <w:rPr>
                <w:sz w:val="16"/>
              </w:rPr>
              <w:t>Враћа се null</w:t>
            </w:r>
          </w:p>
        </w:tc>
        <w:tc>
          <w:tcPr>
            <w:tcW w:type="dxa" w:w="1606"/>
          </w:tcPr>
          <w:p>
            <w:r>
              <w:rPr>
                <w:sz w:val="16"/>
              </w:rPr>
              <w:t>Враћено null</w:t>
            </w:r>
          </w:p>
        </w:tc>
        <w:tc>
          <w:tcPr>
            <w:tcW w:type="dxa" w:w="1606"/>
          </w:tcPr>
          <w:p>
            <w:r>
              <w:rPr>
                <w:b/>
                <w:sz w:val="16"/>
              </w:rPr>
              <w:t>PASS</w:t>
            </w:r>
          </w:p>
        </w:tc>
      </w:tr>
      <w:tr>
        <w:tc>
          <w:tcPr>
            <w:tcW w:type="dxa" w:w="1606"/>
          </w:tcPr>
          <w:p>
            <w:r>
              <w:rPr>
                <w:sz w:val="16"/>
              </w:rPr>
              <w:t>Ударне вести</w:t>
            </w:r>
          </w:p>
        </w:tc>
        <w:tc>
          <w:tcPr>
            <w:tcW w:type="dxa" w:w="1606"/>
          </w:tcPr>
          <w:p>
            <w:r>
              <w:rPr>
                <w:sz w:val="16"/>
              </w:rPr>
              <w:t>Хитна вест старија од два часа, без другог снажног разлога</w:t>
            </w:r>
          </w:p>
        </w:tc>
        <w:tc>
          <w:tcPr>
            <w:tcW w:type="dxa" w:w="1606"/>
          </w:tcPr>
          <w:p>
            <w:r>
              <w:rPr>
                <w:i/>
                <w:sz w:val="16"/>
              </w:rPr>
              <w:t>rejectsStaleUrgentArticleWithoutAnotherStrongSignal</w:t>
            </w:r>
          </w:p>
        </w:tc>
        <w:tc>
          <w:tcPr>
            <w:tcW w:type="dxa" w:w="1606"/>
          </w:tcPr>
          <w:p>
            <w:r>
              <w:rPr>
                <w:sz w:val="16"/>
              </w:rPr>
              <w:t>Вест није ударна</w:t>
            </w:r>
          </w:p>
        </w:tc>
        <w:tc>
          <w:tcPr>
            <w:tcW w:type="dxa" w:w="1606"/>
          </w:tcPr>
          <w:p>
            <w:r>
              <w:rPr>
                <w:sz w:val="16"/>
              </w:rPr>
              <w:t>Није означена као ударна</w:t>
            </w:r>
          </w:p>
        </w:tc>
        <w:tc>
          <w:tcPr>
            <w:tcW w:type="dxa" w:w="1606"/>
          </w:tcPr>
          <w:p>
            <w:r>
              <w:rPr>
                <w:b/>
                <w:sz w:val="16"/>
              </w:rPr>
              <w:t>PASS</w:t>
            </w:r>
          </w:p>
        </w:tc>
      </w:tr>
      <w:tr>
        <w:tc>
          <w:tcPr>
            <w:tcW w:type="dxa" w:w="1606"/>
          </w:tcPr>
          <w:p>
            <w:r>
              <w:rPr>
                <w:sz w:val="16"/>
              </w:rPr>
              <w:t>Обавештења</w:t>
            </w:r>
          </w:p>
        </w:tc>
        <w:tc>
          <w:tcPr>
            <w:tcW w:type="dxa" w:w="1606"/>
          </w:tcPr>
          <w:p>
            <w:r>
              <w:rPr>
                <w:sz w:val="16"/>
              </w:rPr>
              <w:t>Нов чланак који стратегија прихвата као ударну вест</w:t>
            </w:r>
          </w:p>
        </w:tc>
        <w:tc>
          <w:tcPr>
            <w:tcW w:type="dxa" w:w="1606"/>
          </w:tcPr>
          <w:p>
            <w:r>
              <w:rPr>
                <w:i/>
                <w:sz w:val="16"/>
              </w:rPr>
              <w:t>publishesNewArticleAcceptedByStrategy</w:t>
            </w:r>
          </w:p>
        </w:tc>
        <w:tc>
          <w:tcPr>
            <w:tcW w:type="dxa" w:w="1606"/>
          </w:tcPr>
          <w:p>
            <w:r>
              <w:rPr>
                <w:sz w:val="16"/>
              </w:rPr>
              <w:t>Тачно једно обавештење</w:t>
            </w:r>
          </w:p>
        </w:tc>
        <w:tc>
          <w:tcPr>
            <w:tcW w:type="dxa" w:w="1606"/>
          </w:tcPr>
          <w:p>
            <w:r>
              <w:rPr>
                <w:sz w:val="16"/>
              </w:rPr>
              <w:t>Једно обавештење</w:t>
            </w:r>
          </w:p>
        </w:tc>
        <w:tc>
          <w:tcPr>
            <w:tcW w:type="dxa" w:w="1606"/>
          </w:tcPr>
          <w:p>
            <w:r>
              <w:rPr>
                <w:b/>
                <w:sz w:val="16"/>
              </w:rPr>
              <w:t>PASS</w:t>
            </w:r>
          </w:p>
        </w:tc>
      </w:tr>
      <w:tr>
        <w:tc>
          <w:tcPr>
            <w:tcW w:type="dxa" w:w="1606"/>
          </w:tcPr>
          <w:p>
            <w:r>
              <w:rPr>
                <w:sz w:val="16"/>
              </w:rPr>
              <w:t>PDF</w:t>
            </w:r>
          </w:p>
        </w:tc>
        <w:tc>
          <w:tcPr>
            <w:tcW w:type="dxa" w:w="1606"/>
          </w:tcPr>
          <w:p>
            <w:r>
              <w:rPr>
                <w:sz w:val="16"/>
              </w:rPr>
              <w:t>Наслов са знаковима забрањеним у називима датотека</w:t>
            </w:r>
          </w:p>
        </w:tc>
        <w:tc>
          <w:tcPr>
            <w:tcW w:type="dxa" w:w="1606"/>
          </w:tcPr>
          <w:p>
            <w:r>
              <w:rPr>
                <w:i/>
                <w:sz w:val="16"/>
              </w:rPr>
              <w:t>removesCharactersForbiddenByCommonFileSystems</w:t>
            </w:r>
          </w:p>
        </w:tc>
        <w:tc>
          <w:tcPr>
            <w:tcW w:type="dxa" w:w="1606"/>
          </w:tcPr>
          <w:p>
            <w:r>
              <w:rPr>
                <w:sz w:val="16"/>
              </w:rPr>
              <w:t>Безбедан назив датотеке</w:t>
            </w:r>
          </w:p>
        </w:tc>
        <w:tc>
          <w:tcPr>
            <w:tcW w:type="dxa" w:w="1606"/>
          </w:tcPr>
          <w:p>
            <w:r>
              <w:rPr>
                <w:sz w:val="16"/>
              </w:rPr>
              <w:t>Назив без забрањених знакова</w:t>
            </w:r>
          </w:p>
        </w:tc>
        <w:tc>
          <w:tcPr>
            <w:tcW w:type="dxa" w:w="1606"/>
          </w:tcPr>
          <w:p>
            <w:r>
              <w:rPr>
                <w:b/>
                <w:sz w:val="16"/>
              </w:rPr>
              <w:t>PASS</w:t>
            </w:r>
          </w:p>
        </w:tc>
      </w:tr>
    </w:tbl>
    <w:p w14:paraId="09580093" w14:textId="77777777" w:rsidR="002B5BB4" w:rsidRDefault="00B47641">
      <w:pPr>
        <w:pStyle w:val="Osnovnitekst"/>
      </w:pPr>
      <w:r>
        <w:rP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w:t>
      </w:r>
      <w:r>
        <w:rPr/>
        <w:t xml:space="preserve"> Скуп је означио један оцењивач, па међусобно слагање није могуће израчунати; при два или више оцењивача уобичајена мера слагања је Коенов коефицијент κ [45], који се тумачи по устаљеним интервалима [46], уз опрез због његове познате осетљивости на неуравнотежену заступљеност класа [47].</w:t>
      </w:r>
      <w:r>
        <w:t xml:space="preserve">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 Недовољност мера рачунатих по паровима за оцену целих кластера формално је анализирана у литератури о вредновању груписања, где је показано да такве мере не задовољавају истовремено услове хомогености и потпуности кластера [48].</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 xml:space="preserve">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w:t>
      </w:r>
      <w:r>
        <w:lastRenderedPageBreak/>
        <w:t>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rPr/>
        <w:t xml:space="preserve">Серверски апликативни део садржи 146 </w:t>
      </w:r>
      <w:r>
        <w:rPr>
          <w:i/>
        </w:rPr>
        <w:t>Python</w:t>
      </w:r>
      <w:r>
        <w:rPr/>
        <w:t xml:space="preserve"> датотека [49] са 4.165 непразних линија (укупно 4.855), од чега су 43 празни </w:t>
      </w:r>
      <w:r>
        <w:rPr>
          <w:i/>
        </w:rPr>
        <w:t>__init__.py</w:t>
      </w:r>
      <w:r>
        <w:rP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rPr/>
        <w:t xml:space="preserve"> датотека [50]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lastRenderedPageBreak/>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5BC42C1" w14:textId="77777777" w:rsidR="00B41995" w:rsidRDefault="00F4349F">
      <w:pPr>
        <w:pStyle w:val="IInivonaslova-Potpoglavlje"/>
      </w:pPr>
      <w:r>
        <w:rPr/>
        <w:t>Шта је урађено</w:t>
      </w:r>
    </w:p>
    <w:p w14:paraId="3A134B1A" w14:textId="77777777" w:rsidR="002B5BB4" w:rsidRDefault="00B47641">
      <w:pPr>
        <w:pStyle w:val="Osnovnitekst"/>
      </w:pPr>
      <w:r>
        <w:rP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rPr/>
        <w:t xml:space="preserve">, користи </w:t>
      </w:r>
      <w:r>
        <w:rPr>
          <w:i/>
        </w:rPr>
        <w:t>PostgreSQL</w:t>
      </w:r>
      <w:r>
        <w:rPr/>
        <w:t xml:space="preserve"> базу са </w:t>
      </w:r>
      <w:r>
        <w:rPr>
          <w:i/>
        </w:rPr>
        <w:t>Alembic</w:t>
      </w:r>
      <w:r>
        <w:rP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rPr/>
        <w:t xml:space="preserve">, </w:t>
      </w:r>
      <w:r>
        <w:rPr>
          <w:i/>
        </w:rPr>
        <w:t>Room</w:t>
      </w:r>
      <w:r>
        <w:rPr/>
        <w:t xml:space="preserve">, </w:t>
      </w:r>
      <w:r>
        <w:rPr>
          <w:i/>
        </w:rPr>
        <w:t>Hilt</w:t>
      </w:r>
      <w:r>
        <w:rPr/>
        <w:t xml:space="preserve"> и </w:t>
      </w:r>
      <w:r>
        <w:rPr>
          <w:i/>
        </w:rPr>
        <w:t>WorkManager</w:t>
      </w:r>
      <w:r>
        <w:rPr/>
        <w:t>, и комуницира са сервером преко типизованог уговора.</w:t>
      </w:r>
    </w:p>
    <w:p w14:paraId="1134E722" w14:textId="77777777" w:rsidR="002B5BB4" w:rsidRDefault="00B47641">
      <w:pPr>
        <w:pStyle w:val="Osnovnitekst"/>
      </w:pPr>
      <w:r>
        <w:rP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35BC42C1" w14:textId="77777777" w:rsidR="00B41995" w:rsidRDefault="00F4349F">
      <w:pPr>
        <w:pStyle w:val="IInivonaslova-Potpoglavlje"/>
      </w:pPr>
      <w:r>
        <w:rPr/>
        <w:t>Шта је постигнуто и критички осврт</w:t>
      </w:r>
    </w:p>
    <w:p w14:paraId="3593D027" w14:textId="77777777" w:rsidR="002B5BB4" w:rsidRDefault="00B47641">
      <w:pPr>
        <w:pStyle w:val="Osnovnitekst"/>
      </w:pPr>
      <w:r>
        <w:rP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rP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3A134B1A" w14:textId="77777777" w:rsidR="002B5BB4" w:rsidRDefault="00B47641">
      <w:pPr>
        <w:pStyle w:val="Osnovnitekst"/>
      </w:pPr>
      <w:r>
        <w:rP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rP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rP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5BC42C1" w14:textId="77777777" w:rsidR="00B41995" w:rsidRDefault="00F4349F">
      <w:pPr>
        <w:pStyle w:val="IInivonaslova-Potpoglavlje"/>
      </w:pPr>
      <w:r>
        <w:rPr/>
        <w:t>Правци даљег рада</w:t>
      </w:r>
    </w:p>
    <w:p w14:paraId="44635247" w14:textId="77777777" w:rsidR="002B5BB4" w:rsidRDefault="00B47641">
      <w:pPr>
        <w:pStyle w:val="Osnovnitekst"/>
      </w:pPr>
      <w:r>
        <w:rP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3A134B1A" w14:textId="77777777" w:rsidR="002B5BB4" w:rsidRDefault="00B47641">
      <w:pPr>
        <w:pStyle w:val="Osnovnitekst"/>
      </w:pPr>
      <w:r>
        <w:rP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rP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M. J. Eppler, J. Mengis, „The Concept of Information Overload: A Review of Literature from Organization Science, Accounting, Marketing, MIS, and Related Disciplines,” The Information Society, vol. 20, no. 5, 2004, pp. 325–344, doi: 10.1080/01972240490507974.</w:t>
      </w:r>
    </w:p>
    <w:p w14:paraId="23EEB5F2" w14:textId="77777777" w:rsidR="002B5BB4" w:rsidRDefault="00B47641">
      <w:pPr>
        <w:pStyle w:val="Referenca"/>
      </w:pPr>
      <w:r>
        <w:t>D. Bawden, L. Robinson, „The dark side of information: overload, anxiety and other paradoxes and pathologies,” Journal of Information Science, vol. 35, no. 2, 2009, pp. 180–191, doi: 10.1177/0165551508095781.</w:t>
      </w:r>
    </w:p>
    <w:p w14:paraId="23EEB5F2" w14:textId="77777777" w:rsidR="002B5BB4" w:rsidRDefault="00B47641">
      <w:pPr>
        <w:pStyle w:val="Referenca"/>
      </w:pPr>
      <w:r>
        <w:t>A. E. Holton, H. I. Chyi, „News and the Overloaded Consumer: Factors Influencing Information Overload Among News Consumers,” Cyberpsychology, Behavior, and Social Networking, vol. 15, no. 11, 2012, pp. 619–624, doi: 10.1089/cyber.2011.0610.</w:t>
      </w:r>
    </w:p>
    <w:p w14:paraId="23EEB5F2" w14:textId="77777777" w:rsidR="002B5BB4" w:rsidRDefault="00B47641">
      <w:pPr>
        <w:pStyle w:val="Referenca"/>
      </w:pPr>
      <w:r>
        <w:t>J. B. Schmitt, C. A. Debbelt, F. M. Schneider, „Too much information? Predictors of information overload in the context of online news exposure,” Information, Communication &amp; Society, vol. 21, no. 8, 2018, pp. 1151–1167, doi: 10.1080/1369118X.2017.1305427.</w:t>
      </w:r>
    </w:p>
    <w:p w14:paraId="23EEB5F2" w14:textId="77777777" w:rsidR="002B5BB4" w:rsidRDefault="00B47641">
      <w:pPr>
        <w:pStyle w:val="Referenca"/>
      </w:pPr>
      <w:r>
        <w:t>G. Lengauer, F. Esser, R. Berganza, „Negativity in political news: A review of concepts, operationalizations and key findings,” Journalism, vol. 13, no. 2, 2012, pp. 179–202, doi: 10.1177/1464884911427800.</w:t>
      </w:r>
    </w:p>
    <w:p w14:paraId="23EEB5F2" w14:textId="77777777" w:rsidR="002B5BB4" w:rsidRDefault="00B47641">
      <w:pPr>
        <w:pStyle w:val="Referenca"/>
      </w:pPr>
      <w:r>
        <w:t>B. Pang, L. Lee, „Opinion Mining and Sentiment Analysis,” Foundations and Trends in Information Retrieval, vol. 2, no. 1–2, 2008, pp. 1–135, doi: 10.1561/1500000011.</w:t>
      </w:r>
    </w:p>
    <w:p w14:paraId="23EEB5F2" w14:textId="77777777" w:rsidR="002B5BB4" w:rsidRDefault="00B47641">
      <w:pPr>
        <w:pStyle w:val="Referenca"/>
      </w:pPr>
      <w:r>
        <w:t>M. Karimi, D. Jannach, M. Jugovac, „News recommender systems — Survey and roads ahead,” Information Processing &amp; Management, vol. 54, no. 6, 2018, pp. 1203–1227, doi: 10.1016/j.ipm.2018.04.008.</w:t>
      </w:r>
    </w:p>
    <w:p w14:paraId="23EEB5F2" w14:textId="77777777" w:rsidR="002B5BB4" w:rsidRDefault="00B47641">
      <w:pPr>
        <w:pStyle w:val="Referenca"/>
      </w:pPr>
      <w:r>
        <w:t>C. Wu, F. Wu, Y. Huang, X. Xie, „Personalized News Recommendation: Methods and Challenges,” ACM Transactions on Information Systems, vol. 41, no. 1, 2023, article 24, pp. 1–50, doi: 10.1145/3530257.</w:t>
      </w:r>
    </w:p>
    <w:p w14:paraId="23EEB5F2" w14:textId="77777777" w:rsidR="002B5BB4" w:rsidRDefault="00B47641">
      <w:pPr>
        <w:pStyle w:val="Referenca"/>
      </w:pPr>
      <w:r>
        <w:t>A. S. Das, M. Datar, A. Garg, S. Rajaram, „Google news personalization: scalable online collaborative filtering,” Proceedings of the 16th International Conference on World Wide Web (WWW ’07), 2007, pp. 271–280, doi: 10.1145/1242572.1242610.</w:t>
      </w:r>
    </w:p>
    <w:p w14:paraId="23EEB5F2" w14:textId="77777777" w:rsidR="002B5BB4" w:rsidRDefault="00B47641">
      <w:pPr>
        <w:pStyle w:val="Referenca"/>
      </w:pPr>
      <w:r>
        <w:t>M. Haim, A. Graefe, H.-B. Brosius, „Burst of the Filter Bubble? Effects of personalization on the diversity of Google News,” Digital Journalism, vol. 6, no. 3, 2018, pp. 330–343, doi: 10.1080/21670811.2017.1338145.</w:t>
      </w:r>
    </w:p>
    <w:p w14:paraId="23EEB5F2" w14:textId="77777777" w:rsidR="002B5BB4" w:rsidRDefault="00B47641">
      <w:pPr>
        <w:pStyle w:val="Referenca"/>
      </w:pPr>
      <w:r>
        <w:t>S. Flaxman, S. Goel, J. M. Rao, „Filter Bubbles, Echo Chambers, and Online News Consumption,” Public Opinion Quarterly, vol. 80, no. S1, 2016, pp. 298–320, doi: 10.1093/poq/nfw006.</w:t>
      </w:r>
    </w:p>
    <w:p w14:paraId="23EEB5F2" w14:textId="77777777" w:rsidR="002B5BB4" w:rsidRDefault="00B47641">
      <w:pPr>
        <w:pStyle w:val="Referenca"/>
      </w:pPr>
      <w:r>
        <w:t>M. Cinelli, G. De Francisci Morales, A. Galeazzi, W. Quattrociocchi, M. Starnini, „The echo chamber effect on social media,” Proceedings of the National Academy of Sciences, vol. 118, no. 9, 2021, e2023301118, doi: 10.1073/pnas.2023301118.</w:t>
      </w:r>
    </w:p>
    <w:p w14:paraId="23EEB5F2" w14:textId="77777777" w:rsidR="002B5BB4" w:rsidRDefault="00B47641">
      <w:pPr>
        <w:pStyle w:val="Referenca"/>
      </w:pPr>
      <w:r>
        <w:t>E. Bakshy, S. Messing, L. A. Adamic, „Exposure to ideologically diverse news and opinion on Facebook,” Science, vol. 348, no. 6239, 2015, pp. 1130–1132, doi: 10.1126/science.aaa1160.</w:t>
      </w:r>
    </w:p>
    <w:p w14:paraId="23EEB5F2" w14:textId="77777777" w:rsidR="002B5BB4" w:rsidRDefault="00B47641">
      <w:pPr>
        <w:pStyle w:val="Referenca"/>
      </w:pPr>
      <w:r>
        <w:t>FastAPI, „FastAPI Documentation,” https://fastapi.tiangolo.com/, приступано септембар 2026.</w:t>
      </w:r>
    </w:p>
    <w:p w14:paraId="23EEB5F2" w14:textId="77777777" w:rsidR="002B5BB4" w:rsidRDefault="00B47641">
      <w:pPr>
        <w:pStyle w:val="Referenca"/>
      </w:pPr>
      <w:r>
        <w:t>SQLAlchemy, „SQLAlchemy 2.0 Documentation,” https://docs.sqlalchemy.org/, приступано септембар 2026.</w:t>
      </w:r>
    </w:p>
    <w:p w14:paraId="23EEB5F2" w14:textId="77777777" w:rsidR="002B5BB4" w:rsidRDefault="00B47641">
      <w:pPr>
        <w:pStyle w:val="Referenca"/>
      </w:pPr>
      <w:r>
        <w:t>PostgreSQL Global Development Group, „PostgreSQL Documentation,” https://www.postgresql.org/docs/, приступано септембар 2026.</w:t>
      </w:r>
    </w:p>
    <w:p w14:paraId="23EEB5F2" w14:textId="77777777" w:rsidR="002B5BB4" w:rsidRDefault="00B47641">
      <w:pPr>
        <w:pStyle w:val="Referenca"/>
      </w:pPr>
      <w:r>
        <w:t>Alembic, „Alembic Documentation,” https://alembic.sqlalchemy.org/, приступано септембар 2026.</w:t>
      </w:r>
    </w:p>
    <w:p w14:paraId="23EEB5F2" w14:textId="77777777" w:rsidR="002B5BB4" w:rsidRDefault="00B47641">
      <w:pPr>
        <w:pStyle w:val="Referenca"/>
      </w:pPr>
      <w:r>
        <w:t>N. Reimers, I. Gurevych, „Sentence-BERT: Sentence Embeddings using Siamese BERT-Networks,” Proceedings of EMNLP-IJCNLP, 2019, pp. 3982–3992.</w:t>
      </w:r>
    </w:p>
    <w:p w14:paraId="23EEB5F2" w14:textId="77777777" w:rsidR="002B5BB4" w:rsidRDefault="00B47641">
      <w:pPr>
        <w:pStyle w:val="Referenca"/>
      </w:pPr>
      <w:r>
        <w:t>N. Reimers, I. Gurevych, „Making Monolingual Sentence Embeddings Multilingual using Knowledge Distillation,” Proceedings of EMNLP 2020, 2020, pp. 4512–4525, doi: 10.18653/v1/2020.emnlp-main.365.</w:t>
      </w:r>
    </w:p>
    <w:p w14:paraId="23EEB5F2" w14:textId="77777777" w:rsidR="002B5BB4" w:rsidRDefault="00B47641">
      <w:pPr>
        <w:pStyle w:val="Referenca"/>
      </w:pPr>
      <w:r>
        <w:t>S. Okura, Y. Tagami, S. Ono, A. Tajima, „Embedding-based News Recommendation for Millions of Users,” Proceedings of the 23rd ACM SIGKDD International Conference on Knowledge Discovery and Data Mining (KDD ’17), 2017, pp. 1933–1942, doi: 10.1145/3097983.3098108.</w:t>
      </w:r>
    </w:p>
    <w:p w14:paraId="23EEB5F2" w14:textId="77777777" w:rsidR="002B5BB4" w:rsidRDefault="00B47641">
      <w:pPr>
        <w:pStyle w:val="Referenca"/>
      </w:pPr>
      <w:r>
        <w:t>Sentence Transformers, „Documentation,” https://www.sbert.net/, приступано септембар 2026.</w:t>
      </w:r>
    </w:p>
    <w:p w14:paraId="23EEB5F2" w14:textId="77777777" w:rsidR="002B5BB4" w:rsidRDefault="00B47641">
      <w:pPr>
        <w:pStyle w:val="Referenca"/>
      </w:pPr>
      <w:r>
        <w:t>Groq, „Groq API Documentation,” https://console.groq.com/docs, приступано септембар 2026.</w:t>
      </w:r>
    </w:p>
    <w:p w14:paraId="23EEB5F2" w14:textId="77777777" w:rsidR="002B5BB4" w:rsidRDefault="00B47641">
      <w:pPr>
        <w:pStyle w:val="Referenca"/>
      </w:pPr>
      <w:r>
        <w:t>V. Batanović, B. Nikolić, M. Milosavljević, „Reliable Baselines for Sentiment Analysis in Resource-Limited Languages: The Serbian Movie Review Dataset,” Proceedings of the Tenth International Conference on Language Resources and Evaluation (LREC 2016), 2016, pp. 2688–2696, https://aclanthology.org/L16-1427/.</w:t>
      </w:r>
    </w:p>
    <w:p w14:paraId="23EEB5F2" w14:textId="77777777" w:rsidR="002B5BB4" w:rsidRDefault="00B47641">
      <w:pPr>
        <w:pStyle w:val="Referenca"/>
      </w:pPr>
      <w:r>
        <w:t>V. Batanović, M. Cvetanović, B. Nikolić, „A versatile framework for resource-limited sentiment articulation, annotation, and analysis of short texts,” PLOS ONE, vol. 15, no. 11, 2020, e0242050, doi: 10.1371/journal.pone.0242050.</w:t>
      </w:r>
    </w:p>
    <w:p w14:paraId="23EEB5F2" w14:textId="77777777" w:rsidR="002B5BB4" w:rsidRDefault="00B47641">
      <w:pPr>
        <w:pStyle w:val="Referenca"/>
      </w:pPr>
      <w:r>
        <w:t>A. Ljajić, U. Marovac, „Improving sentiment analysis for Twitter data by handling negation rules in the Serbian language,” Computer Science and Information Systems, vol. 16, no. 1, 2019, pp. 289–311, doi: 10.2298/CSIS180122013L.</w:t>
      </w:r>
    </w:p>
    <w:p w14:paraId="23EEB5F2" w14:textId="77777777" w:rsidR="002B5BB4" w:rsidRDefault="00B47641">
      <w:pPr>
        <w:pStyle w:val="Referenca"/>
      </w:pPr>
      <w:r>
        <w:t>M. Mladenović, J. Mitrović, C. Krstev, D. Vitas, „Hybrid sentiment analysis framework for a morphologically rich language,” Journal of Intelligent Information Systems, vol. 46, no. 3, 2016, pp. 599–620, doi: 10.1007/s10844-015-0372-5.</w:t>
      </w:r>
    </w:p>
    <w:p w14:paraId="23EEB5F2" w14:textId="77777777" w:rsidR="002B5BB4" w:rsidRDefault="00B47641">
      <w:pPr>
        <w:pStyle w:val="Referenca"/>
      </w:pPr>
      <w:r>
        <w:t>I. Mozetič, M. Grčar, J. Smailović, „Multilingual Twitter Sentiment Classification: The Role of Human Annotators,” PLOS ONE, vol. 11, no. 5, 2016, e0155036, doi: 10.1371/journal.pone.0155036.</w:t>
      </w:r>
    </w:p>
    <w:p w14:paraId="23EEB5F2" w14:textId="77777777" w:rsidR="002B5BB4" w:rsidRDefault="00B47641">
      <w:pPr>
        <w:pStyle w:val="Referenca"/>
      </w:pPr>
      <w:r>
        <w:t>J. Bučar, M. Žnidaršič, J. Povh, „Annotated news corpora and a lexicon for sentiment analysis in Slovene,” Language Resources and Evaluation, vol. 52, no. 3, 2018, pp. 895–919, doi: 10.1007/s10579-018-9413-3.</w:t>
      </w:r>
    </w:p>
    <w:p w14:paraId="23EEB5F2" w14:textId="77777777" w:rsidR="002B5BB4" w:rsidRDefault="00B47641">
      <w:pPr>
        <w:pStyle w:val="Referenca"/>
      </w:pPr>
      <w:r>
        <w:t>A. Pelicon, M. Pranjić, D. Miljković, B. Škrlj, S. Pollak, „Zero-Shot Learning for Cross-Lingual News Sentiment Classification,” Applied Sciences, vol. 10, no. 17, 2020, 5993, doi: 10.3390/app10175993.</w:t>
      </w:r>
    </w:p>
    <w:p w14:paraId="23EEB5F2" w14:textId="77777777" w:rsidR="002B5BB4" w:rsidRDefault="00B47641">
      <w:pPr>
        <w:pStyle w:val="Referenca"/>
      </w:pPr>
      <w:r>
        <w:t>JetBrains, „Kotlin Coroutines Guide,” https://kotlinlang.org/docs/coroutines-guide.html, приступано септембар 2026.</w:t>
      </w:r>
    </w:p>
    <w:p w14:paraId="23EEB5F2" w14:textId="77777777" w:rsidR="002B5BB4" w:rsidRDefault="00B47641">
      <w:pPr>
        <w:pStyle w:val="Referenca"/>
      </w:pPr>
      <w:r>
        <w:t>Android Developers, „Jetpack Compose,” https://developer.android.com/compose, приступано септембар 2026.</w:t>
      </w:r>
    </w:p>
    <w:p w14:paraId="23EEB5F2" w14:textId="77777777" w:rsidR="002B5BB4" w:rsidRDefault="00B47641">
      <w:pPr>
        <w:pStyle w:val="Referenca"/>
      </w:pPr>
      <w:r>
        <w:t>Google, „Material Design 3,” https://m3.material.io/, приступано септембар 2026.</w:t>
      </w:r>
    </w:p>
    <w:p w14:paraId="23EEB5F2" w14:textId="77777777" w:rsidR="002B5BB4" w:rsidRDefault="00B47641">
      <w:pPr>
        <w:pStyle w:val="Referenca"/>
      </w:pPr>
      <w:r>
        <w:t>Square, „Retrofit,” https://square.github.io/retrofit/, приступано септембар 2026.</w:t>
      </w:r>
    </w:p>
    <w:p w14:paraId="23EEB5F2" w14:textId="77777777" w:rsidR="002B5BB4" w:rsidRDefault="00B47641">
      <w:pPr>
        <w:pStyle w:val="Referenca"/>
      </w:pPr>
      <w:r>
        <w:t>Android Developers, „Save data in a local database using Room,” https://developer.android.com/training/data-storage/room, приступано септембар 2026.</w:t>
      </w:r>
    </w:p>
    <w:p w14:paraId="23EEB5F2" w14:textId="77777777" w:rsidR="002B5BB4" w:rsidRDefault="00B47641">
      <w:pPr>
        <w:pStyle w:val="Referenca"/>
      </w:pPr>
      <w:r>
        <w:t>Android Developers, „Dependency injection with Hilt,” https://developer.android.com/training/dependency-injection/hilt-android, приступано септембар 2026.</w:t>
      </w:r>
    </w:p>
    <w:p w14:paraId="23EEB5F2" w14:textId="77777777" w:rsidR="002B5BB4" w:rsidRDefault="00B47641">
      <w:pPr>
        <w:pStyle w:val="Referenca"/>
      </w:pPr>
      <w:r>
        <w:t>Android Developers, „WorkManager,” https://developer.android.com/topic/libraries/architecture/workmanager, приступано септембар 2026.</w:t>
      </w:r>
    </w:p>
    <w:p w14:paraId="23EEB5F2" w14:textId="77777777" w:rsidR="002B5BB4" w:rsidRDefault="00B47641">
      <w:pPr>
        <w:pStyle w:val="Referenca"/>
      </w:pPr>
      <w:r>
        <w:t>S. Newman, Building Microservices, 2nd ed., O’Reilly Media, 2021.</w:t>
      </w:r>
    </w:p>
    <w:p w14:paraId="23EEB5F2" w14:textId="77777777" w:rsidR="002B5BB4" w:rsidRDefault="00B47641">
      <w:pPr>
        <w:pStyle w:val="Referenca"/>
      </w:pPr>
      <w:r>
        <w:t>M. Fowler, Patterns of Enterprise Application Architecture, Addison-Wesley, 2002.</w:t>
      </w:r>
    </w:p>
    <w:p w14:paraId="23EEB5F2" w14:textId="77777777" w:rsidR="002B5BB4" w:rsidRDefault="00B47641">
      <w:pPr>
        <w:pStyle w:val="Referenca"/>
      </w:pPr>
      <w:r>
        <w:t>J. Allan, R. Papka, V. Lavrenko, „On-line New Event Detection and Tracking,” Proceedings of the 21st Annual International ACM SIGIR Conference on Research and Development in Information Retrieval (SIGIR ’98), 1998, pp. 37–45, doi: 10.1145/290941.290954.</w:t>
      </w:r>
    </w:p>
    <w:p w14:paraId="23EEB5F2" w14:textId="77777777" w:rsidR="002B5BB4" w:rsidRDefault="00B47641">
      <w:pPr>
        <w:pStyle w:val="Referenca"/>
      </w:pPr>
      <w:r>
        <w:t>Y. Yang, T. Pierce, J. Carbonell, „A study of retrospective and on-line event detection,” Proceedings of SIGIR ’98, 1998, pp. 28–36, doi: 10.1145/290941.290953.</w:t>
      </w:r>
    </w:p>
    <w:p w14:paraId="23EEB5F2" w14:textId="77777777" w:rsidR="002B5BB4" w:rsidRDefault="00B47641">
      <w:pPr>
        <w:pStyle w:val="Referenca"/>
      </w:pPr>
      <w:r>
        <w:t>S. Miranda, A. Znotiņš, S. B. Cohen, G. Barzdins, „Multilingual Clustering of Streaming News,” Proceedings of EMNLP 2018, 2018, pp. 4535–4544, doi: 10.18653/v1/D18-1483.</w:t>
      </w:r>
    </w:p>
    <w:p w14:paraId="23EEB5F2" w14:textId="77777777" w:rsidR="002B5BB4" w:rsidRDefault="00B47641">
      <w:pPr>
        <w:pStyle w:val="Referenca"/>
      </w:pPr>
      <w:r>
        <w:t>R. E. Tarjan, „Efficiency of a Good But Not Linear Set Union Algorithm,” Journal of the ACM, vol. 22, no. 2, 1975, pp. 215–225, doi: 10.1145/321879.321884.</w:t>
      </w:r>
    </w:p>
    <w:p w14:paraId="23EEB5F2" w14:textId="77777777" w:rsidR="002B5BB4" w:rsidRDefault="00B47641">
      <w:pPr>
        <w:pStyle w:val="Referenca"/>
      </w:pPr>
      <w:r>
        <w:t>R. T. Fielding, Architectural Styles and the Design of Network-based Software Architectures, doctoral dissertation, University of California, Irvine, 2000.</w:t>
      </w:r>
    </w:p>
    <w:p w14:paraId="23EEB5F2" w14:textId="77777777" w:rsidR="002B5BB4" w:rsidRDefault="00B47641">
      <w:pPr>
        <w:pStyle w:val="Referenca"/>
      </w:pPr>
      <w:r>
        <w:t>Пројектна документација, „News Aggregator API v1,” датотека docs/API_CONTRACT_V1.md, верзија од 25. септембра 2026.</w:t>
      </w:r>
    </w:p>
    <w:p w14:paraId="23EEB5F2" w14:textId="77777777" w:rsidR="002B5BB4" w:rsidRDefault="00B47641">
      <w:pPr>
        <w:pStyle w:val="Referenca"/>
      </w:pPr>
      <w:r>
        <w:t>J. Cohen, „A Coefficient of Agreement for Nominal Scales,” Educational and Psychological Measurement, vol. 20, no. 1, 1960, pp. 37–46, doi: 10.1177/001316446002000104.</w:t>
      </w:r>
    </w:p>
    <w:p w14:paraId="23EEB5F2" w14:textId="77777777" w:rsidR="002B5BB4" w:rsidRDefault="00B47641">
      <w:pPr>
        <w:pStyle w:val="Referenca"/>
      </w:pPr>
      <w:r>
        <w:t>J. R. Landis, G. G. Koch, „The Measurement of Observer Agreement for Categorical Data,” Biometrics, vol. 33, no. 1, 1977, pp. 159–174, doi: 10.2307/2529310.</w:t>
      </w:r>
    </w:p>
    <w:p w14:paraId="23EEB5F2" w14:textId="77777777" w:rsidR="002B5BB4" w:rsidRDefault="00B47641">
      <w:pPr>
        <w:pStyle w:val="Referenca"/>
      </w:pPr>
      <w:r>
        <w:t>R. Artstein, M. Poesio, „Inter-Coder Agreement for Computational Linguistics,” Computational Linguistics, vol. 34, no. 4, 2008, pp. 555–596, doi: 10.1162/coli.07-034-r2.</w:t>
      </w:r>
    </w:p>
    <w:p w14:paraId="23EEB5F2" w14:textId="77777777" w:rsidR="002B5BB4" w:rsidRDefault="00B47641">
      <w:pPr>
        <w:pStyle w:val="Referenca"/>
      </w:pPr>
      <w:r>
        <w:t>E. Amigó, J. Gonzalo, J. Artiles, F. Verdejo, „A comparison of extrinsic clustering evaluation metrics based on formal constraints,” Information Retrieval, vol. 12, no. 4, 2009, pp. 461–486, doi: 10.1007/s10791-008-9066-8.</w:t>
      </w:r>
    </w:p>
    <w:p w14:paraId="23EEB5F2" w14:textId="77777777" w:rsidR="002B5BB4" w:rsidRDefault="00B47641">
      <w:pPr>
        <w:pStyle w:val="Referenca"/>
      </w:pPr>
      <w:r>
        <w:t>Пројектни изворни код, „News Aggregator Backend,” Python/FastAPI репозиторијум, септембар 2026.</w:t>
      </w:r>
    </w:p>
    <w:p w14:paraId="23EEB5F2"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98FB6" w14:textId="77777777" w:rsidR="00737534" w:rsidRDefault="00737534">
      <w:r>
        <w:separator/>
      </w:r>
    </w:p>
  </w:endnote>
  <w:endnote w:type="continuationSeparator" w:id="0">
    <w:p w14:paraId="57560F67" w14:textId="77777777" w:rsidR="00737534" w:rsidRDefault="0073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D154" w14:textId="77777777" w:rsidR="00737534" w:rsidRDefault="00737534">
      <w:r>
        <w:separator/>
      </w:r>
    </w:p>
  </w:footnote>
  <w:footnote w:type="continuationSeparator" w:id="0">
    <w:p w14:paraId="6FA120A5" w14:textId="77777777" w:rsidR="00737534" w:rsidRDefault="0073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56</Pages>
  <Words>12769</Words>
  <Characters>72786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85385</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18</cp:revision>
  <cp:lastPrinted>2010-03-22T09:00:00Z</cp:lastPrinted>
  <dcterms:created xsi:type="dcterms:W3CDTF">2026-09-28T12:58:00Z</dcterms:created>
  <dcterms:modified xsi:type="dcterms:W3CDTF">2026-09-29T13:43:00Z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