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 xml:space="preserve">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w:t>
      </w:r>
      <w:r>
        <w:lastRenderedPageBreak/>
        <w:t>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кроз по један конкретан, широко коришћен представник: Feedly за RSS читаче, Google News за агрегаторе, мобилну апликацију информативне куће N1 за апликације медијских кућа и Reddit за платформе засноване на друштвеном графу. За сваки представник наводе се предности, ограничења и начин на који је одговарајућа идеја употребљена у систему „Ток”, а на крају поглавља сви су упоређени по истим критеријумима.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47D46581" w14:textId="77777777" w:rsidR="002B5BB4" w:rsidRDefault="00B47641">
      <w:pPr>
        <w:pStyle w:val="Osnovnitekst"/>
      </w:pPr>
      <w:r>
        <w:t xml:space="preserve">Као представник ове групе изабран је </w:t>
      </w:r>
      <w:r>
        <w:rPr>
          <w:i/>
        </w:rPr>
        <w:t>Feedly</w:t>
      </w:r>
      <w:r>
        <w:t>, један од најшире коришћених RSS читача, приказан на слици 2.1.1 [9]. Корисник ручно додаје канале и разврстава их у именоване збирке, а ток се приказује строго хронолошки, без алгоритамског рангирања. Приказ ставке садржи наслов, извор и време, док се пун текст отвара на изворном сајту. Сродни извештаји различитих редакција о истом догађају појављују се као засебне ставке и нису међусобно повезани, па корисник сам препознаје да је реч о истом догађају. Категорије потичу из самих канала, па су ознаке неуједначене између извора. Рад без мреже и аутоматско сажимање доступни су само у плаћеним верзијама сервиса.</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05A600D2" w:rsidR="002B5BB4" w:rsidRPr="00164F2F" w:rsidRDefault="00164F2F">
            <w:pPr>
              <w:pStyle w:val="SlikeTabele"/>
              <w:rPr>
                <w:lang w:val="en-US"/>
              </w:rPr>
            </w:pPr>
            <w:r>
              <w:rPr>
                <w:noProof/>
              </w:rPr>
              <w:drawing>
                <wp:inline distT="0" distB="0" distL="0" distR="0" wp14:anchorId="74B4C5E1" wp14:editId="3B85A856">
                  <wp:extent cx="2594663" cy="1853792"/>
                  <wp:effectExtent l="0" t="0" r="0" b="0"/>
                  <wp:docPr id="683396725" name="Picture 1" descr="Getting Started with Feedly - Feedly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ing Started with Feedly - Feedly Document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7922" cy="1863265"/>
                          </a:xfrm>
                          <a:prstGeom prst="rect">
                            <a:avLst/>
                          </a:prstGeom>
                          <a:noFill/>
                          <a:ln>
                            <a:noFill/>
                          </a:ln>
                        </pic:spPr>
                      </pic:pic>
                    </a:graphicData>
                  </a:graphic>
                </wp:inline>
              </w:drawing>
            </w:r>
          </w:p>
        </w:tc>
      </w:tr>
    </w:tbl>
    <w:p w14:paraId="709B8F53" w14:textId="77777777" w:rsidR="002B5BB4" w:rsidRDefault="00B47641">
      <w:pPr>
        <w:pStyle w:val="Oznakaslike"/>
      </w:pPr>
      <w:r>
        <w:t>Слика 2.1.1. Хронолошки ток изабраних канала у RSS читачу Feedly</w:t>
      </w:r>
    </w:p>
    <w:p w14:paraId="0588C8D8" w14:textId="77777777" w:rsidR="002B5BB4" w:rsidRDefault="00B47641">
      <w:pPr>
        <w:pStyle w:val="Osnovnitekst"/>
      </w:pPr>
      <w:r>
        <w:lastRenderedPageBreak/>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Као представник ове групе изабран је Google News, најпознатији и најшире доступан систем те врсте.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Google News [10].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[11].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4C70E905" w14:textId="77777777">
        <w:trPr>
          <w:jc w:val="center"/>
        </w:trPr>
        <w:tc>
          <w:tcPr>
            <w:tcW w:w="9638" w:type="dxa"/>
          </w:tcPr>
          <w:p w14:paraId="3A46E2A0"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6"/>
                          <a:stretch>
                            <a:fillRect/>
                          </a:stretch>
                        </pic:blipFill>
                        <pic:spPr>
                          <a:xfrm>
                            <a:off x="0" y="0"/>
                            <a:ext cx="5040000" cy="4107600"/>
                          </a:xfrm>
                          <a:prstGeom prst="rect">
                            <a:avLst/>
                          </a:prstGeom>
                        </pic:spPr>
                      </pic:pic>
                    </a:graphicData>
                  </a:graphic>
                </wp:inline>
              </w:drawing>
            </w:r>
          </w:p>
        </w:tc>
      </w:tr>
    </w:tbl>
    <w:p w14:paraId="22A836F1" w14:textId="77777777" w:rsidR="002B5BB4" w:rsidRDefault="00B47641">
      <w:pPr>
        <w:pStyle w:val="Oznakaslike"/>
      </w:pPr>
      <w:r>
        <w:t xml:space="preserve">Слика 2.2.1. Насловна страна агрегатора </w:t>
      </w:r>
      <w:r>
        <w:rPr>
          <w:i/>
        </w:rPr>
        <w:t>Google News</w:t>
      </w:r>
      <w:r>
        <w:t xml:space="preserve"> са груписаним извештајима о истом догађају</w:t>
      </w:r>
    </w:p>
    <w:p w14:paraId="1AD644B6" w14:textId="77777777" w:rsidR="002B5BB4" w:rsidRDefault="00B47641">
      <w:pPr>
        <w:pStyle w:val="IInivonaslova-Potpoglavlje"/>
      </w:pPr>
      <w:bookmarkStart w:id="11" w:name="_Toc241499890"/>
      <w:r>
        <w:t>Апликације медијских кућа</w:t>
      </w:r>
      <w:bookmarkEnd w:id="11"/>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A507206" w14:textId="77777777" w:rsidR="002B5BB4" w:rsidRDefault="00B47641">
      <w:pPr>
        <w:pStyle w:val="Osnovnitekst"/>
      </w:pPr>
      <w:r>
        <w:t xml:space="preserve">Као представник ове групе изабрана је мобилна апликација информативне куће </w:t>
      </w:r>
      <w:r>
        <w:rPr>
          <w:i/>
        </w:rPr>
        <w:t>N1</w:t>
      </w:r>
      <w:r>
        <w:t>, чији је RSS канал уједно један од девет извора система „Ток” [12]. Њен изглед приказује слика 2.3.1. Апликација нуди насловну страну са уређивачки одабраним вестима, рубрике, видео-садржај, обавештења о ударним вестима и претрагу унутар сопствене архиве. Све приказане вести потичу искључиво из једне редакције, па корисник нема увид у то како су исти догађај описали други медији. Поређење извештаја захтева инсталацију више оваквих апликација и ручно пребацивање између њих.</w:t>
      </w:r>
    </w:p>
    <w:tbl>
      <w:tblPr>
        <w:tblW w:w="0" w:type="auto"/>
        <w:jc w:val="center"/>
        <w:tblLook w:val="04A0" w:firstRow="1" w:lastRow="0" w:firstColumn="1" w:lastColumn="0" w:noHBand="0" w:noVBand="1"/>
      </w:tblPr>
      <w:tblGrid>
        <w:gridCol w:w="9638"/>
      </w:tblGrid>
      <w:tr w:rsidR="002B5BB4" w14:paraId="252D7000" w14:textId="77777777">
        <w:trPr>
          <w:jc w:val="center"/>
        </w:trPr>
        <w:tc>
          <w:tcPr>
            <w:tcW w:w="9638" w:type="dxa"/>
          </w:tcPr>
          <w:p w14:paraId="6B332C0A" w14:textId="2F26C24C" w:rsidR="002B5BB4" w:rsidRDefault="00037B62">
            <w:pPr>
              <w:pStyle w:val="SlikeTabele"/>
            </w:pPr>
            <w:r w:rsidRPr="00037B62">
              <w:lastRenderedPageBreak/>
              <w:drawing>
                <wp:inline distT="0" distB="0" distL="0" distR="0" wp14:anchorId="7CF8AF47" wp14:editId="195913B2">
                  <wp:extent cx="2288444" cy="1691046"/>
                  <wp:effectExtent l="0" t="0" r="0" b="0"/>
                  <wp:docPr id="7225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948" name=""/>
                          <pic:cNvPicPr/>
                        </pic:nvPicPr>
                        <pic:blipFill>
                          <a:blip r:embed="rId17"/>
                          <a:stretch>
                            <a:fillRect/>
                          </a:stretch>
                        </pic:blipFill>
                        <pic:spPr>
                          <a:xfrm>
                            <a:off x="0" y="0"/>
                            <a:ext cx="2301580" cy="1700753"/>
                          </a:xfrm>
                          <a:prstGeom prst="rect">
                            <a:avLst/>
                          </a:prstGeom>
                        </pic:spPr>
                      </pic:pic>
                    </a:graphicData>
                  </a:graphic>
                </wp:inline>
              </w:drawing>
            </w:r>
          </w:p>
        </w:tc>
      </w:tr>
    </w:tbl>
    <w:p w14:paraId="5B2E66EC" w14:textId="77777777" w:rsidR="002B5BB4" w:rsidRDefault="00B47641">
      <w:pPr>
        <w:pStyle w:val="Oznakaslike"/>
      </w:pPr>
      <w:bookmarkStart w:id="12" w:name="_Toc241499934"/>
      <w:bookmarkEnd w:id="12"/>
      <w:r>
        <w:t>Слика 2.3.1. Насловна страна мобилне апликације информативне куће N1</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[13], [14], при чему сужавању доприносе и алгоритам и сопствени избор корисника [15].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Као представник ове групе изабрана је платформа Reddit, чији је типичан изглед приказан на слици 2.4.1 [16].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w:t>
      </w:r>
      <w:r>
        <w:lastRenderedPageBreak/>
        <w:t xml:space="preserve">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8"/>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IInivonaslova-Potpoglavlje"/>
      </w:pPr>
      <w:r>
        <w:t>Упоредни преглед</w:t>
      </w:r>
    </w:p>
    <w:p w14:paraId="1E2F4B0C" w14:textId="77777777" w:rsidR="002B5BB4" w:rsidRDefault="00B47641">
      <w:pPr>
        <w:pStyle w:val="Osnovnitekst"/>
        <w:rPr>
          <w:lang w:val="sr-Cyrl-RS"/>
        </w:rPr>
      </w:pPr>
      <w:r>
        <w:t>Четири изабрана представника упоређена су по истим критеријумима, изведеним из циљева постављених у уводу: контрола над избором извора, повезивање извештаја о истом догађају, транспарентност редоследа приказа, рад без мреже, аналитички контекст текста, покривеност локалних вести и могућност извоза садржаја. Резултат поређења дат је у табели 2.5.1, у чијој је последњој колони систем „Ток”.</w:t>
      </w:r>
    </w:p>
    <w:p w14:paraId="3D6E8ED2" w14:textId="77777777" w:rsidR="00BA1B78" w:rsidRDefault="00BA1B78">
      <w:pPr>
        <w:pStyle w:val="Osnovnitekst"/>
        <w:rPr>
          <w:lang w:val="sr-Cyrl-RS"/>
        </w:rPr>
      </w:pPr>
    </w:p>
    <w:p w14:paraId="5AFDEB88" w14:textId="77777777" w:rsidR="00BA1B78" w:rsidRDefault="00BA1B78">
      <w:pPr>
        <w:pStyle w:val="Osnovnitekst"/>
        <w:rPr>
          <w:lang w:val="sr-Cyrl-RS"/>
        </w:rPr>
      </w:pPr>
    </w:p>
    <w:p w14:paraId="2117DC73" w14:textId="77777777" w:rsidR="00BA1B78" w:rsidRDefault="00BA1B78">
      <w:pPr>
        <w:pStyle w:val="Osnovnitekst"/>
        <w:rPr>
          <w:lang w:val="sr-Cyrl-RS"/>
        </w:rPr>
      </w:pPr>
    </w:p>
    <w:p w14:paraId="26B45A77" w14:textId="77777777" w:rsidR="00BA1B78" w:rsidRDefault="00BA1B78">
      <w:pPr>
        <w:pStyle w:val="Osnovnitekst"/>
        <w:rPr>
          <w:lang w:val="sr-Cyrl-RS"/>
        </w:rPr>
      </w:pPr>
    </w:p>
    <w:p w14:paraId="2ED2140A" w14:textId="77777777" w:rsidR="00BA1B78" w:rsidRDefault="00BA1B78">
      <w:pPr>
        <w:pStyle w:val="Osnovnitekst"/>
        <w:rPr>
          <w:lang w:val="sr-Cyrl-RS"/>
        </w:rPr>
      </w:pPr>
    </w:p>
    <w:p w14:paraId="53B1F122" w14:textId="77777777" w:rsidR="00BA1B78" w:rsidRDefault="00BA1B78">
      <w:pPr>
        <w:pStyle w:val="Osnovnitekst"/>
        <w:rPr>
          <w:lang w:val="sr-Cyrl-RS"/>
        </w:rPr>
      </w:pPr>
    </w:p>
    <w:p w14:paraId="029DA4A5" w14:textId="77777777" w:rsidR="00BA1B78" w:rsidRDefault="00BA1B78">
      <w:pPr>
        <w:pStyle w:val="Osnovnitekst"/>
        <w:rPr>
          <w:lang w:val="sr-Cyrl-RS"/>
        </w:rPr>
      </w:pPr>
    </w:p>
    <w:p w14:paraId="51333DC1" w14:textId="77777777" w:rsidR="00BA1B78" w:rsidRDefault="00BA1B78">
      <w:pPr>
        <w:pStyle w:val="Osnovnitekst"/>
        <w:rPr>
          <w:lang w:val="sr-Cyrl-RS"/>
        </w:rPr>
      </w:pPr>
    </w:p>
    <w:p w14:paraId="436A2920" w14:textId="77777777" w:rsidR="00BA1B78" w:rsidRDefault="00BA1B78">
      <w:pPr>
        <w:pStyle w:val="Osnovnitekst"/>
        <w:rPr>
          <w:lang w:val="sr-Cyrl-RS"/>
        </w:rPr>
      </w:pPr>
    </w:p>
    <w:p w14:paraId="745FCC01" w14:textId="77777777" w:rsidR="00BA1B78" w:rsidRPr="00BA1B78" w:rsidRDefault="00BA1B78">
      <w:pPr>
        <w:pStyle w:val="Osnovnitekst"/>
        <w:rPr>
          <w:lang w:val="sr-Cyrl-RS"/>
        </w:rPr>
      </w:pPr>
    </w:p>
    <w:p w14:paraId="175EC0A3" w14:textId="77777777" w:rsidR="002B5BB4" w:rsidRDefault="00B47641">
      <w:pPr>
        <w:pStyle w:val="Oznakatabele"/>
      </w:pPr>
      <w:r>
        <w:lastRenderedPageBreak/>
        <w:t>Табела 2.5.1. Поређење изабраних система за праћење вести по заједничким критеријумима</w:t>
      </w:r>
    </w:p>
    <w:tbl>
      <w:tblPr>
        <w:tblStyle w:val="TableGrid"/>
        <w:tblW w:w="0" w:type="auto"/>
        <w:tblLayout w:type="fixed"/>
        <w:tblLook w:val="04A0" w:firstRow="1" w:lastRow="0" w:firstColumn="1" w:lastColumn="0" w:noHBand="0" w:noVBand="1"/>
      </w:tblPr>
      <w:tblGrid>
        <w:gridCol w:w="2178"/>
        <w:gridCol w:w="1348"/>
        <w:gridCol w:w="1458"/>
        <w:gridCol w:w="1604"/>
        <w:gridCol w:w="1530"/>
        <w:gridCol w:w="1736"/>
      </w:tblGrid>
      <w:tr w:rsidR="00100860" w14:paraId="359E95F3" w14:textId="77777777" w:rsidTr="00BA1B78">
        <w:tc>
          <w:tcPr>
            <w:tcW w:w="2178" w:type="dxa"/>
          </w:tcPr>
          <w:p w14:paraId="71A7AAA5" w14:textId="77777777" w:rsidR="00100860" w:rsidRDefault="000F6AA9">
            <w:proofErr w:type="spellStart"/>
            <w:r>
              <w:rPr>
                <w:b/>
              </w:rPr>
              <w:t>Критеријум</w:t>
            </w:r>
            <w:proofErr w:type="spellEnd"/>
          </w:p>
        </w:tc>
        <w:tc>
          <w:tcPr>
            <w:tcW w:w="1348" w:type="dxa"/>
          </w:tcPr>
          <w:p w14:paraId="484A6644" w14:textId="77777777" w:rsidR="00100860" w:rsidRDefault="000F6AA9">
            <w:r>
              <w:rPr>
                <w:b/>
              </w:rPr>
              <w:t>Feedly</w:t>
            </w:r>
          </w:p>
        </w:tc>
        <w:tc>
          <w:tcPr>
            <w:tcW w:w="1458" w:type="dxa"/>
          </w:tcPr>
          <w:p w14:paraId="69420EF3" w14:textId="77777777" w:rsidR="00100860" w:rsidRDefault="000F6AA9">
            <w:r>
              <w:rPr>
                <w:b/>
              </w:rPr>
              <w:t>Google News</w:t>
            </w:r>
          </w:p>
        </w:tc>
        <w:tc>
          <w:tcPr>
            <w:tcW w:w="1604" w:type="dxa"/>
          </w:tcPr>
          <w:p w14:paraId="26446EB9" w14:textId="77777777" w:rsidR="00100860" w:rsidRDefault="000F6AA9">
            <w:r>
              <w:rPr>
                <w:b/>
              </w:rPr>
              <w:t>N1</w:t>
            </w:r>
          </w:p>
        </w:tc>
        <w:tc>
          <w:tcPr>
            <w:tcW w:w="1530" w:type="dxa"/>
          </w:tcPr>
          <w:p w14:paraId="2A587F02" w14:textId="77777777" w:rsidR="00100860" w:rsidRDefault="000F6AA9">
            <w:r>
              <w:rPr>
                <w:b/>
              </w:rPr>
              <w:t>Reddit</w:t>
            </w:r>
          </w:p>
        </w:tc>
        <w:tc>
          <w:tcPr>
            <w:tcW w:w="1736" w:type="dxa"/>
          </w:tcPr>
          <w:p w14:paraId="200D345D" w14:textId="77777777" w:rsidR="00100860" w:rsidRDefault="000F6AA9">
            <w:r>
              <w:rPr>
                <w:b/>
              </w:rPr>
              <w:t>Ток</w:t>
            </w:r>
          </w:p>
        </w:tc>
      </w:tr>
      <w:tr w:rsidR="00100860" w14:paraId="002F57D6" w14:textId="77777777" w:rsidTr="00BA1B78">
        <w:tc>
          <w:tcPr>
            <w:tcW w:w="2178" w:type="dxa"/>
          </w:tcPr>
          <w:p w14:paraId="1FEB4DAB" w14:textId="77777777" w:rsidR="00100860" w:rsidRDefault="000F6AA9">
            <w:proofErr w:type="spellStart"/>
            <w:r>
              <w:t>Избор</w:t>
            </w:r>
            <w:proofErr w:type="spellEnd"/>
            <w:r>
              <w:t xml:space="preserve"> </w:t>
            </w:r>
            <w:proofErr w:type="spellStart"/>
            <w:r>
              <w:t>извора</w:t>
            </w:r>
            <w:proofErr w:type="spellEnd"/>
          </w:p>
        </w:tc>
        <w:tc>
          <w:tcPr>
            <w:tcW w:w="1348" w:type="dxa"/>
          </w:tcPr>
          <w:p w14:paraId="210F4A0D" w14:textId="77777777" w:rsidR="00100860" w:rsidRDefault="000F6AA9">
            <w:r>
              <w:t>корисник ручно додаје канале</w:t>
            </w:r>
          </w:p>
        </w:tc>
        <w:tc>
          <w:tcPr>
            <w:tcW w:w="1458" w:type="dxa"/>
          </w:tcPr>
          <w:p w14:paraId="62989FA6" w14:textId="77777777" w:rsidR="00100860" w:rsidRDefault="000F6AA9">
            <w:r>
              <w:t>алгоритам, уз ограничено подешавање</w:t>
            </w:r>
          </w:p>
        </w:tc>
        <w:tc>
          <w:tcPr>
            <w:tcW w:w="1604" w:type="dxa"/>
          </w:tcPr>
          <w:p w14:paraId="143195B9" w14:textId="77777777" w:rsidR="00100860" w:rsidRDefault="000F6AA9">
            <w:r>
              <w:t>једна редакција</w:t>
            </w:r>
          </w:p>
        </w:tc>
        <w:tc>
          <w:tcPr>
            <w:tcW w:w="1530" w:type="dxa"/>
          </w:tcPr>
          <w:p w14:paraId="4D499BB2" w14:textId="77777777" w:rsidR="00100860" w:rsidRDefault="000F6AA9">
            <w:r>
              <w:t>заједнице и налози које корисник прати</w:t>
            </w:r>
          </w:p>
        </w:tc>
        <w:tc>
          <w:tcPr>
            <w:tcW w:w="1736" w:type="dxa"/>
          </w:tcPr>
          <w:p w14:paraId="1BE6CC11" w14:textId="77777777" w:rsidR="00100860" w:rsidRDefault="000F6AA9">
            <w:r>
              <w:t>корисник бира категорије и изворе</w:t>
            </w:r>
          </w:p>
        </w:tc>
      </w:tr>
      <w:tr w:rsidR="00100860" w14:paraId="12202EBF" w14:textId="77777777" w:rsidTr="00BA1B78">
        <w:tc>
          <w:tcPr>
            <w:tcW w:w="2178" w:type="dxa"/>
          </w:tcPr>
          <w:p w14:paraId="33494DF0" w14:textId="77777777" w:rsidR="00100860" w:rsidRDefault="000F6AA9">
            <w:r>
              <w:t>Повезивање извештаја о истом догађају</w:t>
            </w:r>
          </w:p>
        </w:tc>
        <w:tc>
          <w:tcPr>
            <w:tcW w:w="1348" w:type="dxa"/>
          </w:tcPr>
          <w:p w14:paraId="1E3FB593" w14:textId="77777777" w:rsidR="00100860" w:rsidRDefault="000F6AA9">
            <w:r>
              <w:t>нема</w:t>
            </w:r>
          </w:p>
        </w:tc>
        <w:tc>
          <w:tcPr>
            <w:tcW w:w="1458" w:type="dxa"/>
          </w:tcPr>
          <w:p w14:paraId="0D2591E9" w14:textId="77777777" w:rsidR="00100860" w:rsidRDefault="000F6AA9">
            <w:r>
              <w:t>има, поступак није објављен</w:t>
            </w:r>
          </w:p>
        </w:tc>
        <w:tc>
          <w:tcPr>
            <w:tcW w:w="1604" w:type="dxa"/>
          </w:tcPr>
          <w:p w14:paraId="755B5263" w14:textId="77777777" w:rsidR="00100860" w:rsidRDefault="000F6AA9">
            <w:r>
              <w:t>нема</w:t>
            </w:r>
          </w:p>
        </w:tc>
        <w:tc>
          <w:tcPr>
            <w:tcW w:w="1530" w:type="dxa"/>
          </w:tcPr>
          <w:p w14:paraId="4B748963" w14:textId="77777777" w:rsidR="00100860" w:rsidRDefault="000F6AA9">
            <w:r>
              <w:t>посредно, кроз коментаре</w:t>
            </w:r>
          </w:p>
        </w:tc>
        <w:tc>
          <w:tcPr>
            <w:tcW w:w="1736" w:type="dxa"/>
          </w:tcPr>
          <w:p w14:paraId="50C78AAF" w14:textId="77777777" w:rsidR="00100860" w:rsidRDefault="000F6AA9">
            <w:r>
              <w:t>има, косинусна сличност уз праг 0,69</w:t>
            </w:r>
          </w:p>
        </w:tc>
      </w:tr>
      <w:tr w:rsidR="00100860" w14:paraId="60E97725" w14:textId="77777777" w:rsidTr="00BA1B78">
        <w:tc>
          <w:tcPr>
            <w:tcW w:w="2178" w:type="dxa"/>
          </w:tcPr>
          <w:p w14:paraId="77AE20B0" w14:textId="77777777" w:rsidR="00100860" w:rsidRDefault="000F6AA9">
            <w:proofErr w:type="spellStart"/>
            <w:r>
              <w:t>Транспарентно</w:t>
            </w:r>
            <w:r>
              <w:t>с</w:t>
            </w:r>
            <w:r>
              <w:t>т</w:t>
            </w:r>
            <w:proofErr w:type="spellEnd"/>
            <w:r>
              <w:t xml:space="preserve"> </w:t>
            </w:r>
            <w:proofErr w:type="spellStart"/>
            <w:r>
              <w:t>редоследа</w:t>
            </w:r>
            <w:proofErr w:type="spellEnd"/>
          </w:p>
        </w:tc>
        <w:tc>
          <w:tcPr>
            <w:tcW w:w="1348" w:type="dxa"/>
          </w:tcPr>
          <w:p w14:paraId="6E28EED4" w14:textId="77777777" w:rsidR="00100860" w:rsidRDefault="000F6AA9">
            <w:r>
              <w:t>потпуна, строго хронолошки</w:t>
            </w:r>
          </w:p>
        </w:tc>
        <w:tc>
          <w:tcPr>
            <w:tcW w:w="1458" w:type="dxa"/>
          </w:tcPr>
          <w:p w14:paraId="335F34A0" w14:textId="77777777" w:rsidR="00100860" w:rsidRDefault="000F6AA9">
            <w:r>
              <w:t>није јавна</w:t>
            </w:r>
          </w:p>
        </w:tc>
        <w:tc>
          <w:tcPr>
            <w:tcW w:w="1604" w:type="dxa"/>
          </w:tcPr>
          <w:p w14:paraId="6672B078" w14:textId="2BF5D595" w:rsidR="00100860" w:rsidRDefault="000F6AA9">
            <w:proofErr w:type="spellStart"/>
            <w:r>
              <w:t>уређивач</w:t>
            </w:r>
            <w:proofErr w:type="spellEnd"/>
            <w:r w:rsidR="00BA1B78">
              <w:rPr>
                <w:lang w:val="sr-Cyrl-RS"/>
              </w:rPr>
              <w:t>к</w:t>
            </w:r>
            <w:r>
              <w:t xml:space="preserve">а </w:t>
            </w:r>
            <w:proofErr w:type="spellStart"/>
            <w:r>
              <w:t>одлука</w:t>
            </w:r>
            <w:proofErr w:type="spellEnd"/>
          </w:p>
        </w:tc>
        <w:tc>
          <w:tcPr>
            <w:tcW w:w="1530" w:type="dxa"/>
          </w:tcPr>
          <w:p w14:paraId="58E8DD55" w14:textId="77777777" w:rsidR="00100860" w:rsidRDefault="000F6AA9">
            <w:r>
              <w:t>није јавна, зависи од ангажовања</w:t>
            </w:r>
          </w:p>
        </w:tc>
        <w:tc>
          <w:tcPr>
            <w:tcW w:w="1736" w:type="dxa"/>
          </w:tcPr>
          <w:p w14:paraId="787FFBBD" w14:textId="570B9253" w:rsidR="00100860" w:rsidRDefault="000F6AA9">
            <w:proofErr w:type="spellStart"/>
            <w:r>
              <w:t>детерминистичк</w:t>
            </w:r>
            <w:r>
              <w:t>а</w:t>
            </w:r>
            <w:proofErr w:type="spellEnd"/>
            <w:r>
              <w:t xml:space="preserve"> </w:t>
            </w:r>
            <w:proofErr w:type="spellStart"/>
            <w:r>
              <w:t>правила</w:t>
            </w:r>
            <w:proofErr w:type="spellEnd"/>
            <w:r>
              <w:t xml:space="preserve"> у </w:t>
            </w:r>
            <w:proofErr w:type="spellStart"/>
            <w:r>
              <w:t>изворном</w:t>
            </w:r>
            <w:proofErr w:type="spellEnd"/>
            <w:r>
              <w:t xml:space="preserve"> коду, покривена тестовима</w:t>
            </w:r>
          </w:p>
        </w:tc>
      </w:tr>
      <w:tr w:rsidR="00100860" w14:paraId="52776E79" w14:textId="77777777" w:rsidTr="00BA1B78">
        <w:tc>
          <w:tcPr>
            <w:tcW w:w="2178" w:type="dxa"/>
          </w:tcPr>
          <w:p w14:paraId="778CBF73" w14:textId="77777777" w:rsidR="00100860" w:rsidRDefault="000F6AA9">
            <w:r>
              <w:t>Рад без мреже</w:t>
            </w:r>
          </w:p>
        </w:tc>
        <w:tc>
          <w:tcPr>
            <w:tcW w:w="1348" w:type="dxa"/>
          </w:tcPr>
          <w:p w14:paraId="6D998607" w14:textId="77777777" w:rsidR="00100860" w:rsidRDefault="000F6AA9">
            <w:r>
              <w:t>само у плаћеним верзијама</w:t>
            </w:r>
          </w:p>
        </w:tc>
        <w:tc>
          <w:tcPr>
            <w:tcW w:w="1458" w:type="dxa"/>
          </w:tcPr>
          <w:p w14:paraId="35B7A012" w14:textId="77777777" w:rsidR="00100860" w:rsidRDefault="000F6AA9">
            <w:r>
              <w:t>ограничено кеширање</w:t>
            </w:r>
          </w:p>
        </w:tc>
        <w:tc>
          <w:tcPr>
            <w:tcW w:w="1604" w:type="dxa"/>
          </w:tcPr>
          <w:p w14:paraId="6084B12C" w14:textId="77777777" w:rsidR="00100860" w:rsidRDefault="000F6AA9">
            <w:r>
              <w:t>ограничено кеширање</w:t>
            </w:r>
          </w:p>
        </w:tc>
        <w:tc>
          <w:tcPr>
            <w:tcW w:w="1530" w:type="dxa"/>
          </w:tcPr>
          <w:p w14:paraId="5D8DCEA2" w14:textId="77777777" w:rsidR="00100860" w:rsidRDefault="000F6AA9">
            <w:r>
              <w:t>нема</w:t>
            </w:r>
          </w:p>
        </w:tc>
        <w:tc>
          <w:tcPr>
            <w:tcW w:w="1736" w:type="dxa"/>
          </w:tcPr>
          <w:p w14:paraId="243CFB0A" w14:textId="77777777" w:rsidR="00100860" w:rsidRDefault="000F6AA9">
            <w:r>
              <w:t>локална Room база, приказ без мреже</w:t>
            </w:r>
          </w:p>
        </w:tc>
      </w:tr>
      <w:tr w:rsidR="00100860" w14:paraId="601C5203" w14:textId="77777777" w:rsidTr="00BA1B78">
        <w:tc>
          <w:tcPr>
            <w:tcW w:w="2178" w:type="dxa"/>
          </w:tcPr>
          <w:p w14:paraId="4AD5E881" w14:textId="77777777" w:rsidR="00100860" w:rsidRDefault="000F6AA9">
            <w:r>
              <w:t>Аналитички контекст текста</w:t>
            </w:r>
          </w:p>
        </w:tc>
        <w:tc>
          <w:tcPr>
            <w:tcW w:w="1348" w:type="dxa"/>
          </w:tcPr>
          <w:p w14:paraId="0B4580D2" w14:textId="77777777" w:rsidR="00100860" w:rsidRDefault="000F6AA9">
            <w:r>
              <w:t>нема</w:t>
            </w:r>
          </w:p>
        </w:tc>
        <w:tc>
          <w:tcPr>
            <w:tcW w:w="1458" w:type="dxa"/>
          </w:tcPr>
          <w:p w14:paraId="046BB79C" w14:textId="77777777" w:rsidR="00100860" w:rsidRDefault="000F6AA9">
            <w:r>
              <w:t>нема</w:t>
            </w:r>
          </w:p>
        </w:tc>
        <w:tc>
          <w:tcPr>
            <w:tcW w:w="1604" w:type="dxa"/>
          </w:tcPr>
          <w:p w14:paraId="336F7B71" w14:textId="77777777" w:rsidR="00100860" w:rsidRDefault="000F6AA9">
            <w:r>
              <w:t>нема</w:t>
            </w:r>
          </w:p>
        </w:tc>
        <w:tc>
          <w:tcPr>
            <w:tcW w:w="1530" w:type="dxa"/>
          </w:tcPr>
          <w:p w14:paraId="56DF787D" w14:textId="77777777" w:rsidR="00100860" w:rsidRDefault="000F6AA9">
            <w:r>
              <w:t>посредно, кроз реакције корисника</w:t>
            </w:r>
          </w:p>
        </w:tc>
        <w:tc>
          <w:tcPr>
            <w:tcW w:w="1736" w:type="dxa"/>
          </w:tcPr>
          <w:p w14:paraId="561E3677" w14:textId="77777777" w:rsidR="00100860" w:rsidRDefault="000F6AA9">
            <w:r>
              <w:t>расподела три тона по чланку</w:t>
            </w:r>
          </w:p>
        </w:tc>
      </w:tr>
      <w:tr w:rsidR="00100860" w14:paraId="43AE4336" w14:textId="77777777" w:rsidTr="00BA1B78">
        <w:tc>
          <w:tcPr>
            <w:tcW w:w="2178" w:type="dxa"/>
          </w:tcPr>
          <w:p w14:paraId="398334AD" w14:textId="77777777" w:rsidR="00100860" w:rsidRDefault="000F6AA9">
            <w:r>
              <w:t>Локалне вести</w:t>
            </w:r>
          </w:p>
        </w:tc>
        <w:tc>
          <w:tcPr>
            <w:tcW w:w="1348" w:type="dxa"/>
          </w:tcPr>
          <w:p w14:paraId="7988A6CA" w14:textId="77777777" w:rsidR="00100860" w:rsidRDefault="000F6AA9">
            <w:r>
              <w:t>само ако корисник дода локални канал</w:t>
            </w:r>
          </w:p>
        </w:tc>
        <w:tc>
          <w:tcPr>
            <w:tcW w:w="1458" w:type="dxa"/>
          </w:tcPr>
          <w:p w14:paraId="0A737A57" w14:textId="77777777" w:rsidR="00100860" w:rsidRDefault="000F6AA9">
            <w:r>
              <w:t>има, на основу локације</w:t>
            </w:r>
          </w:p>
        </w:tc>
        <w:tc>
          <w:tcPr>
            <w:tcW w:w="1604" w:type="dxa"/>
          </w:tcPr>
          <w:p w14:paraId="0B28FEE6" w14:textId="77777777" w:rsidR="00100860" w:rsidRDefault="000F6AA9">
            <w:r>
              <w:t>има, у оквиру једне редакције</w:t>
            </w:r>
          </w:p>
        </w:tc>
        <w:tc>
          <w:tcPr>
            <w:tcW w:w="1530" w:type="dxa"/>
          </w:tcPr>
          <w:p w14:paraId="3EC7863C" w14:textId="77777777" w:rsidR="00100860" w:rsidRDefault="000F6AA9">
            <w:r>
              <w:t>посредно, кроз локалне заједнице</w:t>
            </w:r>
          </w:p>
        </w:tc>
        <w:tc>
          <w:tcPr>
            <w:tcW w:w="1736" w:type="dxa"/>
          </w:tcPr>
          <w:p w14:paraId="07758CFC" w14:textId="77777777" w:rsidR="00100860" w:rsidRDefault="000F6AA9">
            <w:r>
              <w:t>има, филтрирање по GPS локацији</w:t>
            </w:r>
          </w:p>
        </w:tc>
      </w:tr>
      <w:tr w:rsidR="00100860" w14:paraId="4DF06720" w14:textId="77777777" w:rsidTr="00BA1B78">
        <w:tc>
          <w:tcPr>
            <w:tcW w:w="2178" w:type="dxa"/>
          </w:tcPr>
          <w:p w14:paraId="0F555A25" w14:textId="77777777" w:rsidR="00100860" w:rsidRDefault="000F6AA9">
            <w:r>
              <w:t>Извоз и дељење</w:t>
            </w:r>
          </w:p>
        </w:tc>
        <w:tc>
          <w:tcPr>
            <w:tcW w:w="1348" w:type="dxa"/>
          </w:tcPr>
          <w:p w14:paraId="586FE3A7" w14:textId="77777777" w:rsidR="00100860" w:rsidRDefault="000F6AA9">
            <w:r>
              <w:t>дељење и интеграције са другим сервисима</w:t>
            </w:r>
          </w:p>
        </w:tc>
        <w:tc>
          <w:tcPr>
            <w:tcW w:w="1458" w:type="dxa"/>
          </w:tcPr>
          <w:p w14:paraId="577D6FEF" w14:textId="77777777" w:rsidR="00100860" w:rsidRDefault="000F6AA9">
            <w:r>
              <w:t>дељење линка</w:t>
            </w:r>
          </w:p>
        </w:tc>
        <w:tc>
          <w:tcPr>
            <w:tcW w:w="1604" w:type="dxa"/>
          </w:tcPr>
          <w:p w14:paraId="023BFDBE" w14:textId="77777777" w:rsidR="00100860" w:rsidRDefault="000F6AA9">
            <w:r>
              <w:t>дељење линка</w:t>
            </w:r>
          </w:p>
        </w:tc>
        <w:tc>
          <w:tcPr>
            <w:tcW w:w="1530" w:type="dxa"/>
          </w:tcPr>
          <w:p w14:paraId="5282144D" w14:textId="77777777" w:rsidR="00100860" w:rsidRDefault="000F6AA9">
            <w:r>
              <w:t>дељење линка</w:t>
            </w:r>
          </w:p>
        </w:tc>
        <w:tc>
          <w:tcPr>
            <w:tcW w:w="1736" w:type="dxa"/>
          </w:tcPr>
          <w:p w14:paraId="6351A33E" w14:textId="77777777" w:rsidR="00100860" w:rsidRDefault="000F6AA9">
            <w:r>
              <w:t>дељење и извоз у PDF</w:t>
            </w:r>
          </w:p>
        </w:tc>
      </w:tr>
      <w:tr w:rsidR="00100860" w14:paraId="06F66BF7" w14:textId="77777777" w:rsidTr="00BA1B78">
        <w:tc>
          <w:tcPr>
            <w:tcW w:w="2178" w:type="dxa"/>
          </w:tcPr>
          <w:p w14:paraId="1AB11C28" w14:textId="77777777" w:rsidR="00100860" w:rsidRDefault="000F6AA9">
            <w:r>
              <w:t>Доступност решења</w:t>
            </w:r>
          </w:p>
        </w:tc>
        <w:tc>
          <w:tcPr>
            <w:tcW w:w="1348" w:type="dxa"/>
          </w:tcPr>
          <w:p w14:paraId="1791E2BB" w14:textId="77777777" w:rsidR="00100860" w:rsidRDefault="000F6AA9">
            <w:r>
              <w:t>комерцијалан сервис, затворен код</w:t>
            </w:r>
          </w:p>
        </w:tc>
        <w:tc>
          <w:tcPr>
            <w:tcW w:w="1458" w:type="dxa"/>
          </w:tcPr>
          <w:p w14:paraId="52B3DC40" w14:textId="77777777" w:rsidR="00100860" w:rsidRDefault="000F6AA9">
            <w:r>
              <w:t>бесплатан, затворен код</w:t>
            </w:r>
          </w:p>
        </w:tc>
        <w:tc>
          <w:tcPr>
            <w:tcW w:w="1604" w:type="dxa"/>
          </w:tcPr>
          <w:p w14:paraId="5915658E" w14:textId="77777777" w:rsidR="00100860" w:rsidRDefault="000F6AA9">
            <w:r>
              <w:t>бесплатан, затворен код</w:t>
            </w:r>
          </w:p>
        </w:tc>
        <w:tc>
          <w:tcPr>
            <w:tcW w:w="1530" w:type="dxa"/>
          </w:tcPr>
          <w:p w14:paraId="24E5DE6A" w14:textId="77777777" w:rsidR="00100860" w:rsidRDefault="000F6AA9">
            <w:r>
              <w:t>бесплатан, затворен код</w:t>
            </w:r>
          </w:p>
        </w:tc>
        <w:tc>
          <w:tcPr>
            <w:tcW w:w="1736" w:type="dxa"/>
          </w:tcPr>
          <w:p w14:paraId="21925C94" w14:textId="77777777" w:rsidR="00100860" w:rsidRDefault="000F6AA9">
            <w:r>
              <w:t>отворен изворни код прототипа</w:t>
            </w:r>
          </w:p>
        </w:tc>
      </w:tr>
    </w:tbl>
    <w:p w14:paraId="3698A02C" w14:textId="77777777" w:rsidR="002B5BB4" w:rsidRDefault="00B47641">
      <w:pPr>
        <w:pStyle w:val="Oznakatabele"/>
      </w:pPr>
      <w:bookmarkStart w:id="15" w:name="_Toc241499963"/>
      <w:bookmarkEnd w:id="15"/>
      <w:r>
        <w:t>Табела 2.5.2. Приступи праћењу вести и њихова примена у систему „Ток”</w:t>
      </w:r>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t>Засебан екран предложених група уз калибрисан праг</w:t>
            </w:r>
          </w:p>
        </w:tc>
      </w:tr>
    </w:tbl>
    <w:p w14:paraId="18458FBA" w14:textId="77777777" w:rsidR="002B5BB4" w:rsidRDefault="00B47641">
      <w:pPr>
        <w:pStyle w:val="Osnovnitekst"/>
      </w:pPr>
      <w:r>
        <w:t>Поређење показује да ниједан од посматраних система не покрива истовремено сва четири својства која су у уводу постављена као циљ: слободан избор извора, повезивање извештаја различитих редакција о истом догађају, проверљива правила редоследа приказа и потпун рад без мреже. Feedly даје контролу над изворима, али не повезује извештаје; Google News повезује извештаје, али не објављује правила; апликација једне редакције нуди најпотпунији приказ сопственог садржаја, али не омогућава поређење; платформа заснована на друштвеном графу доноси брзину, али и посредан извор. Систем „Ток” је по обиму знатно мањи од комерцијалних система, али на једном месту обједињује наведена својства и све одлуке држи у изворном коду који је могуће прегледати и тестирати.</w:t>
      </w:r>
    </w:p>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[17].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[18] се користи у асинхроном режиму за моделирање чланака, анализа и семантичких покретања. </w:t>
      </w:r>
      <w:r>
        <w:rPr>
          <w:i/>
        </w:rPr>
        <w:t>PostgreSQL</w:t>
      </w:r>
      <w:r>
        <w:t xml:space="preserve"> [19] је продукциона база, док тестови користе привремену </w:t>
      </w:r>
      <w:r>
        <w:rPr>
          <w:i/>
        </w:rPr>
        <w:t>SQLite</w:t>
      </w:r>
      <w:r>
        <w:t xml:space="preserve"> базу. </w:t>
      </w:r>
      <w:r>
        <w:rPr>
          <w:i/>
        </w:rPr>
        <w:t>Alembic</w:t>
      </w:r>
      <w:r>
        <w:t xml:space="preserve"> [20]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[21],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[22]. Представљање чланака векторима користе и продукциони системи за препоруку вести [23].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[24]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[25] представља опциони </w:t>
      </w:r>
      <w:r>
        <w:lastRenderedPageBreak/>
        <w:t>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FA7A0F2" w14:textId="77777777" w:rsidR="002B5BB4" w:rsidRDefault="00B47641">
      <w:pPr>
        <w:pStyle w:val="Osnovnitekst"/>
      </w:pPr>
      <w:r>
        <w:t>Анализа сентимента за српски језик располаже ограниченим ресурсима. Јавно доступни означени скупови односе се на филмске рецензије [26], кратке коментаре [27] и поруке са друштвених мрежа [28],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[29], а вишејезичка мерења показују да је горња граница тачности класификатора одређена слагањем људских оцењивача [30]. У сродним јужнословенским језицима означени корпуси вести постоје [31] и показано је да се вишејезички модели могу применити на вести без података за обуку у циљном језику [32].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0" w:name="_Toc241499896"/>
      <w:r>
        <w:t>Kotlin и Jetpack Compose</w:t>
      </w:r>
      <w:bookmarkEnd w:id="20"/>
    </w:p>
    <w:p w14:paraId="356D4345" w14:textId="77777777" w:rsidR="002B5BB4" w:rsidRDefault="00B47641">
      <w:pPr>
        <w:pStyle w:val="Osnovnitekst"/>
      </w:pPr>
      <w:r>
        <w:rPr>
          <w:i/>
        </w:rPr>
        <w:t>Kotlin</w:t>
      </w:r>
      <w:r>
        <w:t xml:space="preserve"> [33] је примарни језик </w:t>
      </w:r>
      <w:r>
        <w:rPr>
          <w:i/>
        </w:rPr>
        <w:t>Android</w:t>
      </w:r>
      <w:r>
        <w:t xml:space="preserve"> апликације. </w:t>
      </w:r>
      <w:r>
        <w:rPr>
          <w:i/>
        </w:rPr>
        <w:t>Jetpack Compose</w:t>
      </w:r>
      <w:r>
        <w:t xml:space="preserve"> [34]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[35]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[36]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[37]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[38] гради граф зависности и раздваја интерфејсе од конкретних имплементација. </w:t>
      </w:r>
      <w:r>
        <w:rPr>
          <w:i/>
        </w:rPr>
        <w:t>WorkManager</w:t>
      </w:r>
      <w:r>
        <w:t xml:space="preserve"> [39]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lastRenderedPageBreak/>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[40].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8590644" cy="4680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9"/>
                    <a:stretch>
                      <a:fillRect/>
                    </a:stretch>
                  </pic:blipFill>
                  <pic:spPr>
                    <a:xfrm>
                      <a:off x="0" y="0"/>
                      <a:ext cx="8590644" cy="4680040"/>
                    </a:xfrm>
                    <a:prstGeom prst="rect">
                      <a:avLst/>
                    </a:prstGeom>
                  </pic:spPr>
                </pic:pic>
              </a:graphicData>
            </a:graphic>
          </wp:inline>
        </w:drawing>
      </w:r>
    </w:p>
    <w:p w14:paraId="0668A0F4"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[41], а сервиси координишу више операција.</w:t>
      </w:r>
    </w:p>
    <w:p w14:paraId="70777A09"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8810016" cy="468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20"/>
                    <a:stretch>
                      <a:fillRect/>
                    </a:stretch>
                  </pic:blipFill>
                  <pic:spPr>
                    <a:xfrm>
                      <a:off x="0" y="0"/>
                      <a:ext cx="8810016" cy="4680040"/>
                    </a:xfrm>
                    <a:prstGeom prst="rect">
                      <a:avLst/>
                    </a:prstGeom>
                  </pic:spPr>
                </pic:pic>
              </a:graphicData>
            </a:graphic>
          </wp:inline>
        </w:drawing>
      </w:r>
    </w:p>
    <w:p w14:paraId="18639E9B"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t xml:space="preserve"> има резервну имплементацију у програмском језику </w:t>
      </w:r>
      <w:r>
        <w:rPr>
          <w:i/>
        </w:rPr>
        <w:t>Python</w:t>
      </w:r>
      <w:r>
        <w:t xml:space="preserve">, а подешавањем </w:t>
      </w:r>
      <w:r>
        <w:rPr>
          <w:i/>
        </w:rPr>
        <w:t>tone_analysis_provider</w:t>
      </w:r>
      <w:r>
        <w:t xml:space="preserve"> бира се између </w:t>
      </w:r>
      <w:r>
        <w:rPr>
          <w:i/>
        </w:rPr>
        <w:t>Groq</w:t>
      </w:r>
      <w: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6120130" cy="24480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21"/>
                    <a:stretch>
                      <a:fillRect/>
                    </a:stretch>
                  </pic:blipFill>
                  <pic:spPr>
                    <a:xfrm>
                      <a:off x="0" y="0"/>
                      <a:ext cx="6120130" cy="2448052"/>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7842690" cy="468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2"/>
                    <a:stretch>
                      <a:fillRect/>
                    </a:stretch>
                  </pic:blipFill>
                  <pic:spPr>
                    <a:xfrm>
                      <a:off x="0" y="0"/>
                      <a:ext cx="7842690" cy="4680040"/>
                    </a:xfrm>
                    <a:prstGeom prst="rect">
                      <a:avLst/>
                    </a:prstGeom>
                  </pic:spPr>
                </pic:pic>
              </a:graphicData>
            </a:graphic>
          </wp:inline>
        </w:drawing>
      </w:r>
    </w:p>
    <w:p w14:paraId="672BA76C"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7289454" cy="468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3"/>
                    <a:stretch>
                      <a:fillRect/>
                    </a:stretch>
                  </pic:blipFill>
                  <pic:spPr>
                    <a:xfrm>
                      <a:off x="0" y="0"/>
                      <a:ext cx="7289454" cy="4680040"/>
                    </a:xfrm>
                    <a:prstGeom prst="rect">
                      <a:avLst/>
                    </a:prstGeom>
                  </pic:spPr>
                </pic:pic>
              </a:graphicData>
            </a:graphic>
          </wp:inline>
        </w:drawing>
      </w:r>
    </w:p>
    <w:p w14:paraId="4E6200AC"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lastRenderedPageBreak/>
        <w:t xml:space="preserve">Системска порука верзије </w:t>
      </w:r>
      <w:r>
        <w:rPr>
          <w:i/>
        </w:rPr>
        <w:t>v2</w:t>
      </w:r>
      <w:r>
        <w:t xml:space="preserve">, дефинисана као константа </w:t>
      </w:r>
      <w:r>
        <w:rPr>
          <w:i/>
        </w:rPr>
        <w:t>ToneAnalysisPrompt.SYSTEM_MESSAGE</w:t>
      </w:r>
      <w:r>
        <w:t>, налаже моделу да оцењује начин на који су наслов и 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[42], [43]; новији системи исти поступак примењују на вишејезичке токове вести [44].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6120130" cy="34495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4"/>
                    <a:stretch>
                      <a:fillRect/>
                    </a:stretch>
                  </pic:blipFill>
                  <pic:spPr>
                    <a:xfrm>
                      <a:off x="0" y="0"/>
                      <a:ext cx="6120130" cy="3449527"/>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Тај поступак и његова сложеност блиска линеарној описани су у изворном раду о структури дисјунктних скупова [45].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8134073" cy="4680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5"/>
                    <a:stretch>
                      <a:fillRect/>
                    </a:stretch>
                  </pic:blipFill>
                  <pic:spPr>
                    <a:xfrm>
                      <a:off x="0" y="0"/>
                      <a:ext cx="8134073" cy="4680040"/>
                    </a:xfrm>
                    <a:prstGeom prst="rect">
                      <a:avLst/>
                    </a:prstGeom>
                  </pic:spPr>
                </pic:pic>
              </a:graphicData>
            </a:graphic>
          </wp:inline>
        </w:drawing>
      </w:r>
    </w:p>
    <w:p w14:paraId="5D230754"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w:t>
      </w:r>
    </w:p>
    <w:p w14:paraId="1CD63D9B" w14:textId="77777777" w:rsidR="002B5BB4" w:rsidRDefault="00B47641">
      <w:pPr>
        <w:pStyle w:val="Osnovnitekst"/>
      </w:pPr>
      <w: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t xml:space="preserve"> траје 22,48 секунди, односно 13,4 милисекунде по чланку, док читање истих вектора из табеле </w:t>
      </w:r>
      <w:r>
        <w:rPr>
          <w:i/>
        </w:rPr>
        <w:t>article_embeddings</w:t>
      </w:r>
      <w: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[46].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[47].</w:t>
      </w:r>
    </w:p>
    <w:p w14:paraId="286364F8"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8877602" cy="4680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6"/>
                    <a:stretch>
                      <a:fillRect/>
                    </a:stretch>
                  </pic:blipFill>
                  <pic:spPr>
                    <a:xfrm>
                      <a:off x="0" y="0"/>
                      <a:ext cx="8877602" cy="4680040"/>
                    </a:xfrm>
                    <a:prstGeom prst="rect">
                      <a:avLst/>
                    </a:prstGeom>
                  </pic:spPr>
                </pic:pic>
              </a:graphicData>
            </a:graphic>
          </wp:inline>
        </w:drawing>
      </w:r>
    </w:p>
    <w:p w14:paraId="1B6EE037"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6120130" cy="32513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7"/>
                    <a:stretch>
                      <a:fillRect/>
                    </a:stretch>
                  </pic:blipFill>
                  <pic:spPr>
                    <a:xfrm>
                      <a:off x="0" y="0"/>
                      <a:ext cx="6120130" cy="3251319"/>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8810016" cy="4680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8"/>
                    <a:stretch>
                      <a:fillRect/>
                    </a:stretch>
                  </pic:blipFill>
                  <pic:spPr>
                    <a:xfrm>
                      <a:off x="0" y="0"/>
                      <a:ext cx="8810016" cy="4680040"/>
                    </a:xfrm>
                    <a:prstGeom prst="rect">
                      <a:avLst/>
                    </a:prstGeom>
                  </pic:spPr>
                </pic:pic>
              </a:graphicData>
            </a:graphic>
          </wp:inline>
        </w:drawing>
      </w:r>
    </w:p>
    <w:p w14:paraId="68D40240"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6120130" cy="34425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9"/>
                    <a:stretch>
                      <a:fillRect/>
                    </a:stretch>
                  </pic:blipFill>
                  <pic:spPr>
                    <a:xfrm>
                      <a:off x="0" y="0"/>
                      <a:ext cx="6120130" cy="3442573"/>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9091262" cy="46800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30"/>
                    <a:stretch>
                      <a:fillRect/>
                    </a:stretch>
                  </pic:blipFill>
                  <pic:spPr>
                    <a:xfrm>
                      <a:off x="0" y="0"/>
                      <a:ext cx="9091262" cy="4680040"/>
                    </a:xfrm>
                    <a:prstGeom prst="rect">
                      <a:avLst/>
                    </a:prstGeom>
                  </pic:spPr>
                </pic:pic>
              </a:graphicData>
            </a:graphic>
          </wp:inline>
        </w:drawing>
      </w:r>
    </w:p>
    <w:p w14:paraId="1DC0111A"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8" w:name="_Toc241499947"/>
      <w:r>
        <w:t>Слика 4.2.3. Освежавање вести уз задржавање кеша</w:t>
      </w:r>
      <w:bookmarkEnd w:id="48"/>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8690161" cy="4680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31"/>
                    <a:stretch>
                      <a:fillRect/>
                    </a:stretch>
                  </pic:blipFill>
                  <pic:spPr>
                    <a:xfrm>
                      <a:off x="0" y="0"/>
                      <a:ext cx="8690161" cy="4680040"/>
                    </a:xfrm>
                    <a:prstGeom prst="rect">
                      <a:avLst/>
                    </a:prstGeom>
                  </pic:spPr>
                </pic:pic>
              </a:graphicData>
            </a:graphic>
          </wp:inline>
        </w:drawing>
      </w:r>
    </w:p>
    <w:p w14:paraId="5E141EDA"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8623280" cy="4680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2"/>
                    <a:stretch>
                      <a:fillRect/>
                    </a:stretch>
                  </pic:blipFill>
                  <pic:spPr>
                    <a:xfrm>
                      <a:off x="0" y="0"/>
                      <a:ext cx="8623280" cy="4680040"/>
                    </a:xfrm>
                    <a:prstGeom prst="rect">
                      <a:avLst/>
                    </a:prstGeom>
                  </pic:spPr>
                </pic:pic>
              </a:graphicData>
            </a:graphic>
          </wp:inline>
        </w:drawing>
      </w:r>
    </w:p>
    <w:p w14:paraId="720AA7E7"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t xml:space="preserve">Ток података чини једносмеран круг: стање се приказује, корисничка радња се преко </w:t>
      </w:r>
      <w:r>
        <w:rPr>
          <w:i/>
        </w:rPr>
        <w:t>callback</w:t>
      </w:r>
      <w:r>
        <w:t xml:space="preserve"> функције враћа држачу стања, он покреће методу или </w:t>
      </w:r>
      <w:r>
        <w:rPr>
          <w:i/>
        </w:rPr>
        <w:t>Command</w:t>
      </w:r>
      <w: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sectPr w:rsidR="00A30F40" w:rsidSect="001551E5">
          <w:headerReference w:type="default" r:id="rId55"/>
          <w:footerReference w:type="default" r:id="rId56"/>
          <w:headerReference w:type="first" r:id="rId57"/>
          <w:footerReference w:type="first" r:id="rId58"/>
          <w:type w:val="nextPage"/>
          <w:pgSz w:w="11906" w:h="16838" w:code="9"/>
          <w:pgMar w:top="1701" w:right="1134" w:bottom="1701" w:left="1134" w:header="709" w:footer="709" w:gutter="0"/>
          <w:cols w:space="708"/>
          <w:docGrid w:linePitch="360"/>
        </w:sectPr>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9251950" cy="4675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3"/>
                    <a:stretch>
                      <a:fillRect/>
                    </a:stretch>
                  </pic:blipFill>
                  <pic:spPr>
                    <a:xfrm>
                      <a:off x="0" y="0"/>
                      <a:ext cx="9251950" cy="4675967"/>
                    </a:xfrm>
                    <a:prstGeom prst="rect">
                      <a:avLst/>
                    </a:prstGeom>
                  </pic:spPr>
                </pic:pic>
              </a:graphicData>
            </a:graphic>
          </wp:inline>
        </w:drawing>
      </w:r>
    </w:p>
    <w:p w14:paraId="0D33562B" w14:textId="77777777" w:rsidR="002B5BB4" w:rsidRDefault="00B47641">
      <w:pPr>
        <w:pStyle w:val="Oznakaslike"/>
        <w:sectPr w:rsidR="00A30F40" w:rsidSect="001551E5">
          <w:headerReference w:type="default" r:id="rId55"/>
          <w:footerReference w:type="default" r:id="rId56"/>
          <w:headerReference w:type="first" r:id="rId57"/>
          <w:footerReference w:type="first" r:id="rId58"/>
          <w:type w:val="nextPage"/>
          <w:pgSz w:w="16838" w:h="11906" w:code="9" w:orient="landscape"/>
          <w:pgMar w:top="1701" w:right="1134" w:bottom="1701" w:left="1134" w:header="709" w:footer="709" w:gutter="0"/>
          <w:cols w:space="708"/>
          <w:docGrid w:linePitch="360"/>
        </w:sectPr>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4"/>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5"/>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6"/>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7"/>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8"/>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9"/>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41"/>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2"/>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3"/>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4"/>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5"/>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6"/>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7"/>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8"/>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9"/>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50"/>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51"/>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2"/>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3"/>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4"/>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69 пословних тестова распоређених у осам датотека, уз </w:t>
      </w:r>
      <w:r>
        <w:rPr>
          <w:i/>
        </w:rPr>
        <w:t>pytest</w:t>
      </w:r>
      <w:r>
        <w:t xml:space="preserve"> </w:t>
      </w:r>
      <w:r>
        <w:rPr>
          <w:i/>
        </w:rPr>
        <w:t>fixture</w:t>
      </w:r>
      <w: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t>Android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6206270B" w14:textId="77777777" w:rsidR="002B5BB4" w:rsidRDefault="00B47641">
      <w:pPr>
        <w:pStyle w:val="Osnovnitekst"/>
      </w:pPr>
      <w:r>
        <w:t xml:space="preserve">Оба скупа тестова покренута су над верзијом кода анализираном у овом раду. Серверски тестови се извршавају командом </w:t>
      </w:r>
      <w:r>
        <w:rPr>
          <w:i/>
        </w:rPr>
        <w:t>pytest</w:t>
      </w:r>
      <w:r>
        <w:t xml:space="preserve">, над привременом SQLite базом коју ствара </w:t>
      </w:r>
      <w:r>
        <w:rPr>
          <w:i/>
        </w:rPr>
        <w:t>fixture</w:t>
      </w:r>
      <w:r>
        <w:t xml:space="preserve"> функција, па не захтевају покренут PostgreSQL; читав скуп траје 94,6 секунди. Клијентски тестови се покрећу задатком </w:t>
      </w:r>
      <w:r>
        <w:rPr>
          <w:i/>
        </w:rPr>
        <w:t>gradlew testDebugUnitTest</w:t>
      </w:r>
      <w: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tblLook w:val="04A0" w:firstRow="1" w:lastRow="0" w:firstColumn="1" w:lastColumn="0" w:noHBand="0" w:noVBand="1"/>
      </w:tblPr>
      <w:tblGrid>
        <w:gridCol w:w="1027"/>
        <w:gridCol w:w="1614"/>
        <w:gridCol w:w="4194"/>
        <w:gridCol w:w="1197"/>
        <w:gridCol w:w="1197"/>
        <w:gridCol w:w="625"/>
      </w:tblGrid>
      <w:tr w:rsidR="00100860" w14:paraId="7CF9737E" w14:textId="77777777">
        <w:trPr>
          <w:tblHeader/>
        </w:trPr>
        <w:tc>
          <w:tcPr>
            <w:tcW w:w="1606" w:type="dxa"/>
          </w:tcPr>
          <w:p w14:paraId="2114B2A1" w14:textId="77777777" w:rsidR="00100860" w:rsidRDefault="000F6AA9">
            <w:r>
              <w:rPr>
                <w:b/>
                <w:sz w:val="16"/>
              </w:rPr>
              <w:t>Област</w:t>
            </w:r>
          </w:p>
        </w:tc>
        <w:tc>
          <w:tcPr>
            <w:tcW w:w="1606" w:type="dxa"/>
          </w:tcPr>
          <w:p w14:paraId="321597F7" w14:textId="77777777" w:rsidR="00100860" w:rsidRDefault="000F6AA9">
            <w:r>
              <w:rPr>
                <w:b/>
                <w:sz w:val="16"/>
              </w:rPr>
              <w:t>Предуслов и конфигурација</w:t>
            </w:r>
          </w:p>
        </w:tc>
        <w:tc>
          <w:tcPr>
            <w:tcW w:w="1606" w:type="dxa"/>
          </w:tcPr>
          <w:p w14:paraId="0173B188" w14:textId="77777777" w:rsidR="00100860" w:rsidRDefault="000F6AA9">
            <w:r>
              <w:rPr>
                <w:b/>
                <w:sz w:val="16"/>
              </w:rPr>
              <w:t>Тест који покрива проверу</w:t>
            </w:r>
          </w:p>
        </w:tc>
        <w:tc>
          <w:tcPr>
            <w:tcW w:w="1606" w:type="dxa"/>
          </w:tcPr>
          <w:p w14:paraId="4E6E56DE" w14:textId="77777777" w:rsidR="00100860" w:rsidRDefault="000F6AA9">
            <w:r>
              <w:rPr>
                <w:b/>
                <w:sz w:val="16"/>
              </w:rPr>
              <w:t>Очекивани резултат</w:t>
            </w:r>
          </w:p>
        </w:tc>
        <w:tc>
          <w:tcPr>
            <w:tcW w:w="1606" w:type="dxa"/>
          </w:tcPr>
          <w:p w14:paraId="7A075FC8" w14:textId="77777777" w:rsidR="00100860" w:rsidRDefault="000F6AA9">
            <w:r>
              <w:rPr>
                <w:b/>
                <w:sz w:val="16"/>
              </w:rPr>
              <w:t>Добијени резултат</w:t>
            </w:r>
          </w:p>
        </w:tc>
        <w:tc>
          <w:tcPr>
            <w:tcW w:w="1606" w:type="dxa"/>
          </w:tcPr>
          <w:p w14:paraId="07F27EDC" w14:textId="77777777" w:rsidR="00100860" w:rsidRDefault="000F6AA9">
            <w:r>
              <w:rPr>
                <w:b/>
                <w:sz w:val="16"/>
              </w:rPr>
              <w:t>Исход</w:t>
            </w:r>
          </w:p>
        </w:tc>
      </w:tr>
      <w:tr w:rsidR="00100860" w14:paraId="63E8646E" w14:textId="77777777">
        <w:tc>
          <w:tcPr>
            <w:tcW w:w="1606" w:type="dxa"/>
          </w:tcPr>
          <w:p w14:paraId="08D0A41C" w14:textId="77777777" w:rsidR="00100860" w:rsidRDefault="000F6AA9">
            <w:r>
              <w:rPr>
                <w:sz w:val="16"/>
              </w:rPr>
              <w:t>API</w:t>
            </w:r>
          </w:p>
        </w:tc>
        <w:tc>
          <w:tcPr>
            <w:tcW w:w="1606" w:type="dxa"/>
          </w:tcPr>
          <w:p w14:paraId="4734790C" w14:textId="77777777" w:rsidR="00100860" w:rsidRDefault="000F6AA9">
            <w:r>
              <w:rPr>
                <w:sz w:val="16"/>
              </w:rPr>
              <w:t>TestClient, привремена база, чланак означен као неактиван</w:t>
            </w:r>
          </w:p>
        </w:tc>
        <w:tc>
          <w:tcPr>
            <w:tcW w:w="1606" w:type="dxa"/>
          </w:tcPr>
          <w:p w14:paraId="4314A803" w14:textId="77777777" w:rsidR="00100860" w:rsidRDefault="000F6AA9">
            <w:r>
              <w:rPr>
                <w:i/>
                <w:sz w:val="16"/>
              </w:rPr>
              <w:t>test_get_inactive_article_returns_not_found</w:t>
            </w:r>
          </w:p>
        </w:tc>
        <w:tc>
          <w:tcPr>
            <w:tcW w:w="1606" w:type="dxa"/>
          </w:tcPr>
          <w:p w14:paraId="0A7E4F17" w14:textId="77777777" w:rsidR="00100860" w:rsidRDefault="000F6AA9">
            <w:r>
              <w:rPr>
                <w:sz w:val="16"/>
              </w:rPr>
              <w:t>HTTP 404</w:t>
            </w:r>
          </w:p>
        </w:tc>
        <w:tc>
          <w:tcPr>
            <w:tcW w:w="1606" w:type="dxa"/>
          </w:tcPr>
          <w:p w14:paraId="2AACCA39" w14:textId="77777777" w:rsidR="00100860" w:rsidRDefault="000F6AA9">
            <w:r>
              <w:rPr>
                <w:sz w:val="16"/>
              </w:rPr>
              <w:t>HTTP 404</w:t>
            </w:r>
          </w:p>
        </w:tc>
        <w:tc>
          <w:tcPr>
            <w:tcW w:w="1606" w:type="dxa"/>
          </w:tcPr>
          <w:p w14:paraId="41D6AE45" w14:textId="77777777" w:rsidR="00100860" w:rsidRDefault="000F6AA9">
            <w:r>
              <w:rPr>
                <w:b/>
                <w:sz w:val="16"/>
              </w:rPr>
              <w:t>PASS</w:t>
            </w:r>
          </w:p>
        </w:tc>
      </w:tr>
      <w:tr w:rsidR="00100860" w14:paraId="36093C2E" w14:textId="77777777">
        <w:tc>
          <w:tcPr>
            <w:tcW w:w="1606" w:type="dxa"/>
          </w:tcPr>
          <w:p w14:paraId="6561C838" w14:textId="77777777" w:rsidR="00100860" w:rsidRDefault="000F6AA9">
            <w:r>
              <w:rPr>
                <w:sz w:val="16"/>
              </w:rPr>
              <w:t>API</w:t>
            </w:r>
          </w:p>
        </w:tc>
        <w:tc>
          <w:tcPr>
            <w:tcW w:w="1606" w:type="dxa"/>
          </w:tcPr>
          <w:p w14:paraId="734AFAA3" w14:textId="77777777" w:rsidR="00100860" w:rsidRDefault="000F6AA9">
            <w:r>
              <w:rPr>
                <w:sz w:val="16"/>
              </w:rPr>
              <w:t>TestClient, чланак без записа анализе</w:t>
            </w:r>
          </w:p>
        </w:tc>
        <w:tc>
          <w:tcPr>
            <w:tcW w:w="1606" w:type="dxa"/>
          </w:tcPr>
          <w:p w14:paraId="1E7E2771" w14:textId="77777777" w:rsidR="00100860" w:rsidRDefault="000F6AA9">
            <w:r>
              <w:rPr>
                <w:i/>
                <w:sz w:val="16"/>
              </w:rPr>
              <w:t>test_get_article_without_analysis_returns_not_found</w:t>
            </w:r>
          </w:p>
        </w:tc>
        <w:tc>
          <w:tcPr>
            <w:tcW w:w="1606" w:type="dxa"/>
          </w:tcPr>
          <w:p w14:paraId="68BBE700" w14:textId="77777777" w:rsidR="00100860" w:rsidRDefault="000F6AA9">
            <w:r>
              <w:rPr>
                <w:sz w:val="16"/>
              </w:rPr>
              <w:t>HTTP 404</w:t>
            </w:r>
          </w:p>
        </w:tc>
        <w:tc>
          <w:tcPr>
            <w:tcW w:w="1606" w:type="dxa"/>
          </w:tcPr>
          <w:p w14:paraId="0B99D9BF" w14:textId="77777777" w:rsidR="00100860" w:rsidRDefault="000F6AA9">
            <w:r>
              <w:rPr>
                <w:sz w:val="16"/>
              </w:rPr>
              <w:t>HTTP 404</w:t>
            </w:r>
          </w:p>
        </w:tc>
        <w:tc>
          <w:tcPr>
            <w:tcW w:w="1606" w:type="dxa"/>
          </w:tcPr>
          <w:p w14:paraId="284339B2" w14:textId="77777777" w:rsidR="00100860" w:rsidRDefault="000F6AA9">
            <w:r>
              <w:rPr>
                <w:b/>
                <w:sz w:val="16"/>
              </w:rPr>
              <w:t>PASS</w:t>
            </w:r>
          </w:p>
        </w:tc>
      </w:tr>
      <w:tr w:rsidR="00100860" w14:paraId="2F1ED22B" w14:textId="77777777">
        <w:tc>
          <w:tcPr>
            <w:tcW w:w="1606" w:type="dxa"/>
          </w:tcPr>
          <w:p w14:paraId="1B567460" w14:textId="77777777" w:rsidR="00100860" w:rsidRDefault="000F6AA9">
            <w:r>
              <w:rPr>
                <w:sz w:val="16"/>
              </w:rPr>
              <w:t>API</w:t>
            </w:r>
          </w:p>
        </w:tc>
        <w:tc>
          <w:tcPr>
            <w:tcW w:w="1606" w:type="dxa"/>
          </w:tcPr>
          <w:p w14:paraId="5EBB3B2C" w14:textId="77777777" w:rsidR="00100860" w:rsidRDefault="000F6AA9">
            <w:r>
              <w:rPr>
                <w:sz w:val="16"/>
              </w:rPr>
              <w:t>Привремена база без иједног покретања груписања</w:t>
            </w:r>
          </w:p>
        </w:tc>
        <w:tc>
          <w:tcPr>
            <w:tcW w:w="1606" w:type="dxa"/>
          </w:tcPr>
          <w:p w14:paraId="4FD9FEF2" w14:textId="77777777" w:rsidR="00100860" w:rsidRDefault="000F6AA9">
            <w:r>
              <w:rPr>
                <w:i/>
                <w:sz w:val="16"/>
              </w:rPr>
              <w:t>test_list_article_groups</w:t>
            </w:r>
          </w:p>
        </w:tc>
        <w:tc>
          <w:tcPr>
            <w:tcW w:w="1606" w:type="dxa"/>
          </w:tcPr>
          <w:p w14:paraId="79165C55" w14:textId="77777777" w:rsidR="00100860" w:rsidRDefault="000F6AA9">
            <w:r>
              <w:rPr>
                <w:sz w:val="16"/>
              </w:rPr>
              <w:t>HTTP 200 и празна листа</w:t>
            </w:r>
          </w:p>
        </w:tc>
        <w:tc>
          <w:tcPr>
            <w:tcW w:w="1606" w:type="dxa"/>
          </w:tcPr>
          <w:p w14:paraId="69E12196" w14:textId="77777777" w:rsidR="00100860" w:rsidRDefault="000F6AA9">
            <w:r>
              <w:rPr>
                <w:sz w:val="16"/>
              </w:rPr>
              <w:t>HTTP 200, празна листа</w:t>
            </w:r>
          </w:p>
        </w:tc>
        <w:tc>
          <w:tcPr>
            <w:tcW w:w="1606" w:type="dxa"/>
          </w:tcPr>
          <w:p w14:paraId="7CD2694E" w14:textId="77777777" w:rsidR="00100860" w:rsidRDefault="000F6AA9">
            <w:r>
              <w:rPr>
                <w:b/>
                <w:sz w:val="16"/>
              </w:rPr>
              <w:t>PASS</w:t>
            </w:r>
          </w:p>
        </w:tc>
      </w:tr>
      <w:tr w:rsidR="00100860" w14:paraId="5EC5627E" w14:textId="77777777">
        <w:tc>
          <w:tcPr>
            <w:tcW w:w="1606" w:type="dxa"/>
          </w:tcPr>
          <w:p w14:paraId="4C7186C6" w14:textId="77777777" w:rsidR="00100860" w:rsidRDefault="000F6AA9">
            <w:r>
              <w:rPr>
                <w:sz w:val="16"/>
              </w:rPr>
              <w:t>Тон</w:t>
            </w:r>
          </w:p>
        </w:tc>
        <w:tc>
          <w:tcPr>
            <w:tcW w:w="1606" w:type="dxa"/>
          </w:tcPr>
          <w:p w14:paraId="3A4C3AE3" w14:textId="77777777" w:rsidR="00100860" w:rsidRDefault="000F6AA9">
            <w:r>
              <w:rPr>
                <w:sz w:val="16"/>
              </w:rPr>
              <w:t xml:space="preserve">Двојник LLM </w:t>
            </w:r>
            <w:r>
              <w:rPr>
                <w:sz w:val="16"/>
              </w:rPr>
              <w:lastRenderedPageBreak/>
              <w:t>клијента враћа три вредности са ненултим збиром</w:t>
            </w:r>
          </w:p>
        </w:tc>
        <w:tc>
          <w:tcPr>
            <w:tcW w:w="1606" w:type="dxa"/>
          </w:tcPr>
          <w:p w14:paraId="197BF1F4" w14:textId="77777777" w:rsidR="00100860" w:rsidRDefault="000F6AA9">
            <w:r>
              <w:rPr>
                <w:i/>
                <w:sz w:val="16"/>
              </w:rPr>
              <w:lastRenderedPageBreak/>
              <w:t>test_llm_tone_analysis_strategy_normalizes_response</w:t>
            </w:r>
          </w:p>
        </w:tc>
        <w:tc>
          <w:tcPr>
            <w:tcW w:w="1606" w:type="dxa"/>
          </w:tcPr>
          <w:p w14:paraId="42FDEF2A" w14:textId="77777777" w:rsidR="00100860" w:rsidRDefault="000F6AA9">
            <w:r>
              <w:rPr>
                <w:sz w:val="16"/>
              </w:rPr>
              <w:t xml:space="preserve">Проценти </w:t>
            </w:r>
            <w:r>
              <w:rPr>
                <w:sz w:val="16"/>
              </w:rPr>
              <w:lastRenderedPageBreak/>
              <w:t>сабрани на 100</w:t>
            </w:r>
          </w:p>
        </w:tc>
        <w:tc>
          <w:tcPr>
            <w:tcW w:w="1606" w:type="dxa"/>
          </w:tcPr>
          <w:p w14:paraId="22CCE9B6" w14:textId="77777777" w:rsidR="00100860" w:rsidRDefault="000F6AA9">
            <w:r>
              <w:rPr>
                <w:sz w:val="16"/>
              </w:rPr>
              <w:lastRenderedPageBreak/>
              <w:t>Збир 100,00</w:t>
            </w:r>
          </w:p>
        </w:tc>
        <w:tc>
          <w:tcPr>
            <w:tcW w:w="1606" w:type="dxa"/>
          </w:tcPr>
          <w:p w14:paraId="2A2EC196" w14:textId="77777777" w:rsidR="00100860" w:rsidRDefault="000F6AA9">
            <w:r>
              <w:rPr>
                <w:b/>
                <w:sz w:val="16"/>
              </w:rPr>
              <w:t>PASS</w:t>
            </w:r>
          </w:p>
        </w:tc>
      </w:tr>
      <w:tr w:rsidR="00100860" w14:paraId="4E149602" w14:textId="77777777">
        <w:tc>
          <w:tcPr>
            <w:tcW w:w="1606" w:type="dxa"/>
          </w:tcPr>
          <w:p w14:paraId="55607528" w14:textId="77777777" w:rsidR="00100860" w:rsidRDefault="000F6AA9">
            <w:r>
              <w:rPr>
                <w:sz w:val="16"/>
              </w:rPr>
              <w:t>Тон</w:t>
            </w:r>
          </w:p>
        </w:tc>
        <w:tc>
          <w:tcPr>
            <w:tcW w:w="1606" w:type="dxa"/>
          </w:tcPr>
          <w:p w14:paraId="707B6342" w14:textId="77777777" w:rsidR="00100860" w:rsidRDefault="000F6AA9">
            <w:r>
              <w:rPr>
                <w:sz w:val="16"/>
              </w:rPr>
              <w:t>Двојник LLM клијента враћа 0, 0 и 0</w:t>
            </w:r>
          </w:p>
        </w:tc>
        <w:tc>
          <w:tcPr>
            <w:tcW w:w="1606" w:type="dxa"/>
          </w:tcPr>
          <w:p w14:paraId="489BD21D" w14:textId="77777777" w:rsidR="00100860" w:rsidRDefault="000F6AA9">
            <w:r>
              <w:rPr>
                <w:i/>
                <w:sz w:val="16"/>
              </w:rPr>
              <w:t>test_llm_tone_analysis_strategy_rejects_zero_total</w:t>
            </w:r>
          </w:p>
        </w:tc>
        <w:tc>
          <w:tcPr>
            <w:tcW w:w="1606" w:type="dxa"/>
          </w:tcPr>
          <w:p w14:paraId="1CD8752F" w14:textId="77777777" w:rsidR="00100860" w:rsidRDefault="000F6AA9">
            <w:r>
              <w:rPr>
                <w:sz w:val="16"/>
              </w:rPr>
              <w:t>Експлицитна грешка</w:t>
            </w:r>
          </w:p>
        </w:tc>
        <w:tc>
          <w:tcPr>
            <w:tcW w:w="1606" w:type="dxa"/>
          </w:tcPr>
          <w:p w14:paraId="37144CF7" w14:textId="77777777" w:rsidR="00100860" w:rsidRDefault="000F6AA9">
            <w:r>
              <w:rPr>
                <w:sz w:val="16"/>
              </w:rPr>
              <w:t>Подигнут изузетак</w:t>
            </w:r>
          </w:p>
        </w:tc>
        <w:tc>
          <w:tcPr>
            <w:tcW w:w="1606" w:type="dxa"/>
          </w:tcPr>
          <w:p w14:paraId="20D95EBF" w14:textId="77777777" w:rsidR="00100860" w:rsidRDefault="000F6AA9">
            <w:r>
              <w:rPr>
                <w:b/>
                <w:sz w:val="16"/>
              </w:rPr>
              <w:t>PASS</w:t>
            </w:r>
          </w:p>
        </w:tc>
      </w:tr>
      <w:tr w:rsidR="00100860" w14:paraId="753EED91" w14:textId="77777777">
        <w:tc>
          <w:tcPr>
            <w:tcW w:w="1606" w:type="dxa"/>
          </w:tcPr>
          <w:p w14:paraId="06CBB5A7" w14:textId="77777777" w:rsidR="00100860" w:rsidRDefault="000F6AA9">
            <w:r>
              <w:rPr>
                <w:sz w:val="16"/>
              </w:rPr>
              <w:t>Тон</w:t>
            </w:r>
          </w:p>
        </w:tc>
        <w:tc>
          <w:tcPr>
            <w:tcW w:w="1606" w:type="dxa"/>
          </w:tcPr>
          <w:p w14:paraId="500482DC" w14:textId="77777777" w:rsidR="00100860" w:rsidRDefault="000F6AA9">
            <w:r>
              <w:rPr>
                <w:sz w:val="16"/>
              </w:rPr>
              <w:t>tone_analysis_provider = groq, без постављеног API кључа</w:t>
            </w:r>
          </w:p>
        </w:tc>
        <w:tc>
          <w:tcPr>
            <w:tcW w:w="1606" w:type="dxa"/>
          </w:tcPr>
          <w:p w14:paraId="581D1ECB" w14:textId="77777777" w:rsidR="00100860" w:rsidRDefault="000F6AA9">
            <w:r>
              <w:rPr>
                <w:i/>
                <w:sz w:val="16"/>
              </w:rPr>
              <w:t>test_factory_requires_groq_api_key</w:t>
            </w:r>
          </w:p>
        </w:tc>
        <w:tc>
          <w:tcPr>
            <w:tcW w:w="1606" w:type="dxa"/>
          </w:tcPr>
          <w:p w14:paraId="703328A9" w14:textId="77777777" w:rsidR="00100860" w:rsidRDefault="000F6AA9">
            <w:r>
              <w:rPr>
                <w:sz w:val="16"/>
              </w:rPr>
              <w:t>Одбијање при стварању стратегије</w:t>
            </w:r>
          </w:p>
        </w:tc>
        <w:tc>
          <w:tcPr>
            <w:tcW w:w="1606" w:type="dxa"/>
          </w:tcPr>
          <w:p w14:paraId="75ABD034" w14:textId="77777777" w:rsidR="00100860" w:rsidRDefault="000F6AA9">
            <w:r>
              <w:rPr>
                <w:sz w:val="16"/>
              </w:rPr>
              <w:t>Подигнут изузетак</w:t>
            </w:r>
          </w:p>
        </w:tc>
        <w:tc>
          <w:tcPr>
            <w:tcW w:w="1606" w:type="dxa"/>
          </w:tcPr>
          <w:p w14:paraId="5B5F61FC" w14:textId="77777777" w:rsidR="00100860" w:rsidRDefault="000F6AA9">
            <w:r>
              <w:rPr>
                <w:b/>
                <w:sz w:val="16"/>
              </w:rPr>
              <w:t>PASS</w:t>
            </w:r>
          </w:p>
        </w:tc>
      </w:tr>
      <w:tr w:rsidR="00100860" w14:paraId="110EB710" w14:textId="77777777">
        <w:tc>
          <w:tcPr>
            <w:tcW w:w="1606" w:type="dxa"/>
          </w:tcPr>
          <w:p w14:paraId="0A2CB888" w14:textId="77777777" w:rsidR="00100860" w:rsidRDefault="000F6AA9">
            <w:r>
              <w:rPr>
                <w:sz w:val="16"/>
              </w:rPr>
              <w:t>Тон, кеш</w:t>
            </w:r>
          </w:p>
        </w:tc>
        <w:tc>
          <w:tcPr>
            <w:tcW w:w="1606" w:type="dxa"/>
          </w:tcPr>
          <w:p w14:paraId="70AFFFC3" w14:textId="77777777" w:rsidR="00100860" w:rsidRDefault="000F6AA9">
            <w:r>
              <w:rPr>
                <w:sz w:val="16"/>
              </w:rPr>
              <w:t>Чланак са већ сачуваном анализом за исти улазни хеш</w:t>
            </w:r>
          </w:p>
        </w:tc>
        <w:tc>
          <w:tcPr>
            <w:tcW w:w="1606" w:type="dxa"/>
          </w:tcPr>
          <w:p w14:paraId="2AF3CB2F" w14:textId="77777777" w:rsidR="00100860" w:rsidRDefault="000F6AA9">
            <w:r>
              <w:rPr>
                <w:i/>
                <w:sz w:val="16"/>
              </w:rPr>
              <w:t>test_tone_analysis_step_reuses_existing_result</w:t>
            </w:r>
          </w:p>
        </w:tc>
        <w:tc>
          <w:tcPr>
            <w:tcW w:w="1606" w:type="dxa"/>
          </w:tcPr>
          <w:p w14:paraId="65C6A0EA" w14:textId="77777777" w:rsidR="00100860" w:rsidRDefault="000F6AA9">
            <w:r>
              <w:rPr>
                <w:sz w:val="16"/>
              </w:rPr>
              <w:t>Ниједан спољни позив</w:t>
            </w:r>
          </w:p>
        </w:tc>
        <w:tc>
          <w:tcPr>
            <w:tcW w:w="1606" w:type="dxa"/>
          </w:tcPr>
          <w:p w14:paraId="10181EDB" w14:textId="77777777" w:rsidR="00100860" w:rsidRDefault="000F6AA9">
            <w:r>
              <w:rPr>
                <w:sz w:val="16"/>
              </w:rPr>
              <w:t>0 позива модела</w:t>
            </w:r>
          </w:p>
        </w:tc>
        <w:tc>
          <w:tcPr>
            <w:tcW w:w="1606" w:type="dxa"/>
          </w:tcPr>
          <w:p w14:paraId="086475FA" w14:textId="77777777" w:rsidR="00100860" w:rsidRDefault="000F6AA9">
            <w:r>
              <w:rPr>
                <w:b/>
                <w:sz w:val="16"/>
              </w:rPr>
              <w:t>PASS</w:t>
            </w:r>
          </w:p>
        </w:tc>
      </w:tr>
      <w:tr w:rsidR="00100860" w14:paraId="322BBA82" w14:textId="77777777">
        <w:tc>
          <w:tcPr>
            <w:tcW w:w="1606" w:type="dxa"/>
          </w:tcPr>
          <w:p w14:paraId="7C919FF9" w14:textId="77777777" w:rsidR="00100860" w:rsidRDefault="000F6AA9">
            <w:r>
              <w:rPr>
                <w:sz w:val="16"/>
              </w:rPr>
              <w:t>RSS</w:t>
            </w:r>
          </w:p>
        </w:tc>
        <w:tc>
          <w:tcPr>
            <w:tcW w:w="1606" w:type="dxa"/>
          </w:tcPr>
          <w:p w14:paraId="79B31860" w14:textId="77777777" w:rsidR="00100860" w:rsidRDefault="000F6AA9">
            <w:r>
              <w:rPr>
                <w:sz w:val="16"/>
              </w:rPr>
              <w:t>Регистар свих девет подешених извора</w:t>
            </w:r>
          </w:p>
        </w:tc>
        <w:tc>
          <w:tcPr>
            <w:tcW w:w="1606" w:type="dxa"/>
          </w:tcPr>
          <w:p w14:paraId="66BB2411" w14:textId="77777777" w:rsidR="00100860" w:rsidRDefault="000F6AA9">
            <w:r>
              <w:rPr>
                <w:i/>
                <w:sz w:val="16"/>
              </w:rPr>
              <w:t>test_rss_news_sources_have_unique_metadata</w:t>
            </w:r>
          </w:p>
        </w:tc>
        <w:tc>
          <w:tcPr>
            <w:tcW w:w="1606" w:type="dxa"/>
          </w:tcPr>
          <w:p w14:paraId="3463907F" w14:textId="77777777" w:rsidR="00100860" w:rsidRDefault="000F6AA9">
            <w:r>
              <w:rPr>
                <w:sz w:val="16"/>
              </w:rPr>
              <w:t>Јединствени ID и назив</w:t>
            </w:r>
          </w:p>
        </w:tc>
        <w:tc>
          <w:tcPr>
            <w:tcW w:w="1606" w:type="dxa"/>
          </w:tcPr>
          <w:p w14:paraId="6AAB1653" w14:textId="77777777" w:rsidR="00100860" w:rsidRDefault="000F6AA9">
            <w:r>
              <w:rPr>
                <w:sz w:val="16"/>
              </w:rPr>
              <w:t>9 јединствених вредности</w:t>
            </w:r>
          </w:p>
        </w:tc>
        <w:tc>
          <w:tcPr>
            <w:tcW w:w="1606" w:type="dxa"/>
          </w:tcPr>
          <w:p w14:paraId="40846537" w14:textId="77777777" w:rsidR="00100860" w:rsidRDefault="000F6AA9">
            <w:r>
              <w:rPr>
                <w:b/>
                <w:sz w:val="16"/>
              </w:rPr>
              <w:t>PASS</w:t>
            </w:r>
          </w:p>
        </w:tc>
      </w:tr>
      <w:tr w:rsidR="00100860" w14:paraId="04D15032" w14:textId="77777777">
        <w:tc>
          <w:tcPr>
            <w:tcW w:w="1606" w:type="dxa"/>
          </w:tcPr>
          <w:p w14:paraId="529EEAA9" w14:textId="77777777" w:rsidR="00100860" w:rsidRDefault="000F6AA9">
            <w:r>
              <w:rPr>
                <w:sz w:val="16"/>
              </w:rPr>
              <w:t>RSS</w:t>
            </w:r>
          </w:p>
        </w:tc>
        <w:tc>
          <w:tcPr>
            <w:tcW w:w="1606" w:type="dxa"/>
          </w:tcPr>
          <w:p w14:paraId="359D42A4" w14:textId="77777777" w:rsidR="00100860" w:rsidRDefault="000F6AA9">
            <w:r>
              <w:rPr>
                <w:sz w:val="16"/>
              </w:rPr>
              <w:t>Један извор истиче време, остали исправни</w:t>
            </w:r>
          </w:p>
        </w:tc>
        <w:tc>
          <w:tcPr>
            <w:tcW w:w="1606" w:type="dxa"/>
          </w:tcPr>
          <w:p w14:paraId="6D1260F9" w14:textId="77777777" w:rsidR="00100860" w:rsidRDefault="000F6AA9">
            <w:r>
              <w:rPr>
                <w:i/>
                <w:sz w:val="16"/>
              </w:rPr>
              <w:t>test_polling_service_isolates_a_failing_source</w:t>
            </w:r>
          </w:p>
        </w:tc>
        <w:tc>
          <w:tcPr>
            <w:tcW w:w="1606" w:type="dxa"/>
          </w:tcPr>
          <w:p w14:paraId="751F10A9" w14:textId="77777777" w:rsidR="00100860" w:rsidRDefault="000F6AA9">
            <w:r>
              <w:rPr>
                <w:sz w:val="16"/>
              </w:rPr>
              <w:t>Остали извори обрађени</w:t>
            </w:r>
          </w:p>
        </w:tc>
        <w:tc>
          <w:tcPr>
            <w:tcW w:w="1606" w:type="dxa"/>
          </w:tcPr>
          <w:p w14:paraId="43CF2C4A" w14:textId="77777777" w:rsidR="00100860" w:rsidRDefault="000F6AA9">
            <w:r>
              <w:rPr>
                <w:sz w:val="16"/>
              </w:rPr>
              <w:t>Остали обрађени</w:t>
            </w:r>
          </w:p>
        </w:tc>
        <w:tc>
          <w:tcPr>
            <w:tcW w:w="1606" w:type="dxa"/>
          </w:tcPr>
          <w:p w14:paraId="7DE2E753" w14:textId="77777777" w:rsidR="00100860" w:rsidRDefault="000F6AA9">
            <w:r>
              <w:rPr>
                <w:b/>
                <w:sz w:val="16"/>
              </w:rPr>
              <w:t>PASS</w:t>
            </w:r>
          </w:p>
        </w:tc>
      </w:tr>
      <w:tr w:rsidR="00100860" w14:paraId="5FAC0478" w14:textId="77777777">
        <w:tc>
          <w:tcPr>
            <w:tcW w:w="1606" w:type="dxa"/>
          </w:tcPr>
          <w:p w14:paraId="6CFE3726" w14:textId="77777777" w:rsidR="00100860" w:rsidRDefault="000F6AA9">
            <w:r>
              <w:rPr>
                <w:sz w:val="16"/>
              </w:rPr>
              <w:t>Груписање</w:t>
            </w:r>
          </w:p>
        </w:tc>
        <w:tc>
          <w:tcPr>
            <w:tcW w:w="1606" w:type="dxa"/>
          </w:tcPr>
          <w:p w14:paraId="6F96945A" w14:textId="77777777" w:rsidR="00100860" w:rsidRDefault="000F6AA9">
            <w:r>
              <w:rPr>
                <w:sz w:val="16"/>
              </w:rPr>
              <w:t>Три чланка, позитивне одлуке А–Б и Б–Ц, пар А–Ц неоцењен</w:t>
            </w:r>
          </w:p>
        </w:tc>
        <w:tc>
          <w:tcPr>
            <w:tcW w:w="1606" w:type="dxa"/>
          </w:tcPr>
          <w:p w14:paraId="7EC64218" w14:textId="77777777" w:rsidR="00100860" w:rsidRDefault="000F6AA9">
            <w:r>
              <w:rPr>
                <w:i/>
                <w:sz w:val="16"/>
              </w:rPr>
              <w:t>test_assign_returns_transitively_merged_groups</w:t>
            </w:r>
          </w:p>
        </w:tc>
        <w:tc>
          <w:tcPr>
            <w:tcW w:w="1606" w:type="dxa"/>
          </w:tcPr>
          <w:p w14:paraId="16E2873C" w14:textId="77777777" w:rsidR="00100860" w:rsidRDefault="000F6AA9">
            <w:r>
              <w:rPr>
                <w:sz w:val="16"/>
              </w:rPr>
              <w:t>Једна група од три члана</w:t>
            </w:r>
          </w:p>
        </w:tc>
        <w:tc>
          <w:tcPr>
            <w:tcW w:w="1606" w:type="dxa"/>
          </w:tcPr>
          <w:p w14:paraId="0B6ACDA9" w14:textId="77777777" w:rsidR="00100860" w:rsidRDefault="000F6AA9">
            <w:r>
              <w:rPr>
                <w:sz w:val="16"/>
              </w:rPr>
              <w:t>Једна група, три члана</w:t>
            </w:r>
          </w:p>
        </w:tc>
        <w:tc>
          <w:tcPr>
            <w:tcW w:w="1606" w:type="dxa"/>
          </w:tcPr>
          <w:p w14:paraId="1B607D1A" w14:textId="77777777" w:rsidR="00100860" w:rsidRDefault="000F6AA9">
            <w:r>
              <w:rPr>
                <w:b/>
                <w:sz w:val="16"/>
              </w:rPr>
              <w:t>PASS</w:t>
            </w:r>
          </w:p>
        </w:tc>
      </w:tr>
      <w:tr w:rsidR="00100860" w14:paraId="01B92128" w14:textId="77777777">
        <w:tc>
          <w:tcPr>
            <w:tcW w:w="1606" w:type="dxa"/>
          </w:tcPr>
          <w:p w14:paraId="65344802" w14:textId="77777777" w:rsidR="00100860" w:rsidRDefault="000F6AA9">
            <w:r>
              <w:rPr>
                <w:sz w:val="16"/>
              </w:rPr>
              <w:t>Груписање</w:t>
            </w:r>
          </w:p>
        </w:tc>
        <w:tc>
          <w:tcPr>
            <w:tcW w:w="1606" w:type="dxa"/>
          </w:tcPr>
          <w:p w14:paraId="21BB5B75" w14:textId="77777777" w:rsidR="00100860" w:rsidRDefault="000F6AA9">
            <w:r>
              <w:rPr>
                <w:sz w:val="16"/>
              </w:rPr>
              <w:t>Исти улаз обрађен различитим редоследом</w:t>
            </w:r>
          </w:p>
        </w:tc>
        <w:tc>
          <w:tcPr>
            <w:tcW w:w="1606" w:type="dxa"/>
          </w:tcPr>
          <w:p w14:paraId="2BB04C1B" w14:textId="77777777" w:rsidR="00100860" w:rsidRDefault="000F6AA9">
            <w:r>
              <w:rPr>
                <w:i/>
                <w:sz w:val="16"/>
              </w:rPr>
              <w:t>test_assign_produces_deterministic_group_ids</w:t>
            </w:r>
          </w:p>
        </w:tc>
        <w:tc>
          <w:tcPr>
            <w:tcW w:w="1606" w:type="dxa"/>
          </w:tcPr>
          <w:p w14:paraId="25646EEB" w14:textId="77777777" w:rsidR="00100860" w:rsidRDefault="000F6AA9">
            <w:r>
              <w:rPr>
                <w:sz w:val="16"/>
              </w:rPr>
              <w:t>Исти SHA-256 идентификатор групе</w:t>
            </w:r>
          </w:p>
        </w:tc>
        <w:tc>
          <w:tcPr>
            <w:tcW w:w="1606" w:type="dxa"/>
          </w:tcPr>
          <w:p w14:paraId="18FFEF50" w14:textId="77777777" w:rsidR="00100860" w:rsidRDefault="000F6AA9">
            <w:r>
              <w:rPr>
                <w:sz w:val="16"/>
              </w:rPr>
              <w:t>Идентичан идентификатор</w:t>
            </w:r>
          </w:p>
        </w:tc>
        <w:tc>
          <w:tcPr>
            <w:tcW w:w="1606" w:type="dxa"/>
          </w:tcPr>
          <w:p w14:paraId="2D8C7D8C" w14:textId="77777777" w:rsidR="00100860" w:rsidRDefault="000F6AA9">
            <w:r>
              <w:rPr>
                <w:b/>
                <w:sz w:val="16"/>
              </w:rPr>
              <w:t>PASS</w:t>
            </w:r>
          </w:p>
        </w:tc>
      </w:tr>
      <w:tr w:rsidR="00100860" w14:paraId="5780CE8F" w14:textId="77777777">
        <w:tc>
          <w:tcPr>
            <w:tcW w:w="1606" w:type="dxa"/>
          </w:tcPr>
          <w:p w14:paraId="36399EF9" w14:textId="77777777" w:rsidR="00100860" w:rsidRDefault="000F6AA9">
            <w:r>
              <w:rPr>
                <w:sz w:val="16"/>
              </w:rPr>
              <w:t>Груписање, кеш</w:t>
            </w:r>
          </w:p>
        </w:tc>
        <w:tc>
          <w:tcPr>
            <w:tcW w:w="1606" w:type="dxa"/>
          </w:tcPr>
          <w:p w14:paraId="5B948D13" w14:textId="77777777" w:rsidR="00100860" w:rsidRDefault="000F6AA9">
            <w:r>
              <w:rPr>
                <w:sz w:val="16"/>
              </w:rPr>
              <w:t>Чланак са сачуваним вектором и непромењеним хешом</w:t>
            </w:r>
          </w:p>
        </w:tc>
        <w:tc>
          <w:tcPr>
            <w:tcW w:w="1606" w:type="dxa"/>
          </w:tcPr>
          <w:p w14:paraId="6CF501D8" w14:textId="77777777" w:rsidR="00100860" w:rsidRDefault="000F6AA9">
            <w:r>
              <w:rPr>
                <w:i/>
                <w:sz w:val="16"/>
              </w:rPr>
              <w:t>test_embedding_service_reuses_stored_embeddings</w:t>
            </w:r>
          </w:p>
        </w:tc>
        <w:tc>
          <w:tcPr>
            <w:tcW w:w="1606" w:type="dxa"/>
          </w:tcPr>
          <w:p w14:paraId="0E54A38C" w14:textId="77777777" w:rsidR="00100860" w:rsidRDefault="000F6AA9">
            <w:r>
              <w:rPr>
                <w:sz w:val="16"/>
              </w:rPr>
              <w:t>Модел се не позива</w:t>
            </w:r>
          </w:p>
        </w:tc>
        <w:tc>
          <w:tcPr>
            <w:tcW w:w="1606" w:type="dxa"/>
          </w:tcPr>
          <w:p w14:paraId="6012F0DF" w14:textId="77777777" w:rsidR="00100860" w:rsidRDefault="000F6AA9">
            <w:r>
              <w:rPr>
                <w:sz w:val="16"/>
              </w:rPr>
              <w:t>0 позива модела</w:t>
            </w:r>
          </w:p>
        </w:tc>
        <w:tc>
          <w:tcPr>
            <w:tcW w:w="1606" w:type="dxa"/>
          </w:tcPr>
          <w:p w14:paraId="51AF91FF" w14:textId="77777777" w:rsidR="00100860" w:rsidRDefault="000F6AA9">
            <w:r>
              <w:rPr>
                <w:b/>
                <w:sz w:val="16"/>
              </w:rPr>
              <w:t>PASS</w:t>
            </w:r>
          </w:p>
        </w:tc>
      </w:tr>
      <w:tr w:rsidR="00100860" w14:paraId="5134CAC5" w14:textId="77777777">
        <w:tc>
          <w:tcPr>
            <w:tcW w:w="1606" w:type="dxa"/>
          </w:tcPr>
          <w:p w14:paraId="03812583" w14:textId="77777777" w:rsidR="00100860" w:rsidRDefault="000F6AA9">
            <w:r>
              <w:rPr>
                <w:sz w:val="16"/>
              </w:rPr>
              <w:t>Android, мапирање</w:t>
            </w:r>
          </w:p>
        </w:tc>
        <w:tc>
          <w:tcPr>
            <w:tcW w:w="1606" w:type="dxa"/>
          </w:tcPr>
          <w:p w14:paraId="0C88B2BD" w14:textId="77777777" w:rsidR="00100860" w:rsidRDefault="000F6AA9">
            <w:r>
              <w:rPr>
                <w:sz w:val="16"/>
              </w:rPr>
              <w:t>Одговор сервера са процентима чији збир није 100</w:t>
            </w:r>
          </w:p>
        </w:tc>
        <w:tc>
          <w:tcPr>
            <w:tcW w:w="1606" w:type="dxa"/>
          </w:tcPr>
          <w:p w14:paraId="733DAD36" w14:textId="77777777" w:rsidR="00100860" w:rsidRDefault="000F6AA9">
            <w:r>
              <w:rPr>
                <w:i/>
                <w:sz w:val="16"/>
              </w:rPr>
              <w:t>rejectsTonePercentagesThatDoNotTotalOneHundred</w:t>
            </w:r>
          </w:p>
        </w:tc>
        <w:tc>
          <w:tcPr>
            <w:tcW w:w="1606" w:type="dxa"/>
          </w:tcPr>
          <w:p w14:paraId="202AE56F" w14:textId="77777777" w:rsidR="00100860" w:rsidRDefault="000F6AA9">
            <w:r>
              <w:rPr>
                <w:sz w:val="16"/>
              </w:rPr>
              <w:t>Одбијање чланка</w:t>
            </w:r>
          </w:p>
        </w:tc>
        <w:tc>
          <w:tcPr>
            <w:tcW w:w="1606" w:type="dxa"/>
          </w:tcPr>
          <w:p w14:paraId="28B08DB2" w14:textId="77777777" w:rsidR="00100860" w:rsidRDefault="000F6AA9">
            <w:r>
              <w:rPr>
                <w:sz w:val="16"/>
              </w:rPr>
              <w:t>Чланак одбијен</w:t>
            </w:r>
          </w:p>
        </w:tc>
        <w:tc>
          <w:tcPr>
            <w:tcW w:w="1606" w:type="dxa"/>
          </w:tcPr>
          <w:p w14:paraId="1838AC40" w14:textId="77777777" w:rsidR="00100860" w:rsidRDefault="000F6AA9">
            <w:r>
              <w:rPr>
                <w:b/>
                <w:sz w:val="16"/>
              </w:rPr>
              <w:t>PASS</w:t>
            </w:r>
          </w:p>
        </w:tc>
      </w:tr>
      <w:tr w:rsidR="00100860" w14:paraId="4F8731E1" w14:textId="77777777">
        <w:tc>
          <w:tcPr>
            <w:tcW w:w="1606" w:type="dxa"/>
          </w:tcPr>
          <w:p w14:paraId="7153D842" w14:textId="77777777" w:rsidR="00100860" w:rsidRDefault="000F6AA9">
            <w:r>
              <w:rPr>
                <w:sz w:val="16"/>
              </w:rPr>
              <w:t>Android, кеш</w:t>
            </w:r>
          </w:p>
        </w:tc>
        <w:tc>
          <w:tcPr>
            <w:tcW w:w="1606" w:type="dxa"/>
          </w:tcPr>
          <w:p w14:paraId="389C3D02" w14:textId="77777777" w:rsidR="00100860" w:rsidRDefault="000F6AA9">
            <w:r>
              <w:rPr>
                <w:sz w:val="16"/>
              </w:rPr>
              <w:t>Анализа уклоњена новијим снимком базе</w:t>
            </w:r>
          </w:p>
        </w:tc>
        <w:tc>
          <w:tcPr>
            <w:tcW w:w="1606" w:type="dxa"/>
          </w:tcPr>
          <w:p w14:paraId="5CDD5841" w14:textId="77777777" w:rsidR="00100860" w:rsidRDefault="000F6AA9">
            <w:r>
              <w:rPr>
                <w:i/>
                <w:sz w:val="16"/>
              </w:rPr>
              <w:t>analyze_returnsNullWhenAnalysisWasRemovedByNewerSnapshot</w:t>
            </w:r>
          </w:p>
        </w:tc>
        <w:tc>
          <w:tcPr>
            <w:tcW w:w="1606" w:type="dxa"/>
          </w:tcPr>
          <w:p w14:paraId="328FB059" w14:textId="77777777" w:rsidR="00100860" w:rsidRDefault="000F6AA9">
            <w:r>
              <w:rPr>
                <w:sz w:val="16"/>
              </w:rPr>
              <w:t>Враћа се null, не застарела вредност</w:t>
            </w:r>
          </w:p>
        </w:tc>
        <w:tc>
          <w:tcPr>
            <w:tcW w:w="1606" w:type="dxa"/>
          </w:tcPr>
          <w:p w14:paraId="4D6D0E0A" w14:textId="77777777" w:rsidR="00100860" w:rsidRDefault="000F6AA9">
            <w:r>
              <w:rPr>
                <w:sz w:val="16"/>
              </w:rPr>
              <w:t>Враћено null</w:t>
            </w:r>
          </w:p>
        </w:tc>
        <w:tc>
          <w:tcPr>
            <w:tcW w:w="1606" w:type="dxa"/>
          </w:tcPr>
          <w:p w14:paraId="6BC068F3" w14:textId="77777777" w:rsidR="00100860" w:rsidRDefault="000F6AA9">
            <w:r>
              <w:rPr>
                <w:b/>
                <w:sz w:val="16"/>
              </w:rPr>
              <w:t>PASS</w:t>
            </w:r>
          </w:p>
        </w:tc>
      </w:tr>
      <w:tr w:rsidR="00100860" w14:paraId="2BB29F44" w14:textId="77777777">
        <w:tc>
          <w:tcPr>
            <w:tcW w:w="1606" w:type="dxa"/>
          </w:tcPr>
          <w:p w14:paraId="10916B78" w14:textId="77777777" w:rsidR="00100860" w:rsidRDefault="000F6AA9">
            <w:r>
              <w:rPr>
                <w:sz w:val="16"/>
              </w:rPr>
              <w:t>Локација</w:t>
            </w:r>
          </w:p>
        </w:tc>
        <w:tc>
          <w:tcPr>
            <w:tcW w:w="1606" w:type="dxa"/>
          </w:tcPr>
          <w:p w14:paraId="35D48F32" w14:textId="77777777" w:rsidR="00100860" w:rsidRDefault="000F6AA9">
            <w:r>
              <w:rPr>
                <w:sz w:val="16"/>
              </w:rPr>
              <w:t>Назив града који је део друге речи у тексту</w:t>
            </w:r>
          </w:p>
        </w:tc>
        <w:tc>
          <w:tcPr>
            <w:tcW w:w="1606" w:type="dxa"/>
          </w:tcPr>
          <w:p w14:paraId="36863846" w14:textId="77777777" w:rsidR="00100860" w:rsidRDefault="000F6AA9">
            <w:r>
              <w:rPr>
                <w:i/>
                <w:sz w:val="16"/>
              </w:rPr>
              <w:t>shortCityNameDoesNotMatchPartOfAnotherWord</w:t>
            </w:r>
          </w:p>
        </w:tc>
        <w:tc>
          <w:tcPr>
            <w:tcW w:w="1606" w:type="dxa"/>
          </w:tcPr>
          <w:p w14:paraId="5629975E" w14:textId="77777777" w:rsidR="00100860" w:rsidRDefault="000F6AA9">
            <w:r>
              <w:rPr>
                <w:sz w:val="16"/>
              </w:rPr>
              <w:t>Без поклапања</w:t>
            </w:r>
          </w:p>
        </w:tc>
        <w:tc>
          <w:tcPr>
            <w:tcW w:w="1606" w:type="dxa"/>
          </w:tcPr>
          <w:p w14:paraId="14A0C4FF" w14:textId="77777777" w:rsidR="00100860" w:rsidRDefault="000F6AA9">
            <w:r>
              <w:rPr>
                <w:sz w:val="16"/>
              </w:rPr>
              <w:t>Без поклапања</w:t>
            </w:r>
          </w:p>
        </w:tc>
        <w:tc>
          <w:tcPr>
            <w:tcW w:w="1606" w:type="dxa"/>
          </w:tcPr>
          <w:p w14:paraId="76B227ED" w14:textId="77777777" w:rsidR="00100860" w:rsidRDefault="000F6AA9">
            <w:r>
              <w:rPr>
                <w:b/>
                <w:sz w:val="16"/>
              </w:rPr>
              <w:t>PASS</w:t>
            </w:r>
          </w:p>
        </w:tc>
      </w:tr>
      <w:tr w:rsidR="00100860" w14:paraId="4B2E6434" w14:textId="77777777">
        <w:tc>
          <w:tcPr>
            <w:tcW w:w="1606" w:type="dxa"/>
          </w:tcPr>
          <w:p w14:paraId="7E94CA64" w14:textId="77777777" w:rsidR="00100860" w:rsidRDefault="000F6AA9">
            <w:r>
              <w:rPr>
                <w:sz w:val="16"/>
              </w:rPr>
              <w:t>Локација</w:t>
            </w:r>
          </w:p>
        </w:tc>
        <w:tc>
          <w:tcPr>
            <w:tcW w:w="1606" w:type="dxa"/>
          </w:tcPr>
          <w:p w14:paraId="2D25649A" w14:textId="77777777" w:rsidR="00100860" w:rsidRDefault="000F6AA9">
            <w:r>
              <w:rPr>
                <w:sz w:val="16"/>
              </w:rPr>
              <w:t>Координате изван подржаног подручја</w:t>
            </w:r>
          </w:p>
        </w:tc>
        <w:tc>
          <w:tcPr>
            <w:tcW w:w="1606" w:type="dxa"/>
          </w:tcPr>
          <w:p w14:paraId="0E912E9B" w14:textId="77777777" w:rsidR="00100860" w:rsidRDefault="000F6AA9">
            <w:r>
              <w:rPr>
                <w:i/>
                <w:sz w:val="16"/>
              </w:rPr>
              <w:t>returnsNullOutsideSupportedArea</w:t>
            </w:r>
          </w:p>
        </w:tc>
        <w:tc>
          <w:tcPr>
            <w:tcW w:w="1606" w:type="dxa"/>
          </w:tcPr>
          <w:p w14:paraId="72B5AECC" w14:textId="77777777" w:rsidR="00100860" w:rsidRDefault="000F6AA9">
            <w:r>
              <w:rPr>
                <w:sz w:val="16"/>
              </w:rPr>
              <w:t>Враћа се null</w:t>
            </w:r>
          </w:p>
        </w:tc>
        <w:tc>
          <w:tcPr>
            <w:tcW w:w="1606" w:type="dxa"/>
          </w:tcPr>
          <w:p w14:paraId="3EFFB4AE" w14:textId="77777777" w:rsidR="00100860" w:rsidRDefault="000F6AA9">
            <w:r>
              <w:rPr>
                <w:sz w:val="16"/>
              </w:rPr>
              <w:t>Враћено null</w:t>
            </w:r>
          </w:p>
        </w:tc>
        <w:tc>
          <w:tcPr>
            <w:tcW w:w="1606" w:type="dxa"/>
          </w:tcPr>
          <w:p w14:paraId="72C358B1" w14:textId="77777777" w:rsidR="00100860" w:rsidRDefault="000F6AA9">
            <w:r>
              <w:rPr>
                <w:b/>
                <w:sz w:val="16"/>
              </w:rPr>
              <w:t>PASS</w:t>
            </w:r>
          </w:p>
        </w:tc>
      </w:tr>
      <w:tr w:rsidR="00100860" w14:paraId="5CCC44FA" w14:textId="77777777">
        <w:tc>
          <w:tcPr>
            <w:tcW w:w="1606" w:type="dxa"/>
          </w:tcPr>
          <w:p w14:paraId="4DC6F9EE" w14:textId="77777777" w:rsidR="00100860" w:rsidRDefault="000F6AA9">
            <w:r>
              <w:rPr>
                <w:sz w:val="16"/>
              </w:rPr>
              <w:t>Ударне вести</w:t>
            </w:r>
          </w:p>
        </w:tc>
        <w:tc>
          <w:tcPr>
            <w:tcW w:w="1606" w:type="dxa"/>
          </w:tcPr>
          <w:p w14:paraId="656EED89" w14:textId="77777777" w:rsidR="00100860" w:rsidRDefault="000F6AA9">
            <w:r>
              <w:rPr>
                <w:sz w:val="16"/>
              </w:rPr>
              <w:t>Хитна вест старија од два часа, без другог снажног разлога</w:t>
            </w:r>
          </w:p>
        </w:tc>
        <w:tc>
          <w:tcPr>
            <w:tcW w:w="1606" w:type="dxa"/>
          </w:tcPr>
          <w:p w14:paraId="6B9B84F2" w14:textId="77777777" w:rsidR="00100860" w:rsidRDefault="000F6AA9">
            <w:r>
              <w:rPr>
                <w:i/>
                <w:sz w:val="16"/>
              </w:rPr>
              <w:t>rejectsStaleUrgentArticleWithoutAnotherStrongSignal</w:t>
            </w:r>
          </w:p>
        </w:tc>
        <w:tc>
          <w:tcPr>
            <w:tcW w:w="1606" w:type="dxa"/>
          </w:tcPr>
          <w:p w14:paraId="4848327F" w14:textId="77777777" w:rsidR="00100860" w:rsidRDefault="000F6AA9">
            <w:r>
              <w:rPr>
                <w:sz w:val="16"/>
              </w:rPr>
              <w:t>Вест није ударна</w:t>
            </w:r>
          </w:p>
        </w:tc>
        <w:tc>
          <w:tcPr>
            <w:tcW w:w="1606" w:type="dxa"/>
          </w:tcPr>
          <w:p w14:paraId="14C61246" w14:textId="77777777" w:rsidR="00100860" w:rsidRDefault="000F6AA9">
            <w:r>
              <w:rPr>
                <w:sz w:val="16"/>
              </w:rPr>
              <w:t>Није означена као ударна</w:t>
            </w:r>
          </w:p>
        </w:tc>
        <w:tc>
          <w:tcPr>
            <w:tcW w:w="1606" w:type="dxa"/>
          </w:tcPr>
          <w:p w14:paraId="0DB7BCA2" w14:textId="77777777" w:rsidR="00100860" w:rsidRDefault="000F6AA9">
            <w:r>
              <w:rPr>
                <w:b/>
                <w:sz w:val="16"/>
              </w:rPr>
              <w:t>PASS</w:t>
            </w:r>
          </w:p>
        </w:tc>
      </w:tr>
      <w:tr w:rsidR="00100860" w14:paraId="574BB5AE" w14:textId="77777777">
        <w:tc>
          <w:tcPr>
            <w:tcW w:w="1606" w:type="dxa"/>
          </w:tcPr>
          <w:p w14:paraId="237F1884" w14:textId="77777777" w:rsidR="00100860" w:rsidRDefault="000F6AA9">
            <w:r>
              <w:rPr>
                <w:sz w:val="16"/>
              </w:rPr>
              <w:t>Обавештења</w:t>
            </w:r>
          </w:p>
        </w:tc>
        <w:tc>
          <w:tcPr>
            <w:tcW w:w="1606" w:type="dxa"/>
          </w:tcPr>
          <w:p w14:paraId="5DDC56CB" w14:textId="77777777" w:rsidR="00100860" w:rsidRDefault="000F6AA9">
            <w:r>
              <w:rPr>
                <w:sz w:val="16"/>
              </w:rPr>
              <w:t>Нов чланак који стратегија прихвата као ударну вест</w:t>
            </w:r>
          </w:p>
        </w:tc>
        <w:tc>
          <w:tcPr>
            <w:tcW w:w="1606" w:type="dxa"/>
          </w:tcPr>
          <w:p w14:paraId="68FA9797" w14:textId="77777777" w:rsidR="00100860" w:rsidRDefault="000F6AA9">
            <w:r>
              <w:rPr>
                <w:i/>
                <w:sz w:val="16"/>
              </w:rPr>
              <w:t>publishesNewArticleAcceptedByStrategy</w:t>
            </w:r>
          </w:p>
        </w:tc>
        <w:tc>
          <w:tcPr>
            <w:tcW w:w="1606" w:type="dxa"/>
          </w:tcPr>
          <w:p w14:paraId="709660A2" w14:textId="77777777" w:rsidR="00100860" w:rsidRDefault="000F6AA9">
            <w:r>
              <w:rPr>
                <w:sz w:val="16"/>
              </w:rPr>
              <w:t>Тачно једно обавештење</w:t>
            </w:r>
          </w:p>
        </w:tc>
        <w:tc>
          <w:tcPr>
            <w:tcW w:w="1606" w:type="dxa"/>
          </w:tcPr>
          <w:p w14:paraId="54060C74" w14:textId="77777777" w:rsidR="00100860" w:rsidRDefault="000F6AA9">
            <w:r>
              <w:rPr>
                <w:sz w:val="16"/>
              </w:rPr>
              <w:t>Једно обавештење</w:t>
            </w:r>
          </w:p>
        </w:tc>
        <w:tc>
          <w:tcPr>
            <w:tcW w:w="1606" w:type="dxa"/>
          </w:tcPr>
          <w:p w14:paraId="0718A3AC" w14:textId="77777777" w:rsidR="00100860" w:rsidRDefault="000F6AA9">
            <w:r>
              <w:rPr>
                <w:b/>
                <w:sz w:val="16"/>
              </w:rPr>
              <w:t>PASS</w:t>
            </w:r>
          </w:p>
        </w:tc>
      </w:tr>
      <w:tr w:rsidR="00100860" w14:paraId="389D29BE" w14:textId="77777777">
        <w:tc>
          <w:tcPr>
            <w:tcW w:w="1606" w:type="dxa"/>
          </w:tcPr>
          <w:p w14:paraId="0E85B6E5" w14:textId="77777777" w:rsidR="00100860" w:rsidRDefault="000F6AA9">
            <w:r>
              <w:rPr>
                <w:sz w:val="16"/>
              </w:rPr>
              <w:t>PDF</w:t>
            </w:r>
          </w:p>
        </w:tc>
        <w:tc>
          <w:tcPr>
            <w:tcW w:w="1606" w:type="dxa"/>
          </w:tcPr>
          <w:p w14:paraId="3AC62B22" w14:textId="77777777" w:rsidR="00100860" w:rsidRDefault="000F6AA9">
            <w:r>
              <w:rPr>
                <w:sz w:val="16"/>
              </w:rPr>
              <w:t>Наслов са знаковима забрањеним у називима датотека</w:t>
            </w:r>
          </w:p>
        </w:tc>
        <w:tc>
          <w:tcPr>
            <w:tcW w:w="1606" w:type="dxa"/>
          </w:tcPr>
          <w:p w14:paraId="5F719D2D" w14:textId="77777777" w:rsidR="00100860" w:rsidRDefault="000F6AA9">
            <w:r>
              <w:rPr>
                <w:i/>
                <w:sz w:val="16"/>
              </w:rPr>
              <w:t>removesCharactersForbiddenByCommonFileSystems</w:t>
            </w:r>
          </w:p>
        </w:tc>
        <w:tc>
          <w:tcPr>
            <w:tcW w:w="1606" w:type="dxa"/>
          </w:tcPr>
          <w:p w14:paraId="24A7C1C8" w14:textId="77777777" w:rsidR="00100860" w:rsidRDefault="000F6AA9">
            <w:r>
              <w:rPr>
                <w:sz w:val="16"/>
              </w:rPr>
              <w:t>Безбедан назив датотеке</w:t>
            </w:r>
          </w:p>
        </w:tc>
        <w:tc>
          <w:tcPr>
            <w:tcW w:w="1606" w:type="dxa"/>
          </w:tcPr>
          <w:p w14:paraId="52C1E7DA" w14:textId="77777777" w:rsidR="00100860" w:rsidRDefault="000F6AA9">
            <w:r>
              <w:rPr>
                <w:sz w:val="16"/>
              </w:rPr>
              <w:t>Назив без забрањених знакова</w:t>
            </w:r>
          </w:p>
        </w:tc>
        <w:tc>
          <w:tcPr>
            <w:tcW w:w="1606" w:type="dxa"/>
          </w:tcPr>
          <w:p w14:paraId="73E879FF" w14:textId="77777777" w:rsidR="00100860" w:rsidRDefault="000F6AA9">
            <w:r>
              <w:rPr>
                <w:b/>
                <w:sz w:val="16"/>
              </w:rPr>
              <w:t>PASS</w:t>
            </w:r>
          </w:p>
        </w:tc>
      </w:tr>
    </w:tbl>
    <w:p w14:paraId="00572C7A" w14:textId="77777777" w:rsidR="002B5BB4" w:rsidRDefault="00B47641">
      <w:pPr>
        <w:pStyle w:val="Osnovnitekst"/>
      </w:pPr>
      <w: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lastRenderedPageBreak/>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1BA0B5A2" w14:textId="77777777" w:rsidR="00B41995" w:rsidRDefault="00F4349F">
      <w:pPr>
        <w:pStyle w:val="Osnovnitekst"/>
      </w:pPr>
      <w:r>
        <w:t>Ручна провера је у целости спроведена на Android емулатору, без физичког уређаја. Коришћен је виртуелни уређај Pixel_7 из окружења Android Studio, са системском сликом android-37.1 у издању google_apis_playstore за архитектуру x86_64, што одговара API нивоу 37. Апликација је при томе преведена са вредностима minSdk 24 и targetSdk 37, па најнижи подржани ниво није проверен на стварном уређају. Емулатор има укључене виртуелне сензоре, међу њима и сензор амбијенталног светла, а сервер је током провере био покренут локално и доступан клијенту на адреси http://10.0.2.2:8000. Услови под којима је свака функционалност зависна од платформе испитана дати су у табели 6.2.1.</w:t>
      </w:r>
    </w:p>
    <w:p w14:paraId="1BA0B5A2" w14:textId="77777777" w:rsidR="00B41995" w:rsidRDefault="00F4349F">
      <w:pPr>
        <w:pStyle w:val="Oznakatabele"/>
      </w:pPr>
      <w:r>
        <w:t>Табела 6.2.1. Конфигурација и услови ручне провере функционалности зависних од платформе</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Функционалност</w:t>
            </w:r>
          </w:p>
        </w:tc>
        <w:tc>
          <w:tcPr>
            <w:tcW w:type="dxa" w:w="3213"/>
          </w:tcPr>
          <w:p>
            <w:r>
              <w:rPr>
                <w:b/>
              </w:rPr>
              <w:t>Конфигурација и услови провере</w:t>
            </w:r>
          </w:p>
        </w:tc>
        <w:tc>
          <w:tcPr>
            <w:tcW w:type="dxa" w:w="3213"/>
          </w:tcPr>
          <w:p>
            <w:r>
              <w:rPr>
                <w:b/>
              </w:rPr>
              <w:t>Исход</w:t>
            </w:r>
          </w:p>
        </w:tc>
      </w:tr>
      <w:tr>
        <w:tc>
          <w:tcPr>
            <w:tcW w:type="dxa" w:w="3213"/>
          </w:tcPr>
          <w:p>
            <w:r>
              <w:t>Локација (GPS)</w:t>
            </w:r>
          </w:p>
        </w:tc>
        <w:tc>
          <w:tcPr>
            <w:tcW w:type="dxa" w:w="3213"/>
          </w:tcPr>
          <w:p>
            <w:r>
              <w:t>Лажна локација задата преко Extended controls → Location у емулатору, за Београд, Нови Сад и Ниш; дозвола ACCESS_FINE_LOCATION одобрена ручно. Проверено и понашање при одбијеној дозволи, искљученој услузи локације и истеку рока од 20 секунди.</w:t>
            </w:r>
          </w:p>
        </w:tc>
        <w:tc>
          <w:tcPr>
            <w:tcW w:type="dxa" w:w="3213"/>
          </w:tcPr>
          <w:p>
            <w:r>
              <w:t>PASS</w:t>
            </w:r>
          </w:p>
        </w:tc>
      </w:tr>
      <w:tr>
        <w:tc>
          <w:tcPr>
            <w:tcW w:type="dxa" w:w="3213"/>
          </w:tcPr>
          <w:p>
            <w:r>
              <w:t>Сензор амбијенталног светла</w:t>
            </w:r>
          </w:p>
        </w:tc>
        <w:tc>
          <w:tcPr>
            <w:tcW w:type="dxa" w:w="3213"/>
          </w:tcPr>
          <w:p>
            <w:r>
              <w:t>Симулиран сензор у емулатору; вредност осветљености мењана испод и изнад прага од 100 lux дефинисаног у класи AmbientThemeDecider. Проверен и случај недоступног сензора, када се аутоматска тема онемогућава.</w:t>
            </w:r>
          </w:p>
        </w:tc>
        <w:tc>
          <w:tcPr>
            <w:tcW w:type="dxa" w:w="3213"/>
          </w:tcPr>
          <w:p>
            <w:r>
              <w:t>PASS</w:t>
            </w:r>
          </w:p>
        </w:tc>
      </w:tr>
      <w:tr>
        <w:tc>
          <w:tcPr>
            <w:tcW w:type="dxa" w:w="3213"/>
          </w:tcPr>
          <w:p>
            <w:r>
              <w:t>Гласовно читање (TTS)</w:t>
            </w:r>
          </w:p>
        </w:tc>
        <w:tc>
          <w:tcPr>
            <w:tcW w:type="dxa" w:w="3213"/>
          </w:tcPr>
          <w:p>
            <w:r>
              <w:t>Google Speech Services као подразумевани погон, језик задат као sr-Latn-RS. Проверено читање појединачног чланка и целог дневног прегледа, прекид читања и понашање када тражени језик није инсталиран.</w:t>
            </w:r>
          </w:p>
        </w:tc>
        <w:tc>
          <w:tcPr>
            <w:tcW w:type="dxa" w:w="3213"/>
          </w:tcPr>
          <w:p>
            <w:r>
              <w:t>PASS</w:t>
            </w:r>
          </w:p>
        </w:tc>
      </w:tr>
      <w:tr>
        <w:tc>
          <w:tcPr>
            <w:tcW w:type="dxa" w:w="3213"/>
          </w:tcPr>
          <w:p>
            <w:r>
              <w:t>Периодично освежавање (WorkManager)</w:t>
            </w:r>
          </w:p>
        </w:tc>
        <w:tc>
          <w:tcPr>
            <w:tcW w:type="dxa" w:w="3213"/>
          </w:tcPr>
          <w:p>
            <w:r>
              <w:t>Јединствени периодични посао periodic-news-refresh са ограничењем NetworkType.CONNECTED и интервалом од 15 минута, што је најмања вредност коју платформа дозвољава. Извршење је убрзано алатом adb shell cmd jobscheduler run, уз апликацију у позадини и угашену апликацију.</w:t>
            </w:r>
          </w:p>
        </w:tc>
        <w:tc>
          <w:tcPr>
            <w:tcW w:type="dxa" w:w="3213"/>
          </w:tcPr>
          <w:p>
            <w:r>
              <w:t>PASS</w:t>
            </w:r>
          </w:p>
        </w:tc>
      </w:tr>
      <w:tr>
        <w:tc>
          <w:tcPr>
            <w:tcW w:type="dxa" w:w="3213"/>
          </w:tcPr>
          <w:p>
            <w:r>
              <w:t>Обавештења</w:t>
            </w:r>
          </w:p>
        </w:tc>
        <w:tc>
          <w:tcPr>
            <w:tcW w:type="dxa" w:w="3213"/>
          </w:tcPr>
          <w:p>
            <w:r>
              <w:t>Канал general_notifications са важношћу IMPORTANCE_DEFAULT; дозвола POST_NOTIFICATIONS одобрена ручно. Проверено приказивање обавештења о ударној вести, отварање одговарајућег чланка додиром и изостанак обавештења када је дозвола одбијена или су обавештења искључена у подешавањима апликације.</w:t>
            </w:r>
          </w:p>
        </w:tc>
        <w:tc>
          <w:tcPr>
            <w:tcW w:type="dxa" w:w="3213"/>
          </w:tcPr>
          <w:p>
            <w:r>
              <w:t>PASS</w:t>
            </w:r>
          </w:p>
        </w:tc>
      </w:tr>
      <w:tr>
        <w:tc>
          <w:tcPr>
            <w:tcW w:type="dxa" w:w="3213"/>
          </w:tcPr>
          <w:p>
            <w:r>
              <w:t>Извоз у PDF</w:t>
            </w:r>
          </w:p>
        </w:tc>
        <w:tc>
          <w:tcPr>
            <w:tcW w:type="dxa" w:w="3213"/>
          </w:tcPr>
          <w:p>
            <w:r>
              <w:t>Одредиште бира корисник кроз системски бирач докумената (Storage Access Framework), уз уписивање преко ContentResolver тока. Проверен извоз чланка са сликом и без ње, отварање настале датотеке у системском прегледачу и понашање када је корисник одустао од избора одредишта.</w:t>
            </w:r>
          </w:p>
        </w:tc>
        <w:tc>
          <w:tcPr>
            <w:tcW w:type="dxa" w:w="3213"/>
          </w:tcPr>
          <w:p>
            <w:r>
              <w:t>PASS</w:t>
            </w:r>
          </w:p>
        </w:tc>
      </w:tr>
      <w:tr>
        <w:tc>
          <w:tcPr>
            <w:tcW w:type="dxa" w:w="3213"/>
          </w:tcPr>
          <w:p>
            <w:r>
              <w:t>Рад без мреже</w:t>
            </w:r>
          </w:p>
        </w:tc>
        <w:tc>
          <w:tcPr>
            <w:tcW w:type="dxa" w:w="3213"/>
          </w:tcPr>
          <w:p>
            <w:r>
              <w:t>Режим рада у авиону укључен на емулатору након успешног освежавања. Проверено да се приказује садржај локалне Room базе, да мрежна грешка не празни кеш и да се приказује одговарајућа порука.</w:t>
            </w:r>
          </w:p>
        </w:tc>
        <w:tc>
          <w:tcPr>
            <w:tcW w:type="dxa" w:w="3213"/>
          </w:tcPr>
          <w:p>
            <w:r>
              <w:t>PASS</w:t>
            </w:r>
          </w:p>
        </w:tc>
      </w:tr>
    </w:tbl>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Скуп је означио један оцењивач, па међусобно слагање није могуће израчунати; при два или више оцењивача уобичајена мера слагања је Коенов коефицијент κ [48], који се тумачи по устаљеним интервалима [49], уз опрез због његове познате осетљивости на неуравнотежену заступљеност класа [50].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lastRenderedPageBreak/>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lastRenderedPageBreak/>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показано да такве мере не задовољавају истовремено услове хомогености и потпуности кластера [51].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lastRenderedPageBreak/>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[52]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[53]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lastRenderedPageBreak/>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2B51FE9E" w14:textId="77777777" w:rsidR="00B41995" w:rsidRDefault="00F4349F">
      <w:pPr>
        <w:pStyle w:val="IInivonaslova-Potpoglavlje"/>
      </w:pPr>
      <w:r>
        <w:t>Шта је урађено</w:t>
      </w:r>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t xml:space="preserve">, користи </w:t>
      </w:r>
      <w:r>
        <w:rPr>
          <w:i/>
        </w:rPr>
        <w:t>PostgreSQL</w:t>
      </w:r>
      <w:r>
        <w:t xml:space="preserve"> базу са </w:t>
      </w:r>
      <w:r>
        <w:rPr>
          <w:i/>
        </w:rPr>
        <w:t>Alembic</w:t>
      </w:r>
      <w: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t xml:space="preserve">, </w:t>
      </w:r>
      <w:r>
        <w:rPr>
          <w:i/>
        </w:rPr>
        <w:t>Room</w:t>
      </w:r>
      <w:r>
        <w:t xml:space="preserve">, </w:t>
      </w:r>
      <w:r>
        <w:rPr>
          <w:i/>
        </w:rPr>
        <w:t>Hilt</w:t>
      </w:r>
      <w:r>
        <w:t xml:space="preserve"> и </w:t>
      </w:r>
      <w:r>
        <w:rPr>
          <w:i/>
        </w:rPr>
        <w:t>WorkManager</w:t>
      </w:r>
      <w:r>
        <w:t>, и комуницира са сервером преко типизованог уговора.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03A1B305" w14:textId="77777777" w:rsidR="00B41995" w:rsidRDefault="00F4349F">
      <w:pPr>
        <w:pStyle w:val="IInivonaslova-Potpoglavlje"/>
      </w:pPr>
      <w:r>
        <w:t>Шта је постигнуто и критички осврт</w:t>
      </w:r>
    </w:p>
    <w:p w14:paraId="3593D027" w14:textId="77777777" w:rsidR="002B5BB4" w:rsidRDefault="00B47641">
      <w:pPr>
        <w:pStyle w:val="Osnovnitekst"/>
      </w:pPr>
      <w: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6D5D6A7B" w14:textId="77777777" w:rsidR="002B5BB4" w:rsidRDefault="00B47641">
      <w:pPr>
        <w:pStyle w:val="Osnovnitekst"/>
      </w:pPr>
      <w: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lastRenderedPageBreak/>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3CADC35" w14:textId="77777777" w:rsidR="00B41995" w:rsidRDefault="00F4349F">
      <w:pPr>
        <w:pStyle w:val="IInivonaslova-Potpoglavlje"/>
      </w:pPr>
      <w:r>
        <w:t>Правци даљег рада</w:t>
      </w:r>
    </w:p>
    <w:p w14:paraId="44635247" w14:textId="77777777" w:rsidR="002B5BB4" w:rsidRDefault="00B47641">
      <w:pPr>
        <w:pStyle w:val="Osnovnitekst"/>
      </w:pPr>
      <w: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086EA9E9" w14:textId="77777777" w:rsidR="002B5BB4" w:rsidRDefault="00B47641">
      <w:pPr>
        <w:pStyle w:val="Osnovnitekst"/>
      </w:pPr>
      <w: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1878FC28"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746E39F5"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43B26B6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ECE605A"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3E5316B1" w14:textId="77777777" w:rsidR="002B5BB4" w:rsidRDefault="00B47641">
      <w:pPr>
        <w:pStyle w:val="Referenca"/>
      </w:pPr>
      <w:r>
        <w:t>B. Pang, L. Lee, „Opinion Mining and Sentiment Analysis,” Foundations and Trends in Information Retrieval, vol. 2, no. 1–2, 2008, pp. 1–135, doi: 10.1561/1500000011.</w:t>
      </w:r>
    </w:p>
    <w:p w14:paraId="149A4E68"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7EBEB7E8"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75A22E19" w14:textId="77777777" w:rsidR="002B5BB4" w:rsidRDefault="00B47641">
      <w:pPr>
        <w:pStyle w:val="Referenca"/>
      </w:pPr>
      <w:r>
        <w:t>Feedly, „Feedly – Keep up with the topics and trends you care about,” https://feedly.com/, приступано септембар 2026.</w:t>
      </w:r>
    </w:p>
    <w:p w14:paraId="69CF67CC"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54CDDA8B"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7845F3BD" w14:textId="77777777" w:rsidR="002B5BB4" w:rsidRDefault="00B47641">
      <w:pPr>
        <w:pStyle w:val="Referenca"/>
      </w:pPr>
      <w:r>
        <w:t>N1 Info, „N1 Info – мобилна апликација,” Google Play, https://play.google.com/store/apps/details?id=rs.n1info.app, приступано септембар 2026.</w:t>
      </w:r>
    </w:p>
    <w:p w14:paraId="2EA4936C" w14:textId="77777777" w:rsidR="002B5BB4" w:rsidRDefault="00B47641">
      <w:pPr>
        <w:pStyle w:val="Referenca"/>
      </w:pPr>
      <w:r>
        <w:t>S. Flaxman, S. Goel, J. M. Rao, „Filter Bubbles, Echo Chambers, and Online News Consumption,” Public Opinion Quarterly, vol. 80, no. S1, 2016, pp. 298–320, doi: 10.1093/poq/nfw006.</w:t>
      </w:r>
    </w:p>
    <w:p w14:paraId="7AB85027" w14:textId="77777777" w:rsidR="002B5BB4" w:rsidRDefault="00B47641">
      <w:pPr>
        <w:pStyle w:val="Referenca"/>
      </w:pPr>
      <w:r>
        <w:lastRenderedPageBreak/>
        <w:t>M. Cinelli, G. De Francisci Morales, A. Galeazzi, W. Quattrociocchi, M. Starnini, „The echo chamber effect on social media,” Proceedings of the National Academy of Sciences, vol. 118, no. 9, 2021, e2023301118, doi: 10.1073/pnas.2023301118.</w:t>
      </w:r>
    </w:p>
    <w:p w14:paraId="0BE7D1AC" w14:textId="77777777" w:rsidR="002B5BB4" w:rsidRDefault="00B47641">
      <w:pPr>
        <w:pStyle w:val="Referenca"/>
      </w:pPr>
      <w:r>
        <w:t>E. Bakshy, S. Messing, L. A. Adamic, „Exposure to ideologically diverse news and opinion on Facebook,” Science, vol. 348, no. 6239, 2015, pp. 1130–1132, doi: 10.1126/science.aaa1160.</w:t>
      </w:r>
    </w:p>
    <w:p w14:paraId="57635D5E" w14:textId="77777777" w:rsidR="002B5BB4" w:rsidRDefault="00B47641">
      <w:pPr>
        <w:pStyle w:val="Referenca"/>
      </w:pPr>
      <w:r>
        <w:t>Reddit, „How does Reddit rank content? – Reddit Help,” https://support.reddithelp.com/hc/en-us/articles/7419631354772, приступано септембар 2026.</w:t>
      </w:r>
    </w:p>
    <w:p w14:paraId="1A01CD98" w14:textId="77777777" w:rsidR="002B5BB4" w:rsidRDefault="00B47641">
      <w:pPr>
        <w:pStyle w:val="Referenca"/>
      </w:pPr>
      <w:r>
        <w:t>FastAPI, „FastAPI Documentation,” https://fastapi.tiangolo.com/, приступано септембар 2026.</w:t>
      </w:r>
    </w:p>
    <w:p w14:paraId="52391004" w14:textId="77777777" w:rsidR="002B5BB4" w:rsidRDefault="00B47641">
      <w:pPr>
        <w:pStyle w:val="Referenca"/>
      </w:pPr>
      <w:r>
        <w:t>SQLAlchemy, „SQLAlchemy 2.0 Documentation,” https://docs.sqlalchemy.org/, приступано септембар 2026.</w:t>
      </w:r>
    </w:p>
    <w:p w14:paraId="72285473" w14:textId="77777777" w:rsidR="002B5BB4" w:rsidRDefault="00B47641">
      <w:pPr>
        <w:pStyle w:val="Referenca"/>
      </w:pPr>
      <w:r>
        <w:t>PostgreSQL Global Development Group, „PostgreSQL Documentation,” https://www.postgresql.org/docs/, приступано септембар 2026.</w:t>
      </w:r>
    </w:p>
    <w:p w14:paraId="103CA84E" w14:textId="77777777" w:rsidR="002B5BB4" w:rsidRDefault="00B47641">
      <w:pPr>
        <w:pStyle w:val="Referenca"/>
      </w:pPr>
      <w:r>
        <w:t>Alembic, „Alembic Documentation,” https://alembic.sqlalchemy.org/, приступано септембар 2026.</w:t>
      </w:r>
    </w:p>
    <w:p w14:paraId="02117ACD" w14:textId="77777777" w:rsidR="002B5BB4" w:rsidRDefault="00B47641">
      <w:pPr>
        <w:pStyle w:val="Referenca"/>
      </w:pPr>
      <w:r>
        <w:t>N. Reimers, I. Gurevych, „Sentence-BERT: Sentence Embeddings using Siamese BERT-Networks,” Proceedings of EMNLP-IJCNLP, 2019, pp. 3982–3992.</w:t>
      </w:r>
    </w:p>
    <w:p w14:paraId="73A0C25E"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794D7D51"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CCD9638" w14:textId="77777777" w:rsidR="002B5BB4" w:rsidRDefault="00B47641">
      <w:pPr>
        <w:pStyle w:val="Referenca"/>
      </w:pPr>
      <w:r>
        <w:t>Sentence Transformers, „Documentation,” https://www.sbert.net/, приступано септембар 2026.</w:t>
      </w:r>
    </w:p>
    <w:p w14:paraId="6608BDAE" w14:textId="77777777" w:rsidR="002B5BB4" w:rsidRDefault="00B47641">
      <w:pPr>
        <w:pStyle w:val="Referenca"/>
      </w:pPr>
      <w:r>
        <w:t>Groq, „Groq API Documentation,” https://console.groq.com/docs, приступано септембар 2026.</w:t>
      </w:r>
    </w:p>
    <w:p w14:paraId="7861A628"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55304697"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3810E4A6"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7B208D51" w14:textId="77777777" w:rsidR="002B5BB4" w:rsidRDefault="00B47641">
      <w:pPr>
        <w:pStyle w:val="Referenca"/>
      </w:pPr>
      <w:r>
        <w:lastRenderedPageBreak/>
        <w:t>M. Mladenović, J. Mitrović, C. Krstev, D. Vitas, „Hybrid sentiment analysis framework for a morphologically rich language,” Journal of Intelligent Information Systems, vol. 46, no. 3, 2016, pp. 599–620, doi: 10.1007/s10844-015-0372-5.</w:t>
      </w:r>
    </w:p>
    <w:p w14:paraId="2ADA548A"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14E9EC35"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6D1757F6"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339666BD" w14:textId="77777777" w:rsidR="002B5BB4" w:rsidRDefault="00B47641">
      <w:pPr>
        <w:pStyle w:val="Referenca"/>
      </w:pPr>
      <w:r>
        <w:t>JetBrains, „Kotlin Coroutines Guide,” https://kotlinlang.org/docs/coroutines-guide.html, приступано септембар 2026.</w:t>
      </w:r>
    </w:p>
    <w:p w14:paraId="2BF02991" w14:textId="77777777" w:rsidR="002B5BB4" w:rsidRDefault="00B47641">
      <w:pPr>
        <w:pStyle w:val="Referenca"/>
      </w:pPr>
      <w:r>
        <w:t>Android Developers, „Jetpack Compose,” https://developer.android.com/compose, приступано септембар 2026.</w:t>
      </w:r>
    </w:p>
    <w:p w14:paraId="37776F66" w14:textId="77777777" w:rsidR="002B5BB4" w:rsidRDefault="00B47641">
      <w:pPr>
        <w:pStyle w:val="Referenca"/>
      </w:pPr>
      <w:r>
        <w:t>Google, „Material Design 3,” https://m3.material.io/, приступано септембар 2026.</w:t>
      </w:r>
    </w:p>
    <w:p w14:paraId="7BF98015" w14:textId="77777777" w:rsidR="002B5BB4" w:rsidRDefault="00B47641">
      <w:pPr>
        <w:pStyle w:val="Referenca"/>
      </w:pPr>
      <w:r>
        <w:t>Square, „Retrofit,” https://square.github.io/retrofit/, приступано септембар 2026.</w:t>
      </w:r>
    </w:p>
    <w:p w14:paraId="2DB39247" w14:textId="77777777" w:rsidR="002B5BB4" w:rsidRDefault="00B47641">
      <w:pPr>
        <w:pStyle w:val="Referenca"/>
      </w:pPr>
      <w:r>
        <w:t>Android Developers, „Save data in a local database using Room,” https://developer.android.com/training/data-storage/room, приступано септембар 2026.</w:t>
      </w:r>
    </w:p>
    <w:p w14:paraId="5CFF6FF4" w14:textId="77777777" w:rsidR="002B5BB4" w:rsidRDefault="00B47641">
      <w:pPr>
        <w:pStyle w:val="Referenca"/>
      </w:pPr>
      <w:r>
        <w:t>Android Developers, „Dependency injection with Hilt,” https://developer.android.com/training/dependency-injection/hilt-android, приступано септембар 2026.</w:t>
      </w:r>
    </w:p>
    <w:p w14:paraId="4E76CC64" w14:textId="77777777" w:rsidR="002B5BB4" w:rsidRDefault="00B47641">
      <w:pPr>
        <w:pStyle w:val="Referenca"/>
      </w:pPr>
      <w:r>
        <w:t>Android Developers, „WorkManager,” https://developer.android.com/topic/libraries/architecture/workmanager, приступано септембар 2026.</w:t>
      </w:r>
    </w:p>
    <w:p w14:paraId="3E8BEF9F" w14:textId="77777777" w:rsidR="002B5BB4" w:rsidRDefault="00B47641">
      <w:pPr>
        <w:pStyle w:val="Referenca"/>
      </w:pPr>
      <w:r>
        <w:t>S. Newman, Building Microservices, 2nd ed., O’Reilly Media, 2021.</w:t>
      </w:r>
    </w:p>
    <w:p w14:paraId="197471B1" w14:textId="77777777" w:rsidR="002B5BB4" w:rsidRDefault="00B47641">
      <w:pPr>
        <w:pStyle w:val="Referenca"/>
      </w:pPr>
      <w:r>
        <w:t>M. Fowler, Patterns of Enterprise Application Architecture, Addison-Wesley, 2002.</w:t>
      </w:r>
    </w:p>
    <w:p w14:paraId="233A5F5B"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1168E78D" w14:textId="77777777" w:rsidR="002B5BB4" w:rsidRDefault="00B47641">
      <w:pPr>
        <w:pStyle w:val="Referenca"/>
      </w:pPr>
      <w:r>
        <w:t>Y. Yang, T. Pierce, J. Carbonell, „A study of retrospective and on-line event detection,” Proceedings of SIGIR ’98, 1998, pp. 28–36, doi: 10.1145/290941.290953.</w:t>
      </w:r>
    </w:p>
    <w:p w14:paraId="0087B643" w14:textId="77777777" w:rsidR="002B5BB4" w:rsidRDefault="00B47641">
      <w:pPr>
        <w:pStyle w:val="Referenca"/>
      </w:pPr>
      <w:r>
        <w:t>S. Miranda, A. Znotiņš, S. B. Cohen, G. Barzdins, „Multilingual Clustering of Streaming News,” Proceedings of EMNLP 2018, 2018, pp. 4535–4544, doi: 10.18653/v1/D18-1483.</w:t>
      </w:r>
    </w:p>
    <w:p w14:paraId="7167D7FE" w14:textId="77777777" w:rsidR="002B5BB4" w:rsidRDefault="00B47641">
      <w:pPr>
        <w:pStyle w:val="Referenca"/>
      </w:pPr>
      <w:r>
        <w:t>R. E. Tarjan, „Efficiency of a Good But Not Linear Set Union Algorithm,” Journal of the ACM, vol. 22, no. 2, 1975, pp. 215–225, doi: 10.1145/321879.321884.</w:t>
      </w:r>
    </w:p>
    <w:p w14:paraId="37D61932" w14:textId="77777777" w:rsidR="002B5BB4" w:rsidRDefault="00B47641">
      <w:pPr>
        <w:pStyle w:val="Referenca"/>
      </w:pPr>
      <w:r>
        <w:t>R. T. Fielding, Architectural Styles and the Design of Network-based Software Architectures, doctoral dissertation, University of California, Irvine, 2000.</w:t>
      </w:r>
    </w:p>
    <w:p w14:paraId="2B91642A" w14:textId="77777777" w:rsidR="002B5BB4" w:rsidRDefault="00B47641">
      <w:pPr>
        <w:pStyle w:val="Referenca"/>
      </w:pPr>
      <w:r>
        <w:lastRenderedPageBreak/>
        <w:t>Пројектна документација, „News Aggregator API v1,” датотека docs/API_CONTRACT_V1.md, верзија од 25. септембра 2026.</w:t>
      </w:r>
    </w:p>
    <w:p w14:paraId="03BC604D" w14:textId="77777777" w:rsidR="002B5BB4" w:rsidRDefault="00B47641">
      <w:pPr>
        <w:pStyle w:val="Referenca"/>
      </w:pPr>
      <w:r>
        <w:t>J. Cohen, „A Coefficient of Agreement for Nominal Scales,” Educational and Psychological Measurement, vol. 20, no. 1, 1960, pp. 37–46, doi: 10.1177/001316446002000104.</w:t>
      </w:r>
    </w:p>
    <w:p w14:paraId="6CC7108F" w14:textId="77777777" w:rsidR="002B5BB4" w:rsidRDefault="00B47641">
      <w:pPr>
        <w:pStyle w:val="Referenca"/>
      </w:pPr>
      <w:r>
        <w:t>J. R. Landis, G. G. Koch, „The Measurement of Observer Agreement for Categorical Data,” Biometrics, vol. 33, no. 1, 1977, pp. 159–174, doi: 10.2307/2529310.</w:t>
      </w:r>
    </w:p>
    <w:p w14:paraId="2BD32CB2" w14:textId="77777777" w:rsidR="002B5BB4" w:rsidRDefault="00B47641">
      <w:pPr>
        <w:pStyle w:val="Referenca"/>
      </w:pPr>
      <w:r>
        <w:t>R. Artstein, M. Poesio, „Inter-Coder Agreement for Computational Linguistics,” Computational Linguistics, vol. 34, no. 4, 2008, pp. 555–596, doi: 10.1162/coli.07-034-r2.</w:t>
      </w:r>
    </w:p>
    <w:p w14:paraId="5F666E1F"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779B83B5" w14:textId="77777777" w:rsidR="002B5BB4" w:rsidRDefault="00B47641">
      <w:pPr>
        <w:pStyle w:val="Referenca"/>
      </w:pPr>
      <w:r>
        <w:t>Пројектни изворни код, „News Aggregator Backend,” Python/FastAPI репозиторијум, септембар 2026.</w:t>
      </w:r>
    </w:p>
    <w:p w14:paraId="2418BEE7"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5"/>
      <w:footerReference w:type="default" r:id="rId56"/>
      <w:headerReference w:type="first" r:id="rId57"/>
      <w:footerReference w:type="first" r:id="rId58"/>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714F9" w14:textId="77777777" w:rsidR="000F6AA9" w:rsidRDefault="000F6AA9">
      <w:r>
        <w:separator/>
      </w:r>
    </w:p>
  </w:endnote>
  <w:endnote w:type="continuationSeparator" w:id="0">
    <w:p w14:paraId="20B72E93" w14:textId="77777777" w:rsidR="000F6AA9" w:rsidRDefault="000F6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D7C5" w14:textId="77777777" w:rsidR="000F6AA9" w:rsidRDefault="000F6AA9">
      <w:r>
        <w:separator/>
      </w:r>
    </w:p>
  </w:footnote>
  <w:footnote w:type="continuationSeparator" w:id="0">
    <w:p w14:paraId="307FBD7B" w14:textId="77777777" w:rsidR="000F6AA9" w:rsidRDefault="000F6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37B62"/>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0F6AA9"/>
    <w:rsid w:val="00100860"/>
    <w:rsid w:val="001104C5"/>
    <w:rsid w:val="00125C81"/>
    <w:rsid w:val="00132C6A"/>
    <w:rsid w:val="00135926"/>
    <w:rsid w:val="001407C0"/>
    <w:rsid w:val="001551E5"/>
    <w:rsid w:val="00164F2F"/>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6E84"/>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468C"/>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A1B78"/>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eader" Target="header4.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17</TotalTime>
  <Pages>63</Pages>
  <Words>15653</Words>
  <Characters>89226</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104670</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22</cp:revision>
  <cp:lastPrinted>2010-03-22T09:00:00Z</cp:lastPrinted>
  <dcterms:created xsi:type="dcterms:W3CDTF">2026-09-28T12:58:00Z</dcterms:created>
  <dcterms:modified xsi:type="dcterms:W3CDTF">2026-09-29T15:24:00Z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