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периодично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података и доменских стратегија </w:t>
      </w:r>
      <w:r>
        <w:rPr>
          <w:i/>
        </w:rPr>
        <w:t>Android</w:t>
      </w:r>
      <w:r>
        <w:t xml:space="preserve">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Због тога се у наставку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чиме се исти догађај представља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реакција.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lastRenderedPageBreak/>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lastRenderedPageBreak/>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lastRenderedPageBreak/>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rPr>
                <w:sz w:val="20"/>
              </w:rPr>
              <w:t xml:space="preserve">Shadow </w:t>
            </w:r>
            <w:proofErr w:type="spellStart"/>
            <w:r>
              <w:rPr>
                <w:sz w:val="20"/>
              </w:rPr>
              <w:t>режим</w:t>
            </w:r>
            <w:proofErr w:type="spellEnd"/>
            <w:r>
              <w:rPr>
                <w:sz w:val="20"/>
              </w:rPr>
              <w:t xml:space="preserve"> и </w:t>
            </w:r>
            <w:proofErr w:type="spellStart"/>
            <w:r>
              <w:rPr>
                <w:sz w:val="20"/>
              </w:rPr>
              <w:t>калибрација</w:t>
            </w:r>
            <w:proofErr w:type="spellEnd"/>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Захваљујући томе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Захваљујући томе, претрага парова заснована на проширењу </w:t>
      </w:r>
      <w:r>
        <w:rPr>
          <w:i/>
        </w:rPr>
        <w:t>pgvector</w:t>
      </w:r>
      <w:r>
        <w:t xml:space="preserve"> може бити замењена имплементацијом у програмском језику </w:t>
      </w:r>
      <w:r>
        <w:rPr>
          <w:i/>
        </w:rPr>
        <w:t>Python</w:t>
      </w:r>
      <w:r>
        <w:t xml:space="preserve">, а </w:t>
      </w:r>
      <w:r>
        <w:rPr>
          <w:i/>
        </w:rPr>
        <w:t>Groq</w:t>
      </w:r>
      <w:r>
        <w:t xml:space="preserve"> стратегија случајном, без промене рута и репозиторијума. Технолошке одлуке тако остају локалне, јер се промена једног слоја не преноси на остале делове система.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w:t>
      </w:r>
      <w:r>
        <w:lastRenderedPageBreak/>
        <w:t>поново користи и спољни позив се изоставља. Поновна употреба већ израчунате анализе смањује број спољних позива и чини понављање обраде јефтиним.</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xml:space="preserve">, налаже моделу да оцењује начин на који су наслов и </w:t>
      </w:r>
      <w:r>
        <w:lastRenderedPageBreak/>
        <w:t>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union–find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 Поновна употреба већ израчунатих вектора осетно скраћује трајање једног циклуса груписања.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8" w:name="_Toc241499947"/>
      <w:r>
        <w:t>Слика 4.2.3. Освежавање вести уз задржавање кеша</w:t>
      </w:r>
      <w:bookmarkEnd w:id="48"/>
    </w:p>
    <w:p w14:paraId="6C5CDC2C" w14:textId="77777777" w:rsidR="002B5BB4" w:rsidRDefault="00B47641">
      <w:pPr>
        <w:pStyle w:val="Osnovnitekst"/>
      </w:pPr>
      <w: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Тиме је </w:t>
      </w:r>
      <w:r>
        <w:rPr>
          <w:i/>
        </w:rPr>
        <w:t>Room</w:t>
      </w:r>
      <w:r>
        <w:t xml:space="preserve">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чиме се избегавају осиротели редови.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t xml:space="preserve">Резултат је једносмеран круг: стање се приказује, корисничка радња се преко </w:t>
      </w:r>
      <w:r>
        <w:rPr>
          <w:i/>
        </w:rPr>
        <w:t>callback</w:t>
      </w:r>
      <w:r>
        <w:t xml:space="preserve"> функције враћа држачу стања, он покреће методу или Command класу, а промена у репозиторијуму изазива нову емисију тока и нови приказ. Екрани при том не знају одакле је промена дошла, што их чини подједнако употребљивим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чиме се непотребна буђења избегавају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Ова одлука даје предност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t xml:space="preserve">Серверски део садржи 70 пословних тестова распоређених у осам датотека, уз </w:t>
      </w:r>
      <w:r>
        <w:rPr>
          <w:i/>
        </w:rPr>
        <w:t>pytest</w:t>
      </w:r>
      <w:r>
        <w:t xml:space="preserve"> fixture функцију за привремену базу. Покривени су </w:t>
      </w:r>
      <w:r>
        <w:rPr>
          <w:i/>
        </w:rPr>
        <w:t>root</w:t>
      </w:r>
      <w:r>
        <w:t xml:space="preserve"> и </w:t>
      </w:r>
      <w:r>
        <w:rPr>
          <w:i/>
        </w:rPr>
        <w:t>health</w:t>
      </w:r>
      <w:r>
        <w:t xml:space="preserve"> endpoint, листа и детаљ чланка, неактивни и непотпуно анализирани записи, </w:t>
      </w:r>
      <w:r>
        <w:rPr>
          <w:i/>
        </w:rPr>
        <w:t>RSS</w:t>
      </w:r>
      <w:r>
        <w:t xml:space="preserve"> парсер, јединствени метаподаци извора, нормализација </w:t>
      </w:r>
      <w:r>
        <w:rPr>
          <w:i/>
        </w:rPr>
        <w:t>URL</w:t>
      </w:r>
      <w:r>
        <w:t xml:space="preserve"> адресе, обе стратегије тона, цевовод обраде, перзистенција и фабрика конфигурације. Тестови се покрећу алатом </w:t>
      </w:r>
      <w:r>
        <w:rPr>
          <w:i/>
        </w:rPr>
        <w:t>pytest</w:t>
      </w:r>
      <w:r>
        <w:t xml:space="preserve"> над привременом базом, независно од развојног окружења.</w:t>
      </w:r>
    </w:p>
    <w:p w14:paraId="101ABABB"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Тиме се не проверава само алгоритам, већ и поновљивост поступка евалуације чији су резултати дати у наставку поглавља.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68 локалних јединичних тестова у 23 датотеке, уз један инструментални тест. Покривени су мапирање </w:t>
      </w:r>
      <w:r>
        <w:rPr>
          <w:i/>
        </w:rPr>
        <w:t>API</w:t>
      </w:r>
      <w:r>
        <w:t xml:space="preserve"> модела, </w:t>
      </w:r>
      <w:r>
        <w:rPr>
          <w:i/>
        </w:rPr>
        <w:t>DataSource</w:t>
      </w:r>
      <w:r>
        <w:t>,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 Осим основног инструменталног теста, ти тестови не захтевају уређај нити емулатор, па се извршавају без покретања апликације.</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64DE81C" w14:textId="77777777">
        <w:trPr>
          <w:tblHeader/>
          <w:jc w:val="center"/>
        </w:trPr>
        <w:tc>
          <w:tcPr>
            <w:tcW w:w="1928" w:type="dxa"/>
            <w:shd w:val="clear" w:color="auto" w:fill="D7EAF2"/>
            <w:tcMar>
              <w:top w:w="80" w:type="dxa"/>
              <w:left w:w="100" w:type="dxa"/>
              <w:bottom w:w="80" w:type="dxa"/>
              <w:right w:w="100" w:type="dxa"/>
            </w:tcMar>
          </w:tcPr>
          <w:p w14:paraId="158D09AB" w14:textId="77777777" w:rsidR="002B5BB4" w:rsidRDefault="00B47641">
            <w:pPr>
              <w:jc w:val="center"/>
            </w:pPr>
            <w:proofErr w:type="spellStart"/>
            <w:r>
              <w:rPr>
                <w:b/>
                <w:sz w:val="20"/>
              </w:rPr>
              <w:t>Област</w:t>
            </w:r>
            <w:proofErr w:type="spellEnd"/>
          </w:p>
        </w:tc>
        <w:tc>
          <w:tcPr>
            <w:tcW w:w="3969" w:type="dxa"/>
            <w:shd w:val="clear" w:color="auto" w:fill="D7EAF2"/>
            <w:tcMar>
              <w:top w:w="80" w:type="dxa"/>
              <w:left w:w="100" w:type="dxa"/>
              <w:bottom w:w="80" w:type="dxa"/>
              <w:right w:w="100" w:type="dxa"/>
            </w:tcMar>
          </w:tcPr>
          <w:p w14:paraId="5EB89885" w14:textId="77777777" w:rsidR="002B5BB4" w:rsidRDefault="00B47641">
            <w:pPr>
              <w:jc w:val="center"/>
            </w:pPr>
            <w:proofErr w:type="spellStart"/>
            <w:r>
              <w:rPr>
                <w:b/>
                <w:sz w:val="20"/>
              </w:rPr>
              <w:t>Пример</w:t>
            </w:r>
            <w:proofErr w:type="spellEnd"/>
            <w:r>
              <w:rPr>
                <w:b/>
                <w:sz w:val="20"/>
              </w:rPr>
              <w:t xml:space="preserve"> </w:t>
            </w:r>
            <w:proofErr w:type="spellStart"/>
            <w:r>
              <w:rPr>
                <w:b/>
                <w:sz w:val="20"/>
              </w:rPr>
              <w:t>провере</w:t>
            </w:r>
            <w:proofErr w:type="spellEnd"/>
          </w:p>
        </w:tc>
        <w:tc>
          <w:tcPr>
            <w:tcW w:w="3402" w:type="dxa"/>
            <w:shd w:val="clear" w:color="auto" w:fill="D7EAF2"/>
            <w:tcMar>
              <w:top w:w="80" w:type="dxa"/>
              <w:left w:w="100" w:type="dxa"/>
              <w:bottom w:w="80" w:type="dxa"/>
              <w:right w:w="100" w:type="dxa"/>
            </w:tcMar>
          </w:tcPr>
          <w:p w14:paraId="6AC01762" w14:textId="77777777" w:rsidR="002B5BB4" w:rsidRDefault="00B47641">
            <w:pPr>
              <w:jc w:val="center"/>
            </w:pPr>
            <w:proofErr w:type="spellStart"/>
            <w:r>
              <w:rPr>
                <w:b/>
                <w:sz w:val="20"/>
              </w:rPr>
              <w:t>Очекивани</w:t>
            </w:r>
            <w:proofErr w:type="spellEnd"/>
            <w:r>
              <w:rPr>
                <w:b/>
                <w:sz w:val="20"/>
              </w:rPr>
              <w:t xml:space="preserve"> </w:t>
            </w:r>
            <w:proofErr w:type="spellStart"/>
            <w:r>
              <w:rPr>
                <w:b/>
                <w:sz w:val="20"/>
              </w:rPr>
              <w:t>резултат</w:t>
            </w:r>
            <w:proofErr w:type="spellEnd"/>
          </w:p>
        </w:tc>
      </w:tr>
      <w:tr w:rsidR="002B5BB4" w14:paraId="203E7F1C" w14:textId="77777777">
        <w:trPr>
          <w:jc w:val="center"/>
        </w:trPr>
        <w:tc>
          <w:tcPr>
            <w:tcW w:w="1928" w:type="dxa"/>
            <w:tcMar>
              <w:top w:w="80" w:type="dxa"/>
              <w:left w:w="100" w:type="dxa"/>
              <w:bottom w:w="80" w:type="dxa"/>
              <w:right w:w="100" w:type="dxa"/>
            </w:tcMar>
            <w:vAlign w:val="center"/>
          </w:tcPr>
          <w:p w14:paraId="55CE6E62" w14:textId="77777777" w:rsidR="002B5BB4" w:rsidRDefault="00B47641">
            <w:r>
              <w:rPr>
                <w:sz w:val="20"/>
              </w:rPr>
              <w:t>API</w:t>
            </w:r>
          </w:p>
        </w:tc>
        <w:tc>
          <w:tcPr>
            <w:tcW w:w="3969" w:type="dxa"/>
            <w:tcMar>
              <w:top w:w="80" w:type="dxa"/>
              <w:left w:w="100" w:type="dxa"/>
              <w:bottom w:w="80" w:type="dxa"/>
              <w:right w:w="100" w:type="dxa"/>
            </w:tcMar>
            <w:vAlign w:val="center"/>
          </w:tcPr>
          <w:p w14:paraId="6B6D9B3D" w14:textId="77777777" w:rsidR="002B5BB4" w:rsidRDefault="00B47641">
            <w:proofErr w:type="spellStart"/>
            <w:r>
              <w:rPr>
                <w:sz w:val="20"/>
              </w:rPr>
              <w:t>Захтев</w:t>
            </w:r>
            <w:proofErr w:type="spellEnd"/>
            <w:r>
              <w:rPr>
                <w:sz w:val="20"/>
              </w:rPr>
              <w:t xml:space="preserve"> </w:t>
            </w:r>
            <w:proofErr w:type="spellStart"/>
            <w:r>
              <w:rPr>
                <w:sz w:val="20"/>
              </w:rPr>
              <w:t>за</w:t>
            </w:r>
            <w:proofErr w:type="spellEnd"/>
            <w:r>
              <w:rPr>
                <w:sz w:val="20"/>
              </w:rPr>
              <w:t xml:space="preserve"> </w:t>
            </w:r>
            <w:proofErr w:type="spellStart"/>
            <w:r>
              <w:rPr>
                <w:sz w:val="20"/>
              </w:rPr>
              <w:t>непостојећи</w:t>
            </w:r>
            <w:proofErr w:type="spellEnd"/>
            <w:r>
              <w:rPr>
                <w:sz w:val="20"/>
              </w:rPr>
              <w:t xml:space="preserve"> </w:t>
            </w:r>
            <w:proofErr w:type="spellStart"/>
            <w:r>
              <w:rPr>
                <w:sz w:val="20"/>
              </w:rPr>
              <w:t>или</w:t>
            </w:r>
            <w:proofErr w:type="spellEnd"/>
            <w:r>
              <w:rPr>
                <w:sz w:val="20"/>
              </w:rPr>
              <w:t xml:space="preserve"> </w:t>
            </w:r>
            <w:proofErr w:type="spellStart"/>
            <w:r>
              <w:rPr>
                <w:sz w:val="20"/>
              </w:rPr>
              <w:t>неактиван</w:t>
            </w:r>
            <w:proofErr w:type="spellEnd"/>
            <w:r>
              <w:rPr>
                <w:sz w:val="20"/>
              </w:rPr>
              <w:t xml:space="preserve"> </w:t>
            </w:r>
            <w:proofErr w:type="spellStart"/>
            <w:r>
              <w:rPr>
                <w:sz w:val="20"/>
              </w:rPr>
              <w:t>чланак</w:t>
            </w:r>
            <w:proofErr w:type="spellEnd"/>
          </w:p>
        </w:tc>
        <w:tc>
          <w:tcPr>
            <w:tcW w:w="3402" w:type="dxa"/>
            <w:tcMar>
              <w:top w:w="80" w:type="dxa"/>
              <w:left w:w="100" w:type="dxa"/>
              <w:bottom w:w="80" w:type="dxa"/>
              <w:right w:w="100" w:type="dxa"/>
            </w:tcMar>
            <w:vAlign w:val="center"/>
          </w:tcPr>
          <w:p w14:paraId="66E953BE" w14:textId="77777777" w:rsidR="002B5BB4" w:rsidRDefault="00B47641">
            <w:r>
              <w:rPr>
                <w:sz w:val="20"/>
              </w:rPr>
              <w:t>HTTP 404</w:t>
            </w:r>
          </w:p>
        </w:tc>
      </w:tr>
      <w:tr w:rsidR="002B5BB4" w14:paraId="48789AF4" w14:textId="77777777">
        <w:trPr>
          <w:jc w:val="center"/>
        </w:trPr>
        <w:tc>
          <w:tcPr>
            <w:tcW w:w="1928" w:type="dxa"/>
            <w:tcMar>
              <w:top w:w="80" w:type="dxa"/>
              <w:left w:w="100" w:type="dxa"/>
              <w:bottom w:w="80" w:type="dxa"/>
              <w:right w:w="100" w:type="dxa"/>
            </w:tcMar>
            <w:vAlign w:val="center"/>
          </w:tcPr>
          <w:p w14:paraId="189F1BE8"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AFE58BE" w14:textId="77777777" w:rsidR="002B5BB4" w:rsidRDefault="00B47641">
            <w:r>
              <w:rPr>
                <w:sz w:val="20"/>
              </w:rPr>
              <w:t xml:space="preserve">LLM </w:t>
            </w:r>
            <w:proofErr w:type="spellStart"/>
            <w:r>
              <w:rPr>
                <w:sz w:val="20"/>
              </w:rPr>
              <w:t>вредности</w:t>
            </w:r>
            <w:proofErr w:type="spellEnd"/>
            <w:r>
              <w:rPr>
                <w:sz w:val="20"/>
              </w:rPr>
              <w:t xml:space="preserve"> </w:t>
            </w:r>
            <w:proofErr w:type="spellStart"/>
            <w:r>
              <w:rPr>
                <w:sz w:val="20"/>
              </w:rPr>
              <w:t>са</w:t>
            </w:r>
            <w:proofErr w:type="spellEnd"/>
            <w:r>
              <w:rPr>
                <w:sz w:val="20"/>
              </w:rPr>
              <w:t xml:space="preserve"> </w:t>
            </w:r>
            <w:proofErr w:type="spellStart"/>
            <w:r>
              <w:rPr>
                <w:sz w:val="20"/>
              </w:rPr>
              <w:t>ненултим</w:t>
            </w:r>
            <w:proofErr w:type="spellEnd"/>
            <w:r>
              <w:rPr>
                <w:sz w:val="20"/>
              </w:rPr>
              <w:t xml:space="preserve"> </w:t>
            </w:r>
            <w:proofErr w:type="spellStart"/>
            <w:r>
              <w:rPr>
                <w:sz w:val="20"/>
              </w:rPr>
              <w:t>збиром</w:t>
            </w:r>
            <w:proofErr w:type="spellEnd"/>
          </w:p>
        </w:tc>
        <w:tc>
          <w:tcPr>
            <w:tcW w:w="3402" w:type="dxa"/>
            <w:tcMar>
              <w:top w:w="80" w:type="dxa"/>
              <w:left w:w="100" w:type="dxa"/>
              <w:bottom w:w="80" w:type="dxa"/>
              <w:right w:w="100" w:type="dxa"/>
            </w:tcMar>
            <w:vAlign w:val="center"/>
          </w:tcPr>
          <w:p w14:paraId="7A9F331B" w14:textId="77777777" w:rsidR="002B5BB4" w:rsidRDefault="00B47641">
            <w:proofErr w:type="spellStart"/>
            <w:r>
              <w:rPr>
                <w:sz w:val="20"/>
              </w:rPr>
              <w:t>Проценти</w:t>
            </w:r>
            <w:proofErr w:type="spellEnd"/>
            <w:r>
              <w:rPr>
                <w:sz w:val="20"/>
              </w:rPr>
              <w:t xml:space="preserve"> </w:t>
            </w:r>
            <w:proofErr w:type="spellStart"/>
            <w:r>
              <w:rPr>
                <w:sz w:val="20"/>
              </w:rPr>
              <w:t>сабрани</w:t>
            </w:r>
            <w:proofErr w:type="spellEnd"/>
            <w:r>
              <w:rPr>
                <w:sz w:val="20"/>
              </w:rPr>
              <w:t xml:space="preserve"> </w:t>
            </w:r>
            <w:proofErr w:type="spellStart"/>
            <w:r>
              <w:rPr>
                <w:sz w:val="20"/>
              </w:rPr>
              <w:t>на</w:t>
            </w:r>
            <w:proofErr w:type="spellEnd"/>
            <w:r>
              <w:rPr>
                <w:sz w:val="20"/>
              </w:rPr>
              <w:t xml:space="preserve"> 100</w:t>
            </w:r>
          </w:p>
        </w:tc>
      </w:tr>
      <w:tr w:rsidR="002B5BB4" w14:paraId="39B00677" w14:textId="77777777">
        <w:trPr>
          <w:jc w:val="center"/>
        </w:trPr>
        <w:tc>
          <w:tcPr>
            <w:tcW w:w="1928" w:type="dxa"/>
            <w:tcMar>
              <w:top w:w="80" w:type="dxa"/>
              <w:left w:w="100" w:type="dxa"/>
              <w:bottom w:w="80" w:type="dxa"/>
              <w:right w:w="100" w:type="dxa"/>
            </w:tcMar>
            <w:vAlign w:val="center"/>
          </w:tcPr>
          <w:p w14:paraId="55DD5E21"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870E983" w14:textId="77777777" w:rsidR="002B5BB4" w:rsidRDefault="00B47641">
            <w:proofErr w:type="spellStart"/>
            <w:r>
              <w:rPr>
                <w:sz w:val="20"/>
              </w:rPr>
              <w:t>Све</w:t>
            </w:r>
            <w:proofErr w:type="spellEnd"/>
            <w:r>
              <w:rPr>
                <w:sz w:val="20"/>
              </w:rPr>
              <w:t xml:space="preserve"> </w:t>
            </w:r>
            <w:proofErr w:type="spellStart"/>
            <w:r>
              <w:rPr>
                <w:sz w:val="20"/>
              </w:rPr>
              <w:t>три</w:t>
            </w:r>
            <w:proofErr w:type="spellEnd"/>
            <w:r>
              <w:rPr>
                <w:sz w:val="20"/>
              </w:rPr>
              <w:t xml:space="preserve"> </w:t>
            </w:r>
            <w:proofErr w:type="spellStart"/>
            <w:r>
              <w:rPr>
                <w:sz w:val="20"/>
              </w:rPr>
              <w:t>вредности</w:t>
            </w:r>
            <w:proofErr w:type="spellEnd"/>
            <w:r>
              <w:rPr>
                <w:sz w:val="20"/>
              </w:rPr>
              <w:t xml:space="preserve"> </w:t>
            </w:r>
            <w:proofErr w:type="spellStart"/>
            <w:r>
              <w:rPr>
                <w:sz w:val="20"/>
              </w:rPr>
              <w:t>су</w:t>
            </w:r>
            <w:proofErr w:type="spellEnd"/>
            <w:r>
              <w:rPr>
                <w:sz w:val="20"/>
              </w:rPr>
              <w:t xml:space="preserve"> </w:t>
            </w:r>
            <w:proofErr w:type="spellStart"/>
            <w:r>
              <w:rPr>
                <w:sz w:val="20"/>
              </w:rPr>
              <w:t>нула</w:t>
            </w:r>
            <w:proofErr w:type="spellEnd"/>
          </w:p>
        </w:tc>
        <w:tc>
          <w:tcPr>
            <w:tcW w:w="3402" w:type="dxa"/>
            <w:tcMar>
              <w:top w:w="80" w:type="dxa"/>
              <w:left w:w="100" w:type="dxa"/>
              <w:bottom w:w="80" w:type="dxa"/>
              <w:right w:w="100" w:type="dxa"/>
            </w:tcMar>
            <w:vAlign w:val="center"/>
          </w:tcPr>
          <w:p w14:paraId="0EBB120C" w14:textId="77777777" w:rsidR="002B5BB4" w:rsidRDefault="00B47641">
            <w:proofErr w:type="spellStart"/>
            <w:r>
              <w:rPr>
                <w:sz w:val="20"/>
              </w:rPr>
              <w:t>Експлицитна</w:t>
            </w:r>
            <w:proofErr w:type="spellEnd"/>
            <w:r>
              <w:rPr>
                <w:sz w:val="20"/>
              </w:rPr>
              <w:t xml:space="preserve"> </w:t>
            </w:r>
            <w:proofErr w:type="spellStart"/>
            <w:r>
              <w:rPr>
                <w:sz w:val="20"/>
              </w:rPr>
              <w:t>грешка</w:t>
            </w:r>
            <w:proofErr w:type="spellEnd"/>
          </w:p>
        </w:tc>
      </w:tr>
      <w:tr w:rsidR="002B5BB4" w14:paraId="187B94CF" w14:textId="77777777">
        <w:trPr>
          <w:jc w:val="center"/>
        </w:trPr>
        <w:tc>
          <w:tcPr>
            <w:tcW w:w="1928" w:type="dxa"/>
            <w:tcMar>
              <w:top w:w="80" w:type="dxa"/>
              <w:left w:w="100" w:type="dxa"/>
              <w:bottom w:w="80" w:type="dxa"/>
              <w:right w:w="100" w:type="dxa"/>
            </w:tcMar>
            <w:vAlign w:val="center"/>
          </w:tcPr>
          <w:p w14:paraId="30F4CE3C" w14:textId="77777777" w:rsidR="002B5BB4" w:rsidRDefault="00B47641">
            <w:r>
              <w:rPr>
                <w:sz w:val="20"/>
              </w:rPr>
              <w:t>RSS</w:t>
            </w:r>
          </w:p>
        </w:tc>
        <w:tc>
          <w:tcPr>
            <w:tcW w:w="3969" w:type="dxa"/>
            <w:tcMar>
              <w:top w:w="80" w:type="dxa"/>
              <w:left w:w="100" w:type="dxa"/>
              <w:bottom w:w="80" w:type="dxa"/>
              <w:right w:w="100" w:type="dxa"/>
            </w:tcMar>
            <w:vAlign w:val="center"/>
          </w:tcPr>
          <w:p w14:paraId="3A98A6D1" w14:textId="77777777" w:rsidR="002B5BB4" w:rsidRDefault="00B47641">
            <w:proofErr w:type="spellStart"/>
            <w:r>
              <w:rPr>
                <w:sz w:val="20"/>
              </w:rPr>
              <w:t>Више</w:t>
            </w:r>
            <w:proofErr w:type="spellEnd"/>
            <w:r>
              <w:rPr>
                <w:sz w:val="20"/>
              </w:rPr>
              <w:t xml:space="preserve"> </w:t>
            </w:r>
            <w:proofErr w:type="spellStart"/>
            <w:r>
              <w:rPr>
                <w:sz w:val="20"/>
              </w:rPr>
              <w:t>извора</w:t>
            </w:r>
            <w:proofErr w:type="spellEnd"/>
          </w:p>
        </w:tc>
        <w:tc>
          <w:tcPr>
            <w:tcW w:w="3402" w:type="dxa"/>
            <w:tcMar>
              <w:top w:w="80" w:type="dxa"/>
              <w:left w:w="100" w:type="dxa"/>
              <w:bottom w:w="80" w:type="dxa"/>
              <w:right w:w="100" w:type="dxa"/>
            </w:tcMar>
            <w:vAlign w:val="center"/>
          </w:tcPr>
          <w:p w14:paraId="0D4483A9" w14:textId="77777777" w:rsidR="002B5BB4" w:rsidRDefault="00B47641">
            <w:proofErr w:type="spellStart"/>
            <w:r>
              <w:rPr>
                <w:sz w:val="20"/>
              </w:rPr>
              <w:t>Јединствени</w:t>
            </w:r>
            <w:proofErr w:type="spellEnd"/>
            <w:r>
              <w:rPr>
                <w:sz w:val="20"/>
              </w:rPr>
              <w:t xml:space="preserve"> ID и </w:t>
            </w:r>
            <w:proofErr w:type="spellStart"/>
            <w:r>
              <w:rPr>
                <w:sz w:val="20"/>
              </w:rPr>
              <w:t>назив</w:t>
            </w:r>
            <w:proofErr w:type="spellEnd"/>
          </w:p>
        </w:tc>
      </w:tr>
      <w:tr w:rsidR="002B5BB4" w14:paraId="4B1F1F1C" w14:textId="77777777">
        <w:trPr>
          <w:jc w:val="center"/>
        </w:trPr>
        <w:tc>
          <w:tcPr>
            <w:tcW w:w="1928" w:type="dxa"/>
            <w:tcMar>
              <w:top w:w="80" w:type="dxa"/>
              <w:left w:w="100" w:type="dxa"/>
              <w:bottom w:w="80" w:type="dxa"/>
              <w:right w:w="100" w:type="dxa"/>
            </w:tcMar>
            <w:vAlign w:val="center"/>
          </w:tcPr>
          <w:p w14:paraId="58087555" w14:textId="77777777" w:rsidR="002B5BB4" w:rsidRDefault="00B47641">
            <w:proofErr w:type="spellStart"/>
            <w:r>
              <w:rPr>
                <w:sz w:val="20"/>
              </w:rPr>
              <w:t>Груписање</w:t>
            </w:r>
            <w:proofErr w:type="spellEnd"/>
          </w:p>
        </w:tc>
        <w:tc>
          <w:tcPr>
            <w:tcW w:w="3969" w:type="dxa"/>
            <w:tcMar>
              <w:top w:w="80" w:type="dxa"/>
              <w:left w:w="100" w:type="dxa"/>
              <w:bottom w:w="80" w:type="dxa"/>
              <w:right w:w="100" w:type="dxa"/>
            </w:tcMar>
            <w:vAlign w:val="center"/>
          </w:tcPr>
          <w:p w14:paraId="578A1731" w14:textId="77777777" w:rsidR="002B5BB4" w:rsidRDefault="00B47641">
            <w:proofErr w:type="spellStart"/>
            <w:r>
              <w:rPr>
                <w:sz w:val="20"/>
              </w:rPr>
              <w:t>Парови</w:t>
            </w:r>
            <w:proofErr w:type="spellEnd"/>
            <w:r>
              <w:rPr>
                <w:sz w:val="20"/>
              </w:rPr>
              <w:t xml:space="preserve"> </w:t>
            </w:r>
            <w:proofErr w:type="spellStart"/>
            <w:r>
              <w:rPr>
                <w:sz w:val="20"/>
              </w:rPr>
              <w:t>различитих</w:t>
            </w:r>
            <w:proofErr w:type="spellEnd"/>
            <w:r>
              <w:rPr>
                <w:sz w:val="20"/>
              </w:rPr>
              <w:t xml:space="preserve"> </w:t>
            </w:r>
            <w:proofErr w:type="spellStart"/>
            <w:r>
              <w:rPr>
                <w:sz w:val="20"/>
              </w:rPr>
              <w:t>извора</w:t>
            </w:r>
            <w:proofErr w:type="spellEnd"/>
            <w:r>
              <w:rPr>
                <w:sz w:val="20"/>
              </w:rPr>
              <w:t xml:space="preserve"> у 72 h</w:t>
            </w:r>
          </w:p>
        </w:tc>
        <w:tc>
          <w:tcPr>
            <w:tcW w:w="3402" w:type="dxa"/>
            <w:tcMar>
              <w:top w:w="80" w:type="dxa"/>
              <w:left w:w="100" w:type="dxa"/>
              <w:bottom w:w="80" w:type="dxa"/>
              <w:right w:w="100" w:type="dxa"/>
            </w:tcMar>
            <w:vAlign w:val="center"/>
          </w:tcPr>
          <w:p w14:paraId="67A8A06B" w14:textId="77777777" w:rsidR="002B5BB4" w:rsidRDefault="00B47641">
            <w:r>
              <w:rPr>
                <w:sz w:val="20"/>
              </w:rPr>
              <w:t xml:space="preserve">Сличност и </w:t>
            </w:r>
            <w:proofErr w:type="spellStart"/>
            <w:r>
              <w:rPr>
                <w:sz w:val="20"/>
              </w:rPr>
              <w:t>одлука</w:t>
            </w:r>
            <w:proofErr w:type="spellEnd"/>
          </w:p>
        </w:tc>
      </w:tr>
      <w:tr w:rsidR="002B5BB4" w14:paraId="009B9823" w14:textId="77777777">
        <w:trPr>
          <w:jc w:val="center"/>
        </w:trPr>
        <w:tc>
          <w:tcPr>
            <w:tcW w:w="1928" w:type="dxa"/>
            <w:tcMar>
              <w:top w:w="80" w:type="dxa"/>
              <w:left w:w="100" w:type="dxa"/>
              <w:bottom w:w="80" w:type="dxa"/>
              <w:right w:w="100" w:type="dxa"/>
            </w:tcMar>
            <w:vAlign w:val="center"/>
          </w:tcPr>
          <w:p w14:paraId="03F940C7" w14:textId="77777777" w:rsidR="002B5BB4" w:rsidRDefault="00B47641">
            <w:r>
              <w:rPr>
                <w:sz w:val="20"/>
              </w:rPr>
              <w:t xml:space="preserve">Android </w:t>
            </w:r>
            <w:proofErr w:type="spellStart"/>
            <w:r>
              <w:rPr>
                <w:sz w:val="20"/>
              </w:rPr>
              <w:t>кеш</w:t>
            </w:r>
            <w:proofErr w:type="spellEnd"/>
          </w:p>
        </w:tc>
        <w:tc>
          <w:tcPr>
            <w:tcW w:w="3969" w:type="dxa"/>
            <w:tcMar>
              <w:top w:w="80" w:type="dxa"/>
              <w:left w:w="100" w:type="dxa"/>
              <w:bottom w:w="80" w:type="dxa"/>
              <w:right w:w="100" w:type="dxa"/>
            </w:tcMar>
            <w:vAlign w:val="center"/>
          </w:tcPr>
          <w:p w14:paraId="0C36D056" w14:textId="77777777" w:rsidR="002B5BB4" w:rsidRDefault="00B47641">
            <w:proofErr w:type="spellStart"/>
            <w:r>
              <w:rPr>
                <w:sz w:val="20"/>
              </w:rPr>
              <w:t>Мрежни</w:t>
            </w:r>
            <w:proofErr w:type="spellEnd"/>
            <w:r>
              <w:rPr>
                <w:sz w:val="20"/>
              </w:rPr>
              <w:t xml:space="preserve"> </w:t>
            </w:r>
            <w:proofErr w:type="spellStart"/>
            <w:r>
              <w:rPr>
                <w:sz w:val="20"/>
              </w:rPr>
              <w:t>одговор</w:t>
            </w:r>
            <w:proofErr w:type="spellEnd"/>
          </w:p>
        </w:tc>
        <w:tc>
          <w:tcPr>
            <w:tcW w:w="3402" w:type="dxa"/>
            <w:tcMar>
              <w:top w:w="80" w:type="dxa"/>
              <w:left w:w="100" w:type="dxa"/>
              <w:bottom w:w="80" w:type="dxa"/>
              <w:right w:w="100" w:type="dxa"/>
            </w:tcMar>
            <w:vAlign w:val="center"/>
          </w:tcPr>
          <w:p w14:paraId="2DE33601" w14:textId="77777777" w:rsidR="002B5BB4" w:rsidRDefault="00B47641">
            <w:proofErr w:type="spellStart"/>
            <w:r>
              <w:rPr>
                <w:sz w:val="20"/>
              </w:rPr>
              <w:t>Атомска</w:t>
            </w:r>
            <w:proofErr w:type="spellEnd"/>
            <w:r>
              <w:rPr>
                <w:sz w:val="20"/>
              </w:rPr>
              <w:t xml:space="preserve"> </w:t>
            </w:r>
            <w:proofErr w:type="spellStart"/>
            <w:r>
              <w:rPr>
                <w:sz w:val="20"/>
              </w:rPr>
              <w:t>замена</w:t>
            </w:r>
            <w:proofErr w:type="spellEnd"/>
            <w:r>
              <w:rPr>
                <w:sz w:val="20"/>
              </w:rPr>
              <w:t xml:space="preserve"> </w:t>
            </w:r>
            <w:proofErr w:type="spellStart"/>
            <w:r>
              <w:rPr>
                <w:sz w:val="20"/>
              </w:rPr>
              <w:t>чланака</w:t>
            </w:r>
            <w:proofErr w:type="spellEnd"/>
            <w:r>
              <w:rPr>
                <w:sz w:val="20"/>
              </w:rPr>
              <w:t xml:space="preserve"> и </w:t>
            </w:r>
            <w:proofErr w:type="spellStart"/>
            <w:r>
              <w:rPr>
                <w:sz w:val="20"/>
              </w:rPr>
              <w:t>анализа</w:t>
            </w:r>
            <w:proofErr w:type="spellEnd"/>
          </w:p>
        </w:tc>
      </w:tr>
      <w:tr w:rsidR="002B5BB4" w14:paraId="655DEA58" w14:textId="77777777">
        <w:trPr>
          <w:jc w:val="center"/>
        </w:trPr>
        <w:tc>
          <w:tcPr>
            <w:tcW w:w="1928" w:type="dxa"/>
            <w:tcMar>
              <w:top w:w="80" w:type="dxa"/>
              <w:left w:w="100" w:type="dxa"/>
              <w:bottom w:w="80" w:type="dxa"/>
              <w:right w:w="100" w:type="dxa"/>
            </w:tcMar>
            <w:vAlign w:val="center"/>
          </w:tcPr>
          <w:p w14:paraId="6C282D09" w14:textId="77777777" w:rsidR="002B5BB4" w:rsidRDefault="00B47641">
            <w:proofErr w:type="spellStart"/>
            <w:r>
              <w:rPr>
                <w:sz w:val="20"/>
              </w:rPr>
              <w:t>Локација</w:t>
            </w:r>
            <w:proofErr w:type="spellEnd"/>
          </w:p>
        </w:tc>
        <w:tc>
          <w:tcPr>
            <w:tcW w:w="3969" w:type="dxa"/>
            <w:tcMar>
              <w:top w:w="80" w:type="dxa"/>
              <w:left w:w="100" w:type="dxa"/>
              <w:bottom w:w="80" w:type="dxa"/>
              <w:right w:w="100" w:type="dxa"/>
            </w:tcMar>
            <w:vAlign w:val="center"/>
          </w:tcPr>
          <w:p w14:paraId="5C54A68F" w14:textId="77777777" w:rsidR="002B5BB4" w:rsidRDefault="00B47641">
            <w:proofErr w:type="spellStart"/>
            <w:r>
              <w:rPr>
                <w:sz w:val="20"/>
              </w:rPr>
              <w:t>Назив</w:t>
            </w:r>
            <w:proofErr w:type="spellEnd"/>
            <w:r>
              <w:rPr>
                <w:sz w:val="20"/>
              </w:rPr>
              <w:t xml:space="preserve"> </w:t>
            </w:r>
            <w:proofErr w:type="spellStart"/>
            <w:r>
              <w:rPr>
                <w:sz w:val="20"/>
              </w:rPr>
              <w:t>града</w:t>
            </w:r>
            <w:proofErr w:type="spellEnd"/>
            <w:r>
              <w:rPr>
                <w:sz w:val="20"/>
              </w:rPr>
              <w:t xml:space="preserve"> </w:t>
            </w:r>
            <w:proofErr w:type="spellStart"/>
            <w:r>
              <w:rPr>
                <w:sz w:val="20"/>
              </w:rPr>
              <w:t>као</w:t>
            </w:r>
            <w:proofErr w:type="spellEnd"/>
            <w:r>
              <w:rPr>
                <w:sz w:val="20"/>
              </w:rPr>
              <w:t xml:space="preserve"> </w:t>
            </w:r>
            <w:proofErr w:type="spellStart"/>
            <w:r>
              <w:rPr>
                <w:sz w:val="20"/>
              </w:rPr>
              <w:t>цела</w:t>
            </w:r>
            <w:proofErr w:type="spellEnd"/>
            <w:r>
              <w:rPr>
                <w:sz w:val="20"/>
              </w:rPr>
              <w:t xml:space="preserve"> </w:t>
            </w:r>
            <w:proofErr w:type="spellStart"/>
            <w:r>
              <w:rPr>
                <w:sz w:val="20"/>
              </w:rPr>
              <w:t>фраза</w:t>
            </w:r>
            <w:proofErr w:type="spellEnd"/>
          </w:p>
        </w:tc>
        <w:tc>
          <w:tcPr>
            <w:tcW w:w="3402" w:type="dxa"/>
            <w:tcMar>
              <w:top w:w="80" w:type="dxa"/>
              <w:left w:w="100" w:type="dxa"/>
              <w:bottom w:w="80" w:type="dxa"/>
              <w:right w:w="100" w:type="dxa"/>
            </w:tcMar>
            <w:vAlign w:val="center"/>
          </w:tcPr>
          <w:p w14:paraId="36869DBB" w14:textId="77777777" w:rsidR="002B5BB4" w:rsidRDefault="00B47641">
            <w:proofErr w:type="spellStart"/>
            <w:r>
              <w:rPr>
                <w:sz w:val="20"/>
              </w:rPr>
              <w:t>Одговарајући</w:t>
            </w:r>
            <w:proofErr w:type="spellEnd"/>
            <w:r>
              <w:rPr>
                <w:sz w:val="20"/>
              </w:rPr>
              <w:t xml:space="preserve"> </w:t>
            </w:r>
            <w:proofErr w:type="spellStart"/>
            <w:r>
              <w:rPr>
                <w:sz w:val="20"/>
              </w:rPr>
              <w:t>cityId</w:t>
            </w:r>
            <w:proofErr w:type="spellEnd"/>
          </w:p>
        </w:tc>
      </w:tr>
      <w:tr w:rsidR="002B5BB4" w14:paraId="4198AD18" w14:textId="77777777">
        <w:trPr>
          <w:jc w:val="center"/>
        </w:trPr>
        <w:tc>
          <w:tcPr>
            <w:tcW w:w="1928" w:type="dxa"/>
            <w:tcMar>
              <w:top w:w="80" w:type="dxa"/>
              <w:left w:w="100" w:type="dxa"/>
              <w:bottom w:w="80" w:type="dxa"/>
              <w:right w:w="100" w:type="dxa"/>
            </w:tcMar>
            <w:vAlign w:val="center"/>
          </w:tcPr>
          <w:p w14:paraId="5EF422E2" w14:textId="77777777" w:rsidR="002B5BB4" w:rsidRDefault="00B47641">
            <w:proofErr w:type="spellStart"/>
            <w:r>
              <w:rPr>
                <w:sz w:val="20"/>
              </w:rPr>
              <w:lastRenderedPageBreak/>
              <w:t>Обавештења</w:t>
            </w:r>
            <w:proofErr w:type="spellEnd"/>
          </w:p>
        </w:tc>
        <w:tc>
          <w:tcPr>
            <w:tcW w:w="3969" w:type="dxa"/>
            <w:tcMar>
              <w:top w:w="80" w:type="dxa"/>
              <w:left w:w="100" w:type="dxa"/>
              <w:bottom w:w="80" w:type="dxa"/>
              <w:right w:w="100" w:type="dxa"/>
            </w:tcMar>
            <w:vAlign w:val="center"/>
          </w:tcPr>
          <w:p w14:paraId="56EB2E0A" w14:textId="77777777" w:rsidR="002B5BB4" w:rsidRDefault="00B47641">
            <w:proofErr w:type="spellStart"/>
            <w:r>
              <w:rPr>
                <w:sz w:val="20"/>
              </w:rPr>
              <w:t>Нова</w:t>
            </w:r>
            <w:proofErr w:type="spellEnd"/>
            <w:r>
              <w:rPr>
                <w:sz w:val="20"/>
              </w:rPr>
              <w:t xml:space="preserve"> </w:t>
            </w:r>
            <w:proofErr w:type="spellStart"/>
            <w:r>
              <w:rPr>
                <w:sz w:val="20"/>
              </w:rPr>
              <w:t>свежа</w:t>
            </w:r>
            <w:proofErr w:type="spellEnd"/>
            <w:r>
              <w:rPr>
                <w:sz w:val="20"/>
              </w:rPr>
              <w:t xml:space="preserve"> </w:t>
            </w:r>
            <w:proofErr w:type="spellStart"/>
            <w:r>
              <w:rPr>
                <w:sz w:val="20"/>
              </w:rPr>
              <w:t>ударна</w:t>
            </w:r>
            <w:proofErr w:type="spellEnd"/>
            <w:r>
              <w:rPr>
                <w:sz w:val="20"/>
              </w:rPr>
              <w:t xml:space="preserve"> </w:t>
            </w:r>
            <w:proofErr w:type="spellStart"/>
            <w:r>
              <w:rPr>
                <w:sz w:val="20"/>
              </w:rPr>
              <w:t>вест</w:t>
            </w:r>
            <w:proofErr w:type="spellEnd"/>
          </w:p>
        </w:tc>
        <w:tc>
          <w:tcPr>
            <w:tcW w:w="3402" w:type="dxa"/>
            <w:tcMar>
              <w:top w:w="80" w:type="dxa"/>
              <w:left w:w="100" w:type="dxa"/>
              <w:bottom w:w="80" w:type="dxa"/>
              <w:right w:w="100" w:type="dxa"/>
            </w:tcMar>
            <w:vAlign w:val="center"/>
          </w:tcPr>
          <w:p w14:paraId="17520BBA" w14:textId="77777777" w:rsidR="002B5BB4" w:rsidRDefault="00B47641">
            <w:proofErr w:type="spellStart"/>
            <w:r>
              <w:rPr>
                <w:sz w:val="20"/>
              </w:rPr>
              <w:t>Једно</w:t>
            </w:r>
            <w:proofErr w:type="spellEnd"/>
            <w:r>
              <w:rPr>
                <w:sz w:val="20"/>
              </w:rPr>
              <w:t xml:space="preserve"> </w:t>
            </w:r>
            <w:proofErr w:type="spellStart"/>
            <w:r>
              <w:rPr>
                <w:sz w:val="20"/>
              </w:rPr>
              <w:t>обавештење</w:t>
            </w:r>
            <w:proofErr w:type="spellEnd"/>
          </w:p>
        </w:tc>
      </w:tr>
      <w:tr w:rsidR="002B5BB4" w14:paraId="50F612B4" w14:textId="77777777">
        <w:trPr>
          <w:jc w:val="center"/>
        </w:trPr>
        <w:tc>
          <w:tcPr>
            <w:tcW w:w="1928" w:type="dxa"/>
            <w:tcMar>
              <w:top w:w="80" w:type="dxa"/>
              <w:left w:w="100" w:type="dxa"/>
              <w:bottom w:w="80" w:type="dxa"/>
              <w:right w:w="100" w:type="dxa"/>
            </w:tcMar>
            <w:vAlign w:val="center"/>
          </w:tcPr>
          <w:p w14:paraId="19355959" w14:textId="77777777" w:rsidR="002B5BB4" w:rsidRDefault="00B47641">
            <w:r>
              <w:rPr>
                <w:sz w:val="20"/>
              </w:rPr>
              <w:t>PDF</w:t>
            </w:r>
          </w:p>
        </w:tc>
        <w:tc>
          <w:tcPr>
            <w:tcW w:w="3969" w:type="dxa"/>
            <w:tcMar>
              <w:top w:w="80" w:type="dxa"/>
              <w:left w:w="100" w:type="dxa"/>
              <w:bottom w:w="80" w:type="dxa"/>
              <w:right w:w="100" w:type="dxa"/>
            </w:tcMar>
            <w:vAlign w:val="center"/>
          </w:tcPr>
          <w:p w14:paraId="2EB166D4" w14:textId="77777777" w:rsidR="002B5BB4" w:rsidRDefault="00B47641">
            <w:proofErr w:type="spellStart"/>
            <w:r>
              <w:rPr>
                <w:sz w:val="20"/>
              </w:rPr>
              <w:t>Недозвољени</w:t>
            </w:r>
            <w:proofErr w:type="spellEnd"/>
            <w:r>
              <w:rPr>
                <w:sz w:val="20"/>
              </w:rPr>
              <w:t xml:space="preserve"> </w:t>
            </w:r>
            <w:proofErr w:type="spellStart"/>
            <w:r>
              <w:rPr>
                <w:sz w:val="20"/>
              </w:rPr>
              <w:t>знаци</w:t>
            </w:r>
            <w:proofErr w:type="spellEnd"/>
            <w:r>
              <w:rPr>
                <w:sz w:val="20"/>
              </w:rPr>
              <w:t xml:space="preserve"> у </w:t>
            </w:r>
            <w:proofErr w:type="spellStart"/>
            <w:r>
              <w:rPr>
                <w:sz w:val="20"/>
              </w:rPr>
              <w:t>наслову</w:t>
            </w:r>
            <w:proofErr w:type="spellEnd"/>
          </w:p>
        </w:tc>
        <w:tc>
          <w:tcPr>
            <w:tcW w:w="3402" w:type="dxa"/>
            <w:tcMar>
              <w:top w:w="80" w:type="dxa"/>
              <w:left w:w="100" w:type="dxa"/>
              <w:bottom w:w="80" w:type="dxa"/>
              <w:right w:w="100" w:type="dxa"/>
            </w:tcMar>
            <w:vAlign w:val="center"/>
          </w:tcPr>
          <w:p w14:paraId="66C28F08" w14:textId="77777777" w:rsidR="002B5BB4" w:rsidRDefault="00B47641">
            <w:proofErr w:type="spellStart"/>
            <w:r>
              <w:rPr>
                <w:sz w:val="20"/>
              </w:rPr>
              <w:t>Безбедан</w:t>
            </w:r>
            <w:proofErr w:type="spellEnd"/>
            <w:r>
              <w:rPr>
                <w:sz w:val="20"/>
              </w:rPr>
              <w:t xml:space="preserve"> </w:t>
            </w:r>
            <w:proofErr w:type="spellStart"/>
            <w:r>
              <w:rPr>
                <w:sz w:val="20"/>
              </w:rPr>
              <w:t>назив</w:t>
            </w:r>
            <w:proofErr w:type="spellEnd"/>
            <w:r>
              <w:rPr>
                <w:sz w:val="20"/>
              </w:rPr>
              <w:t xml:space="preserve"> </w:t>
            </w:r>
            <w:proofErr w:type="spellStart"/>
            <w:r>
              <w:rPr>
                <w:sz w:val="20"/>
              </w:rPr>
              <w:t>датотеке</w:t>
            </w:r>
            <w:proofErr w:type="spellEnd"/>
          </w:p>
        </w:tc>
      </w:tr>
    </w:tbl>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bookmarkStart w:id="81" w:name="_Toc241499925"/>
      <w:bookmarkEnd w:id="81"/>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lastRenderedPageBreak/>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2" w:name="_Toc241499965"/>
      <w:bookmarkEnd w:id="82"/>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xml:space="preserve">.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w:t>
      </w:r>
      <w:r>
        <w:lastRenderedPageBreak/>
        <w:t>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t xml:space="preserve">Серверски апликативни део садржи 146 </w:t>
      </w:r>
      <w:r>
        <w:rPr>
          <w:i/>
        </w:rPr>
        <w:t>Python</w:t>
      </w:r>
      <w:r>
        <w:t xml:space="preserve"> датотека [19] са 4.165 непразних линија (укупно 4.855), од чега су 43 празни </w:t>
      </w:r>
      <w:r>
        <w:rPr>
          <w:i/>
        </w:rPr>
        <w:t>__init__.py</w:t>
      </w:r>
      <w: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t xml:space="preserve"> датотека [20]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D0ADE7E" w14:textId="77777777" w:rsidR="002B5BB4" w:rsidRDefault="00B47641">
      <w:pPr>
        <w:pStyle w:val="Osnovnitekst"/>
      </w:pPr>
      <w: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w:t>
      </w:r>
      <w:r>
        <w:rPr>
          <w:i/>
        </w:rPr>
        <w:t>Android</w:t>
      </w:r>
      <w:r>
        <w:t xml:space="preserve">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 Реализовани прототип показује да се наведени скуп функција може остварити уз јасно раздвајање одговорности између сервера и мобилног клијента.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3593D027" w14:textId="77777777" w:rsidR="002B5BB4" w:rsidRDefault="00B47641">
      <w:pPr>
        <w:pStyle w:val="Osnovnitekst"/>
      </w:pPr>
      <w:r>
        <w:t>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потпуно забележену конфигурацију позива и кеширање засновано на метаподацима, док груписање ради као издвојен периодични сервис (</w:t>
      </w:r>
      <w:r>
        <w:rPr>
          <w:i/>
        </w:rPr>
        <w:t>ShadowSemanticGroupingService</w:t>
      </w:r>
      <w:r>
        <w:t>): одлуке по паровима се трајно чувају ради касније процене, а предложене групе се приказују на посебном екрану, одвојено од основног тока вести. Овакво постепено увођење је безбедније од непосредног излагања некалибрисаног модела кориснику.</w:t>
      </w:r>
    </w:p>
    <w:p w14:paraId="02A548FB" w14:textId="77777777" w:rsidR="002B5BB4" w:rsidRDefault="00B47641">
      <w:pPr>
        <w:pStyle w:val="Osnovnitekst"/>
      </w:pPr>
      <w:r>
        <w:t xml:space="preserve">Главна ограничења су одсуство корисничких налога, пагинације, продукционог рангирања и формалне евалуације тона на означеном корпусу српских вести. </w:t>
      </w:r>
      <w:r>
        <w:rPr>
          <w:i/>
        </w:rPr>
        <w:t>RSS</w:t>
      </w:r>
      <w:r>
        <w:t xml:space="preserve"> садржај зависи од политике извора. Семантичко груписање јесте оцењено на означеном скупу и показује високу прецизност уз низак одзив, али је тај скуп мали и означио га је само један оцењивач, па су добијене вредности прелиминарне и праг може да захтева прилагођавање различитим категоријама.</w:t>
      </w:r>
    </w:p>
    <w:p w14:paraId="19ED6C60" w14:textId="77777777" w:rsidR="002B5BB4" w:rsidRDefault="00B47641">
      <w:pPr>
        <w:pStyle w:val="Osnovnitekst"/>
      </w:pPr>
      <w:r>
        <w:t xml:space="preserve">Даљи развој треба усмерити ка серверској пагинацији и инкременталној синхронизацији, аутентификацији и синхронизацији корисничких избора, </w:t>
      </w:r>
      <w:r>
        <w:rPr>
          <w:i/>
        </w:rPr>
        <w:t>push</w:t>
      </w:r>
      <w:r>
        <w:t xml:space="preserve"> обавештењима, административном надзору извора и метрикама квалитета. За машинско учење потребно је проширити означени скуп на најмање педесет позитивних парова из више независних догађаја, укључити бар два независна оцењивача и измерити њихово међусобно слагање, поновити избор прага на тако проширеном скупу и спровести исти поступак за анализу тона, која још није формално оцењена. Могуће је додати и објашњење зашто су чланци груписани, као и поређење различитих извора унутар групе.</w:t>
      </w:r>
    </w:p>
    <w:p w14:paraId="44635247" w14:textId="77777777" w:rsidR="002B5BB4" w:rsidRDefault="00B47641">
      <w:pPr>
        <w:pStyle w:val="Osnovnitekst"/>
      </w:pPr>
      <w:r>
        <w:t>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 уговора, 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 Тиме је испуњен и шири циљ рада, јер је добијено решење које је истовремено употребљиво и погодно за даље испитивање.</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w:t>
      </w:r>
      <w:r>
        <w:rPr>
          <w:rFonts w:ascii="Consolas" w:eastAsia="Consolas" w:hAnsi="Consolas" w:cs="Consolas"/>
          <w:sz w:val="18"/>
        </w:rPr>
        <w:t>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w:t>
      </w:r>
      <w:r>
        <w:rPr>
          <w:rFonts w:ascii="Consolas" w:eastAsia="Consolas" w:hAnsi="Consolas" w:cs="Consolas"/>
          <w:sz w:val="18"/>
        </w:rPr>
        <w:t>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w:t>
      </w:r>
      <w:r>
        <w:rPr>
          <w:rFonts w:ascii="Consolas" w:eastAsia="Consolas" w:hAnsi="Consolas" w:cs="Consolas"/>
          <w:sz w:val="18"/>
        </w:rPr>
        <w:t>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20CF8" w14:textId="77777777" w:rsidR="00755B5C" w:rsidRDefault="00755B5C">
      <w:r>
        <w:separator/>
      </w:r>
    </w:p>
  </w:endnote>
  <w:endnote w:type="continuationSeparator" w:id="0">
    <w:p w14:paraId="2702627C" w14:textId="77777777" w:rsidR="00755B5C" w:rsidRDefault="00755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5CA87" w14:textId="77777777" w:rsidR="00755B5C" w:rsidRDefault="00755B5C">
      <w:r>
        <w:separator/>
      </w:r>
    </w:p>
  </w:footnote>
  <w:footnote w:type="continuationSeparator" w:id="0">
    <w:p w14:paraId="058402DB" w14:textId="77777777" w:rsidR="00755B5C" w:rsidRDefault="00755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C91"/>
    <w:rsid w:val="003A43B6"/>
    <w:rsid w:val="003B07A2"/>
    <w:rsid w:val="003C44B6"/>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11</TotalTime>
  <Pages>53</Pages>
  <Words>12070</Words>
  <Characters>68799</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80708</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16</cp:revision>
  <cp:lastPrinted>2010-03-22T09:00:00Z</cp:lastPrinted>
  <dcterms:created xsi:type="dcterms:W3CDTF">2026-09-28T12:58:00Z</dcterms:created>
  <dcterms:modified xsi:type="dcterms:W3CDTF">2026-09-29T13:21:00Z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