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w:t>
      </w:r>
      <w:r>
        <w:rPr>
          <w:i/>
        </w:rPr>
        <w:t>FastAPI</w:t>
      </w:r>
      <w:r>
        <w:t xml:space="preserve"> и </w:t>
      </w:r>
      <w:r>
        <w:rPr>
          <w:i/>
        </w:rPr>
        <w:t>Android</w:t>
      </w:r>
      <w:r>
        <w:t xml:space="preserve"> клијента реализованог у програмском језику </w:t>
      </w:r>
      <w:r>
        <w:rPr>
          <w:i/>
        </w:rPr>
        <w:t>Kotlin</w:t>
      </w:r>
      <w:r>
        <w:t xml:space="preserve"> применом алата </w:t>
      </w:r>
      <w:r>
        <w:rPr>
          <w:i/>
        </w:rPr>
        <w:t>Jetpack Compose</w:t>
      </w:r>
      <w:r>
        <w:t xml:space="preserve">. Сервер периодично преузима RSS канале девет извора, нормализује адресе, уклања дупликате, анализира тон текста и чува резултате у </w:t>
      </w:r>
      <w:r>
        <w:rPr>
          <w:i/>
        </w:rPr>
        <w:t>PostgreSQL</w:t>
      </w:r>
      <w: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t xml:space="preserve">, </w:t>
      </w:r>
      <w:r>
        <w:rPr>
          <w:i/>
        </w:rPr>
        <w:t>Room</w:t>
      </w:r>
      <w:r>
        <w:t xml:space="preserve">, </w:t>
      </w:r>
      <w:r>
        <w:rPr>
          <w:i/>
        </w:rPr>
        <w:t>DataStore</w:t>
      </w:r>
      <w:r>
        <w:t xml:space="preserve">, </w:t>
      </w:r>
      <w:r>
        <w:rPr>
          <w:i/>
        </w:rPr>
        <w:t>WorkManager</w:t>
      </w:r>
      <w:r>
        <w:t xml:space="preserve"> и </w:t>
      </w:r>
      <w:r>
        <w:rPr>
          <w:i/>
        </w:rPr>
        <w:t>Hilt</w:t>
      </w:r>
      <w: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података и доменских стратегија </w:t>
      </w:r>
      <w:r>
        <w:rPr>
          <w:i/>
        </w:rPr>
        <w:t>Android</w:t>
      </w:r>
      <w:r>
        <w:t xml:space="preserve">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Такав издвојен поступак омогућава калибрацију прага и анализу грешака на стварним подацима, без мењања главног приказа вести.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Због тога се у наставку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реакција.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w:t>
            </w:r>
            <w:proofErr w:type="gramStart"/>
            <w:r>
              <w:rPr>
                <w:sz w:val="20"/>
              </w:rPr>
              <w:t>30,&lt;</w:t>
            </w:r>
            <w:proofErr w:type="gramEnd"/>
            <w:r>
              <w:rPr>
                <w:sz w:val="20"/>
              </w:rPr>
              <w: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w:t>
            </w:r>
            <w:proofErr w:type="gramStart"/>
            <w:r>
              <w:rPr>
                <w:sz w:val="20"/>
              </w:rPr>
              <w:t>1,&lt;</w:t>
            </w:r>
            <w:proofErr w:type="gramEnd"/>
            <w:r>
              <w:rPr>
                <w:sz w:val="20"/>
              </w:rPr>
              <w: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t xml:space="preserve">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Захваљујући томе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Захваљујући томе, претрага парова заснована на проширењу </w:t>
      </w:r>
      <w:r>
        <w:rPr>
          <w:i/>
        </w:rPr>
        <w:t>pgvector</w:t>
      </w:r>
      <w:r>
        <w:t xml:space="preserve"> може бити замењена имплементацијом у програмском језику </w:t>
      </w:r>
      <w:r>
        <w:rPr>
          <w:i/>
        </w:rPr>
        <w:t>Python</w:t>
      </w:r>
      <w:r>
        <w:t xml:space="preserve">, а </w:t>
      </w:r>
      <w:r>
        <w:rPr>
          <w:i/>
        </w:rPr>
        <w:t>Groq</w:t>
      </w:r>
      <w:r>
        <w:t xml:space="preserve"> стратегија случајном, без промене рута и репозиторијума. Технолошке одлуке тако остају локалне, јер се промена једног слоја не преноси на остале делове система.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proofErr w:type="gramStart"/>
            <w:r>
              <w:t>self._</w:t>
            </w:r>
            <w:proofErr w:type="gramEnd"/>
            <w:r>
              <w:t>steps</w:t>
            </w:r>
            <w:proofErr w:type="spellEnd"/>
            <w:r>
              <w:t>:</w:t>
            </w:r>
            <w:r>
              <w:br/>
              <w:t xml:space="preserve">    contexts = await </w:t>
            </w:r>
            <w:proofErr w:type="spellStart"/>
            <w:proofErr w:type="gramStart"/>
            <w:r>
              <w:t>step.process</w:t>
            </w:r>
            <w:proofErr w:type="spellEnd"/>
            <w:proofErr w:type="gram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t xml:space="preserve">Однос корака цевовода и стратегија анализе приказан је на слици 4.1.5. </w:t>
      </w:r>
      <w:r>
        <w:rPr>
          <w:i/>
        </w:rPr>
        <w:t>ExistingToneAnalysisStep</w:t>
      </w:r>
      <w: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w:t>
      </w:r>
      <w:r>
        <w:lastRenderedPageBreak/>
        <w:t>поново користи и спољни позив се изоставља. Поновна употреба већ израчунате анализе смањује број спољних позива и чини понављање обраде јефтиним.</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w:t>
            </w:r>
            <w:proofErr w:type="gramStart"/>
            <w:r>
              <w:t>round(</w:t>
            </w:r>
            <w:proofErr w:type="gramEnd"/>
            <w:r>
              <w:t>value / total * 100, 2)</w:t>
            </w:r>
            <w:r>
              <w:br/>
              <w:t xml:space="preserve">    for value in values</w:t>
            </w:r>
            <w:r>
              <w:br/>
              <w:t>]</w:t>
            </w:r>
            <w:r>
              <w:br/>
              <w:t>percentages[</w:t>
            </w:r>
            <w:proofErr w:type="spellStart"/>
            <w:r>
              <w:t>adjustment_index</w:t>
            </w:r>
            <w:proofErr w:type="spellEnd"/>
            <w:r>
              <w:t xml:space="preserve">] = </w:t>
            </w:r>
            <w:proofErr w:type="gramStart"/>
            <w:r>
              <w:t>round(</w:t>
            </w:r>
            <w:proofErr w:type="gramEnd"/>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t xml:space="preserve">Вектори се чувају у табели </w:t>
      </w:r>
      <w:r>
        <w:rPr>
          <w:i/>
        </w:rPr>
        <w:t>article_embeddings</w:t>
      </w:r>
      <w:r>
        <w:t xml:space="preserve"> и поново користе док се текст чланка не промени, а тражење кандидата користи </w:t>
      </w:r>
      <w:r>
        <w:rPr>
          <w:i/>
        </w:rPr>
        <w:t>pgvector</w:t>
      </w:r>
      <w:r>
        <w:t xml:space="preserve"> упит над истом табелом, уз резервну имплементацију у програмском језику </w:t>
      </w:r>
      <w:r>
        <w:rPr>
          <w:i/>
        </w:rPr>
        <w:t>Python</w:t>
      </w:r>
      <w:r>
        <w:t>. Одлуке о паровима и предложене групе уписују се као засебно покретање, одвојено од самих чланака, па остаје сачувана историја груписања. Поновна употреба већ израчунатих вектора осетно скраћује трајање једног циклуса груписања.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bookmarkStart w:id="41" w:name="_Toc241499965"/>
      <w:r>
        <w:t>Табела 4.1.1. Основна поља Article API модела</w:t>
      </w:r>
      <w:bookmarkEnd w:id="41"/>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proofErr w:type="gramStart"/>
            <w:r>
              <w:rPr>
                <w:sz w:val="20"/>
              </w:rPr>
              <w:t>analysis.tone</w:t>
            </w:r>
            <w:proofErr w:type="spellEnd"/>
            <w:proofErr w:type="gram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2" w:name="_Toc241499906"/>
      <w:r>
        <w:t>Конфигурација и распоређивање</w:t>
      </w:r>
      <w:bookmarkEnd w:id="42"/>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3" w:name="_Toc241499944"/>
      <w:r>
        <w:t>Слика 4.1.9. Развојно распоређивање система</w:t>
      </w:r>
      <w:bookmarkEnd w:id="43"/>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proofErr w:type="gramStart"/>
            <w:r>
              <w:t>docker</w:t>
            </w:r>
            <w:proofErr w:type="gramEnd"/>
            <w:r>
              <w:t xml:space="preserve"> compose up -d database</w:t>
            </w:r>
            <w:r>
              <w:br/>
              <w:t>alembic upgrade head</w:t>
            </w:r>
            <w:r>
              <w:br/>
            </w:r>
            <w:proofErr w:type="spellStart"/>
            <w:r>
              <w:t>uvicorn</w:t>
            </w:r>
            <w:proofErr w:type="spellEnd"/>
            <w:r>
              <w:t xml:space="preserve"> </w:t>
            </w:r>
            <w:proofErr w:type="spellStart"/>
            <w:proofErr w:type="gramStart"/>
            <w:r>
              <w:t>app.main</w:t>
            </w:r>
            <w:proofErr w:type="gramEnd"/>
            <w:r>
              <w:t>:app</w:t>
            </w:r>
            <w:proofErr w:type="spellEnd"/>
            <w:r>
              <w:t xml:space="preserve"> --reload</w:t>
            </w:r>
          </w:p>
        </w:tc>
      </w:tr>
    </w:tbl>
    <w:p w14:paraId="33F7F62D" w14:textId="77777777" w:rsidR="002B5BB4" w:rsidRDefault="00B47641">
      <w:pPr>
        <w:pStyle w:val="Oznakakoda"/>
      </w:pPr>
      <w:bookmarkStart w:id="44" w:name="_Toc241499970"/>
      <w:r>
        <w:t>Листинг 4.1.3. Основне команде за локално покретање серверског дела</w:t>
      </w:r>
      <w:bookmarkEnd w:id="44"/>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5" w:name="_Toc241499907"/>
      <w:r>
        <w:t>Клијентски део система</w:t>
      </w:r>
      <w:bookmarkEnd w:id="45"/>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6" w:name="_Toc241499945"/>
      <w:r>
        <w:t xml:space="preserve">Слика 4.2.1. Слојевита архитектура </w:t>
      </w:r>
      <w:r>
        <w:rPr>
          <w:i/>
        </w:rPr>
        <w:t>Android</w:t>
      </w:r>
      <w:r>
        <w:t xml:space="preserve"> апликације</w:t>
      </w:r>
      <w:bookmarkEnd w:id="46"/>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7" w:name="_Toc241499946"/>
      <w:r>
        <w:t xml:space="preserve">Слика 4.2.2. Ток података у </w:t>
      </w:r>
      <w:r>
        <w:rPr>
          <w:i/>
        </w:rPr>
        <w:t>Android</w:t>
      </w:r>
      <w:r>
        <w:t xml:space="preserve"> апликацији</w:t>
      </w:r>
      <w:bookmarkEnd w:id="47"/>
    </w:p>
    <w:p w14:paraId="2AB147DD" w14:textId="77777777" w:rsidR="002B5BB4" w:rsidRDefault="00B47641">
      <w:pPr>
        <w:pStyle w:val="IIInivonaslova-Odeljak"/>
      </w:pPr>
      <w:bookmarkStart w:id="48" w:name="_Toc241499908"/>
      <w:r>
        <w:t>Мрежни и локални слој</w:t>
      </w:r>
      <w:bookmarkEnd w:id="48"/>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9" w:name="_Toc241499947"/>
      <w:r>
        <w:t>Слика 4.2.3. Освежавање вести уз задржавање кеша</w:t>
      </w:r>
      <w:bookmarkEnd w:id="49"/>
    </w:p>
    <w:p w14:paraId="6C5CDC2C" w14:textId="77777777" w:rsidR="002B5BB4" w:rsidRDefault="00B47641">
      <w:pPr>
        <w:pStyle w:val="Osnovnitekst"/>
      </w:pPr>
      <w: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Тиме је </w:t>
      </w:r>
      <w:r>
        <w:rPr>
          <w:i/>
        </w:rPr>
        <w:t>Room</w:t>
      </w:r>
      <w:r>
        <w:t xml:space="preserve">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чиме се избегавају осиротели редови.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50" w:name="_Toc241499948"/>
      <w:r>
        <w:t xml:space="preserve">Слика 4.2.4. Локална </w:t>
      </w:r>
      <w:r>
        <w:rPr>
          <w:i/>
        </w:rPr>
        <w:t>Room</w:t>
      </w:r>
      <w:r>
        <w:t xml:space="preserve"> шема и трајна подешавања</w:t>
      </w:r>
      <w:bookmarkEnd w:id="50"/>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1" w:name="_Toc241499909"/>
      <w:r>
        <w:t>Управљање стањем</w:t>
      </w:r>
      <w:bookmarkEnd w:id="51"/>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2" w:name="_Toc241499949"/>
      <w:r>
        <w:t>Слика 4.2.5. Састављање стања корисничког интерфејса</w:t>
      </w:r>
      <w:bookmarkEnd w:id="52"/>
    </w:p>
    <w:p w14:paraId="1DD8359B" w14:textId="77777777" w:rsidR="002B5BB4" w:rsidRDefault="00B47641">
      <w:pPr>
        <w:pStyle w:val="Osnovnitekst"/>
      </w:pPr>
      <w:r>
        <w:t xml:space="preserve">Резултат је једносмеран круг: стање се приказује, корисничка радња се преко </w:t>
      </w:r>
      <w:r>
        <w:rPr>
          <w:i/>
        </w:rPr>
        <w:t>callback</w:t>
      </w:r>
      <w:r>
        <w:t xml:space="preserve"> функције враћа држачу стања, он покреће методу или Command класу, а промена у репозиторијуму изазива нову емисију тока и нови приказ. Екрани при том не знају одакле је промена дошла, што их чини подједнако употребљивим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3" w:name="_Toc241499910"/>
      <w:r>
        <w:t>Кориснички интерфејс</w:t>
      </w:r>
      <w:bookmarkEnd w:id="53"/>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4" w:name="_Toc241499911"/>
      <w:r>
        <w:lastRenderedPageBreak/>
        <w:t>Позадински рад и отпорност на мрежу</w:t>
      </w:r>
      <w:bookmarkEnd w:id="54"/>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чиме се непотребна буђења избегавају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5" w:name="_Toc241499950"/>
      <w:r>
        <w:t>Слика 4.2.6. Позадинско освежавање и отпорност на мрежне грешке</w:t>
      </w:r>
      <w:bookmarkEnd w:id="55"/>
    </w:p>
    <w:p w14:paraId="057D6832" w14:textId="77777777" w:rsidR="002B5BB4" w:rsidRDefault="00B47641">
      <w:pPr>
        <w:pStyle w:val="Osnovnitekst"/>
      </w:pPr>
      <w:r>
        <w:t xml:space="preserve">Приказ се не празни током мрежне грешке. Постојећи </w:t>
      </w:r>
      <w:r>
        <w:rPr>
          <w:i/>
        </w:rPr>
        <w:t>Room</w:t>
      </w:r>
      <w:r>
        <w:t xml:space="preserve"> подаци остају видљиви, а UI добија заставицу </w:t>
      </w:r>
      <w:r>
        <w:rPr>
          <w:i/>
        </w:rPr>
        <w:t>articleRefreshFailed</w:t>
      </w:r>
      <w:r>
        <w:t xml:space="preserve"> како би кориснику приказао обавештење. Ова одлука даје предност доступности већ преузетог садржаја над строгом свежином.</w:t>
      </w:r>
    </w:p>
    <w:p w14:paraId="3712FEF6" w14:textId="77777777" w:rsidR="002B5BB4" w:rsidRDefault="00B47641">
      <w:pPr>
        <w:pStyle w:val="Inivonaslova-Poglavlje"/>
      </w:pPr>
      <w:bookmarkStart w:id="56" w:name="_Toc241499912"/>
      <w:r>
        <w:lastRenderedPageBreak/>
        <w:t>Функционалности</w:t>
      </w:r>
      <w:bookmarkEnd w:id="56"/>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7" w:name="_Toc241499913"/>
      <w:r>
        <w:t>Почетни ток, категорије и претрага</w:t>
      </w:r>
      <w:bookmarkEnd w:id="57"/>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8" w:name="_Toc241499951"/>
      <w:r>
        <w:lastRenderedPageBreak/>
        <w:t>Слика 5.1.1. Почетни екран апликације (лево) и претрага вести по унетом појму (десно)</w:t>
      </w:r>
      <w:bookmarkEnd w:id="58"/>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9" w:name="_Toc241499952"/>
      <w:r>
        <w:t>Слика 5.1.2. Приказ вести из категорије „Бизнис” (лево) и бочни навигациони мени са праћеним категоријама (десно)</w:t>
      </w:r>
      <w:bookmarkEnd w:id="59"/>
    </w:p>
    <w:p w14:paraId="7D63AF8B" w14:textId="77777777" w:rsidR="002B5BB4" w:rsidRDefault="00B47641">
      <w:pPr>
        <w:pStyle w:val="IInivonaslova-Potpoglavlje"/>
      </w:pPr>
      <w:bookmarkStart w:id="60" w:name="_Toc241499914"/>
      <w:r>
        <w:t>Чување и историја</w:t>
      </w:r>
      <w:bookmarkEnd w:id="60"/>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1" w:name="_Toc241499953"/>
      <w:r>
        <w:t>Слика 5.2.1. Потврда о чувању вести са опцијом поништавања (лево) и екран „Сачувано” са чланцима доступним ван мреже (десно)</w:t>
      </w:r>
      <w:bookmarkEnd w:id="61"/>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2" w:name="_Toc241499954"/>
      <w:r>
        <w:lastRenderedPageBreak/>
        <w:t>Слика 5.2.2. Историја читања пре отварања првог чланка (лево) и након што је чланак означен као прочитан (десно)</w:t>
      </w:r>
      <w:bookmarkEnd w:id="62"/>
    </w:p>
    <w:p w14:paraId="1FF2D446" w14:textId="77777777" w:rsidR="002B5BB4" w:rsidRDefault="00B47641">
      <w:pPr>
        <w:pStyle w:val="IInivonaslova-Potpoglavlje"/>
      </w:pPr>
      <w:bookmarkStart w:id="63" w:name="_Toc241499915"/>
      <w:r>
        <w:t>Дневни преглед</w:t>
      </w:r>
      <w:bookmarkEnd w:id="63"/>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4" w:name="_Toc241499955"/>
      <w:r>
        <w:t>Слика 5.3.1. Избор праћених категорија у бочном менију (лево) и екран дневног прегледа са процењеним временом читања (десно)</w:t>
      </w:r>
      <w:bookmarkEnd w:id="64"/>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5" w:name="_Toc241499956"/>
      <w:r>
        <w:t>Слика 5.3.2. Секција „За вас” са вестима из праћених категорија</w:t>
      </w:r>
      <w:bookmarkEnd w:id="65"/>
    </w:p>
    <w:p w14:paraId="37DD7548" w14:textId="77777777" w:rsidR="002B5BB4" w:rsidRDefault="00B47641">
      <w:pPr>
        <w:pStyle w:val="IInivonaslova-Potpoglavlje"/>
      </w:pPr>
      <w:bookmarkStart w:id="66" w:name="_Toc241499916"/>
      <w:r>
        <w:t>Анализа тона</w:t>
      </w:r>
      <w:bookmarkEnd w:id="66"/>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7" w:name="_Toc241499957"/>
      <w:r>
        <w:t>Слика 5.4.1. Картица вести са траком расподеле тона испод сажетка</w:t>
      </w:r>
      <w:bookmarkEnd w:id="67"/>
    </w:p>
    <w:p w14:paraId="6BD979AD" w14:textId="77777777" w:rsidR="002B5BB4" w:rsidRDefault="00B47641">
      <w:pPr>
        <w:pStyle w:val="IInivonaslova-Potpoglavlje"/>
      </w:pPr>
      <w:bookmarkStart w:id="68" w:name="_Toc241499917"/>
      <w:r>
        <w:t>Групе сродних вести</w:t>
      </w:r>
      <w:bookmarkEnd w:id="68"/>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9" w:name="_Toc241499958"/>
      <w:r>
        <w:t>Слика 5.5.1. Листа семантичких група (лево) и детаљан приказ групе о истом догађају (десно)</w:t>
      </w:r>
      <w:bookmarkEnd w:id="69"/>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70" w:name="_Toc241499959"/>
      <w:r>
        <w:t>Слика 5.5.2. Група вести која обједињује извештаје више извора о истом догађају</w:t>
      </w:r>
      <w:bookmarkEnd w:id="70"/>
    </w:p>
    <w:p w14:paraId="5259DD73" w14:textId="77777777" w:rsidR="002B5BB4" w:rsidRDefault="00B47641">
      <w:pPr>
        <w:pStyle w:val="IInivonaslova-Potpoglavlje"/>
      </w:pPr>
      <w:bookmarkStart w:id="71" w:name="_Toc241499918"/>
      <w:r>
        <w:lastRenderedPageBreak/>
        <w:t>Локацијски релевантне вести</w:t>
      </w:r>
      <w:bookmarkEnd w:id="71"/>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2" w:name="_Toc241499960"/>
      <w:r>
        <w:t>Слика 5.6.1. Одређивање најближег града помоћу GPS-а (лево) и локалне вести за изабрани град (десно)</w:t>
      </w:r>
      <w:bookmarkEnd w:id="72"/>
    </w:p>
    <w:p w14:paraId="46A774D5" w14:textId="77777777" w:rsidR="002B5BB4" w:rsidRDefault="00B47641">
      <w:pPr>
        <w:pStyle w:val="IInivonaslova-Potpoglavlje"/>
      </w:pPr>
      <w:bookmarkStart w:id="73" w:name="_Toc241499919"/>
      <w:r>
        <w:t>Ударне вести и обавештења</w:t>
      </w:r>
      <w:bookmarkEnd w:id="73"/>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4" w:name="_Toc241499920"/>
      <w:r>
        <w:t>Гласовно читање</w:t>
      </w:r>
      <w:bookmarkEnd w:id="74"/>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5" w:name="_Toc241499921"/>
      <w:r>
        <w:t>PDF извоз и дељење</w:t>
      </w:r>
      <w:bookmarkEnd w:id="75"/>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6" w:name="_Toc241499961"/>
      <w:r>
        <w:t>Слика 5.9.1. Дељење вести системским дијалогом (лево) и PDF документ настао извозом чланка (десно)</w:t>
      </w:r>
      <w:bookmarkEnd w:id="76"/>
    </w:p>
    <w:p w14:paraId="6BC97891" w14:textId="77777777" w:rsidR="002B5BB4" w:rsidRDefault="00B47641">
      <w:pPr>
        <w:pStyle w:val="IInivonaslova-Potpoglavlje"/>
      </w:pPr>
      <w:bookmarkStart w:id="77" w:name="_Toc241499922"/>
      <w:r>
        <w:lastRenderedPageBreak/>
        <w:t>Подешавања и изглед</w:t>
      </w:r>
      <w:bookmarkEnd w:id="77"/>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8" w:name="_Toc241499962"/>
      <w:r>
        <w:t>Слика 5.10.1. Екран подешавања (лево) и компактни приказ листе вести (десно)</w:t>
      </w:r>
      <w:bookmarkEnd w:id="78"/>
    </w:p>
    <w:p w14:paraId="5A097F16" w14:textId="77777777" w:rsidR="002B5BB4" w:rsidRDefault="00B47641">
      <w:pPr>
        <w:pStyle w:val="Inivonaslova-Poglavlje"/>
      </w:pPr>
      <w:bookmarkStart w:id="79" w:name="_Toc241499923"/>
      <w:r>
        <w:lastRenderedPageBreak/>
        <w:t>Тестирање и верификација</w:t>
      </w:r>
      <w:bookmarkEnd w:id="79"/>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80" w:name="_Toc241499924"/>
      <w:r>
        <w:t>Аутоматизовани тестови</w:t>
      </w:r>
      <w:bookmarkEnd w:id="80"/>
    </w:p>
    <w:p w14:paraId="09580093" w14:textId="77777777" w:rsidR="002B5BB4" w:rsidRDefault="00B47641">
      <w:pPr>
        <w:pStyle w:val="Osnovnitekst"/>
      </w:pPr>
      <w:r>
        <w:t xml:space="preserve">Серверски део садржи 70 пословних тестова распоређених у осам датотека, уз </w:t>
      </w:r>
      <w:r>
        <w:rPr>
          <w:i/>
        </w:rPr>
        <w:t>pytest</w:t>
      </w:r>
      <w:r>
        <w:t xml:space="preserve"> fixture функцију за привремену базу. Покривени су </w:t>
      </w:r>
      <w:r>
        <w:rPr>
          <w:i/>
        </w:rPr>
        <w:t>root</w:t>
      </w:r>
      <w:r>
        <w:t xml:space="preserve"> и </w:t>
      </w:r>
      <w:r>
        <w:rPr>
          <w:i/>
        </w:rPr>
        <w:t>health</w:t>
      </w:r>
      <w:r>
        <w:t xml:space="preserve"> endpoint, листа и детаљ чланка, неактивни и непотпуно анализирани записи, </w:t>
      </w:r>
      <w:r>
        <w:rPr>
          <w:i/>
        </w:rPr>
        <w:t>RSS</w:t>
      </w:r>
      <w:r>
        <w:t xml:space="preserve"> парсер, јединствени метаподаци извора, нормализација </w:t>
      </w:r>
      <w:r>
        <w:rPr>
          <w:i/>
        </w:rPr>
        <w:t>URL</w:t>
      </w:r>
      <w:r>
        <w:t xml:space="preserve"> адресе, обе стратегије тона, цевовод обраде,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t xml:space="preserve">Семантички део има тестове учитавања означених парова, одбијања неважећих примера, избора прага, генерисања кандидата, </w:t>
      </w:r>
      <w:r>
        <w:rPr>
          <w:i/>
        </w:rPr>
        <w:t>benchmark</w:t>
      </w:r>
      <w:r>
        <w:t xml:space="preserve"> поделе без цурења података, чувања </w:t>
      </w:r>
      <w:r>
        <w:rPr>
          <w:i/>
        </w:rPr>
        <w:t>shadow</w:t>
      </w:r>
      <w:r>
        <w:t xml:space="preserve"> одлука и интеграције са polling сервисом. Тиме се не проверава само алгоритам, већ и репродуктивност поступка евалуације.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23 датотеке, уз један инструментални тест. Покривени су мапирање </w:t>
      </w:r>
      <w:r>
        <w:rPr>
          <w:i/>
        </w:rPr>
        <w:t>API</w:t>
      </w:r>
      <w:r>
        <w:t xml:space="preserve"> модела, </w:t>
      </w:r>
      <w:r>
        <w:rPr>
          <w:i/>
        </w:rPr>
        <w:t>DataSource</w:t>
      </w:r>
      <w:r>
        <w:t>,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без покретања апликације.</w:t>
      </w:r>
    </w:p>
    <w:p w14:paraId="2D1B90C1" w14:textId="77777777" w:rsidR="002B5BB4" w:rsidRDefault="00B47641">
      <w:pPr>
        <w:pStyle w:val="Oznakatabele"/>
      </w:pPr>
      <w:bookmarkStart w:id="81" w:name="_Toc241499966"/>
      <w:r>
        <w:t>Табела 6.1.1. Примери тест сценарија</w:t>
      </w:r>
      <w:bookmarkEnd w:id="81"/>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AFE58BE" w14:textId="77777777" w:rsidR="002B5BB4" w:rsidRDefault="00B4764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7A9F331B" w14:textId="77777777" w:rsidR="002B5BB4" w:rsidRDefault="00B4764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870E983" w14:textId="77777777" w:rsidR="002B5BB4" w:rsidRDefault="00B4764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0EBB120C" w14:textId="77777777" w:rsidR="002B5BB4" w:rsidRDefault="00B47641">
            <w:proofErr w:type="spellStart"/>
            <w:r>
              <w:rPr>
                <w:sz w:val="20"/>
              </w:rPr>
              <w:t>Експлицитна</w:t>
            </w:r>
            <w:proofErr w:type="spellEnd"/>
            <w:r>
              <w:rPr>
                <w:sz w:val="20"/>
              </w:rPr>
              <w:t xml:space="preserve"> </w:t>
            </w:r>
            <w:proofErr w:type="spellStart"/>
            <w:r>
              <w:rPr>
                <w:sz w:val="20"/>
              </w:rPr>
              <w:t>грешка</w:t>
            </w:r>
            <w:proofErr w:type="spellEnd"/>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0D4483A9" w14:textId="77777777" w:rsidR="002B5BB4" w:rsidRDefault="00B47641">
            <w:proofErr w:type="spellStart"/>
            <w:r>
              <w:rPr>
                <w:sz w:val="20"/>
              </w:rPr>
              <w:t>Јединствени</w:t>
            </w:r>
            <w:proofErr w:type="spellEnd"/>
            <w:r>
              <w:rPr>
                <w:sz w:val="20"/>
              </w:rPr>
              <w:t xml:space="preserve"> ID и </w:t>
            </w:r>
            <w:proofErr w:type="spellStart"/>
            <w:r>
              <w:rPr>
                <w:sz w:val="20"/>
              </w:rPr>
              <w:t>назив</w:t>
            </w:r>
            <w:proofErr w:type="spellEnd"/>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proofErr w:type="spellStart"/>
            <w:r>
              <w:rPr>
                <w:sz w:val="20"/>
              </w:rPr>
              <w:t>Груписање</w:t>
            </w:r>
            <w:proofErr w:type="spellEnd"/>
          </w:p>
        </w:tc>
        <w:tc>
          <w:tcPr>
            <w:tcW w:w="3969" w:type="dxa"/>
            <w:tcMar>
              <w:top w:w="80" w:type="dxa"/>
              <w:left w:w="100" w:type="dxa"/>
              <w:bottom w:w="80" w:type="dxa"/>
              <w:right w:w="100" w:type="dxa"/>
            </w:tcMar>
            <w:vAlign w:val="center"/>
          </w:tcPr>
          <w:p w14:paraId="578A1731" w14:textId="77777777" w:rsidR="002B5BB4" w:rsidRDefault="00B4764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67A8A06B" w14:textId="77777777" w:rsidR="002B5BB4" w:rsidRDefault="00B47641">
            <w:r>
              <w:rPr>
                <w:sz w:val="20"/>
              </w:rPr>
              <w:t xml:space="preserve">Сличност и </w:t>
            </w:r>
            <w:proofErr w:type="spellStart"/>
            <w:r>
              <w:rPr>
                <w:sz w:val="20"/>
              </w:rPr>
              <w:t>одлука</w:t>
            </w:r>
            <w:proofErr w:type="spellEnd"/>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0C36D056" w14:textId="77777777" w:rsidR="002B5BB4" w:rsidRDefault="00B4764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2DE33601" w14:textId="77777777" w:rsidR="002B5BB4" w:rsidRDefault="00B4764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proofErr w:type="spellStart"/>
            <w:r>
              <w:rPr>
                <w:sz w:val="20"/>
              </w:rPr>
              <w:t>Локација</w:t>
            </w:r>
            <w:proofErr w:type="spellEnd"/>
          </w:p>
        </w:tc>
        <w:tc>
          <w:tcPr>
            <w:tcW w:w="3969" w:type="dxa"/>
            <w:tcMar>
              <w:top w:w="80" w:type="dxa"/>
              <w:left w:w="100" w:type="dxa"/>
              <w:bottom w:w="80" w:type="dxa"/>
              <w:right w:w="100" w:type="dxa"/>
            </w:tcMar>
            <w:vAlign w:val="center"/>
          </w:tcPr>
          <w:p w14:paraId="5C54A68F" w14:textId="77777777" w:rsidR="002B5BB4" w:rsidRDefault="00B4764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36869DBB" w14:textId="77777777" w:rsidR="002B5BB4" w:rsidRDefault="00B47641">
            <w:proofErr w:type="spellStart"/>
            <w:r>
              <w:rPr>
                <w:sz w:val="20"/>
              </w:rPr>
              <w:t>Одговарајући</w:t>
            </w:r>
            <w:proofErr w:type="spellEnd"/>
            <w:r>
              <w:rPr>
                <w:sz w:val="20"/>
              </w:rPr>
              <w:t xml:space="preserve"> </w:t>
            </w:r>
            <w:proofErr w:type="spellStart"/>
            <w:r>
              <w:rPr>
                <w:sz w:val="20"/>
              </w:rPr>
              <w:t>cityId</w:t>
            </w:r>
            <w:proofErr w:type="spellEnd"/>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proofErr w:type="spellStart"/>
            <w:r>
              <w:rPr>
                <w:sz w:val="20"/>
              </w:rPr>
              <w:lastRenderedPageBreak/>
              <w:t>Обавештења</w:t>
            </w:r>
            <w:proofErr w:type="spellEnd"/>
          </w:p>
        </w:tc>
        <w:tc>
          <w:tcPr>
            <w:tcW w:w="3969" w:type="dxa"/>
            <w:tcMar>
              <w:top w:w="80" w:type="dxa"/>
              <w:left w:w="100" w:type="dxa"/>
              <w:bottom w:w="80" w:type="dxa"/>
              <w:right w:w="100" w:type="dxa"/>
            </w:tcMar>
            <w:vAlign w:val="center"/>
          </w:tcPr>
          <w:p w14:paraId="56EB2E0A" w14:textId="77777777" w:rsidR="002B5BB4" w:rsidRDefault="00B4764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7520BBA" w14:textId="77777777" w:rsidR="002B5BB4" w:rsidRDefault="00B47641">
            <w:proofErr w:type="spellStart"/>
            <w:r>
              <w:rPr>
                <w:sz w:val="20"/>
              </w:rPr>
              <w:t>Једно</w:t>
            </w:r>
            <w:proofErr w:type="spellEnd"/>
            <w:r>
              <w:rPr>
                <w:sz w:val="20"/>
              </w:rPr>
              <w:t xml:space="preserve"> </w:t>
            </w:r>
            <w:proofErr w:type="spellStart"/>
            <w:r>
              <w:rPr>
                <w:sz w:val="20"/>
              </w:rPr>
              <w:t>обавештење</w:t>
            </w:r>
            <w:proofErr w:type="spellEnd"/>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66C28F08" w14:textId="77777777" w:rsidR="002B5BB4" w:rsidRDefault="00B4764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0B385358" w14:textId="77777777" w:rsidR="00B41995" w:rsidRDefault="00F4349F">
      <w:pPr>
        <w:pStyle w:val="IInivonaslova-Potpoglavlje"/>
      </w:pPr>
      <w:bookmarkStart w:id="82" w:name="_Toc241499925"/>
      <w:r>
        <w:t>Верификација исправности</w:t>
      </w:r>
      <w:bookmarkEnd w:id="82"/>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t xml:space="preserve">Серверски апликативни део садржи 146 </w:t>
      </w:r>
      <w:r>
        <w:rPr>
          <w:i/>
        </w:rPr>
        <w:t>Python</w:t>
      </w:r>
      <w:r>
        <w:t xml:space="preserve"> датотека [19] са 4.165 непразних линија (укупно 4.855), од чега су 43 празни </w:t>
      </w:r>
      <w:r>
        <w:rPr>
          <w:i/>
        </w:rPr>
        <w:t>__init__.py</w:t>
      </w:r>
      <w: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D0ADE7E" w14:textId="77777777" w:rsidR="002B5BB4" w:rsidRDefault="00B47641">
      <w:pPr>
        <w:pStyle w:val="Osnovnitekst"/>
      </w:pPr>
      <w:r>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A134B1A" w14:textId="77777777" w:rsidR="002B5BB4" w:rsidRDefault="00B47641">
      <w:pPr>
        <w:pStyle w:val="Osnovnitekst"/>
      </w:pPr>
      <w:r>
        <w:t xml:space="preserve">У раду је реализован систем „Ток” који повезује више извора вести, серверску аналитичку обраду и </w:t>
      </w:r>
      <w:r>
        <w:rPr>
          <w:i/>
        </w:rPr>
        <w:t>Android</w:t>
      </w:r>
      <w:r>
        <w:t xml:space="preserve">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 Реализовани прототип показује да се наведени скуп функција може остварити уз јасно раздвајање одговорности између сервера и мобилног клијента.</w:t>
      </w:r>
    </w:p>
    <w:p w14:paraId="1134E722" w14:textId="77777777" w:rsidR="002B5BB4" w:rsidRDefault="00B4764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3593D027" w14:textId="77777777" w:rsidR="002B5BB4" w:rsidRDefault="00B4764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потпуно забележену конфигурацију позива и кеширање засновано на метаподацима, док груписање ради као издвојен периодични сервис (</w:t>
      </w:r>
      <w:r>
        <w:rPr>
          <w:i/>
        </w:rPr>
        <w:t>ShadowSemanticGroupingService</w:t>
      </w:r>
      <w:r>
        <w:t>): одлуке по паровима се трајно чувају ради касније процене, а предложене групе се приказују на посебном екрану, одвојено од основног тока вести. Овакво постепено увођење је безбедније од непосредног излагања некалибрисаног модела кориснику.</w:t>
      </w:r>
    </w:p>
    <w:p w14:paraId="02A548FB" w14:textId="77777777" w:rsidR="002B5BB4" w:rsidRDefault="00B47641">
      <w:pPr>
        <w:pStyle w:val="Osnovnitekst"/>
      </w:pPr>
      <w:r>
        <w:t xml:space="preserve">Главна ограничења су одсуство корисничких налога, пагинације, продукционог рангирања и формалне евалуације тона на означеном корпусу српских вести. </w:t>
      </w:r>
      <w:r>
        <w:rPr>
          <w:i/>
        </w:rPr>
        <w:t>RSS</w:t>
      </w:r>
      <w:r>
        <w:t xml:space="preserve"> садржај зависи од политике извора, а семантички праг може да захтева прилагођавање различитим категоријама. Групе које апликација приказује долазе са сервера, али их производи поступак чији праг још није формално калибрисан на независном тест скупу.</w:t>
      </w:r>
    </w:p>
    <w:p w14:paraId="19ED6C60" w14:textId="77777777" w:rsidR="002B5BB4" w:rsidRDefault="00B47641">
      <w:pPr>
        <w:pStyle w:val="Osnovnitekst"/>
      </w:pPr>
      <w:r>
        <w:t xml:space="preserve">Даљи развој треба усмерити ка серверској пагинацији и инкременталној синхронизацији, аутентификацији и синхронизацији корисничких избора, </w:t>
      </w:r>
      <w:r>
        <w:rPr>
          <w:i/>
        </w:rPr>
        <w:t>push</w:t>
      </w:r>
      <w:r>
        <w:t xml:space="preserve"> обавештењима, административном надзору извора и метрикама квалитета. За машинско учење потребно је формирати репрезентативан означени скуп, мерити </w:t>
      </w:r>
      <w:r>
        <w:rPr>
          <w:i/>
        </w:rPr>
        <w:t>precision</w:t>
      </w:r>
      <w:r>
        <w:t xml:space="preserve">, </w:t>
      </w:r>
      <w:r>
        <w:rPr>
          <w:i/>
        </w:rPr>
        <w:t>recall</w:t>
      </w:r>
      <w:r>
        <w:t xml:space="preserve">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44635247" w14:textId="77777777" w:rsidR="002B5BB4" w:rsidRDefault="00B4764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 уговора,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 Тиме је испуњен и шири циљ рада, јер је добијено решење које је истовремено употребљиво и погодно за даље испитивање.</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000000">
      <w:pPr>
        <w:pStyle w:val="Prilog-Inivonaslova"/>
      </w:pPr>
      <w:r>
        <w:lastRenderedPageBreak/>
        <w:t>Конфигурација анализе тона</w:t>
      </w:r>
    </w:p>
    <w:p w14:paraId="3783F5D8" w14:textId="77777777" w:rsidR="00A30F40" w:rsidRDefault="00000000">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000000">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000000">
            <w:proofErr w:type="spellStart"/>
            <w:r>
              <w:rPr>
                <w:b/>
              </w:rPr>
              <w:t>Параметар</w:t>
            </w:r>
            <w:proofErr w:type="spellEnd"/>
          </w:p>
        </w:tc>
        <w:tc>
          <w:tcPr>
            <w:tcW w:w="4819" w:type="dxa"/>
          </w:tcPr>
          <w:p w14:paraId="255381D6" w14:textId="77777777" w:rsidR="00A30F40" w:rsidRDefault="00000000">
            <w:proofErr w:type="spellStart"/>
            <w:r>
              <w:rPr>
                <w:b/>
              </w:rPr>
              <w:t>Вредност</w:t>
            </w:r>
            <w:proofErr w:type="spellEnd"/>
          </w:p>
        </w:tc>
      </w:tr>
      <w:tr w:rsidR="00A30F40" w14:paraId="7BA811B7" w14:textId="77777777">
        <w:tc>
          <w:tcPr>
            <w:tcW w:w="4819" w:type="dxa"/>
          </w:tcPr>
          <w:p w14:paraId="578BA02A" w14:textId="77777777" w:rsidR="00A30F40" w:rsidRDefault="00000000">
            <w:proofErr w:type="spellStart"/>
            <w:r>
              <w:t>Платформа</w:t>
            </w:r>
            <w:proofErr w:type="spellEnd"/>
          </w:p>
        </w:tc>
        <w:tc>
          <w:tcPr>
            <w:tcW w:w="4819" w:type="dxa"/>
          </w:tcPr>
          <w:p w14:paraId="228C4E64" w14:textId="77777777" w:rsidR="00A30F40" w:rsidRDefault="00000000">
            <w:proofErr w:type="spellStart"/>
            <w:r>
              <w:t>Groq</w:t>
            </w:r>
            <w:proofErr w:type="spellEnd"/>
          </w:p>
        </w:tc>
      </w:tr>
      <w:tr w:rsidR="00A30F40" w14:paraId="0230F8D0" w14:textId="77777777">
        <w:tc>
          <w:tcPr>
            <w:tcW w:w="4819" w:type="dxa"/>
          </w:tcPr>
          <w:p w14:paraId="79BC8CF1" w14:textId="77777777" w:rsidR="00A30F40" w:rsidRDefault="00000000">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000000">
            <w:proofErr w:type="spellStart"/>
            <w:r>
              <w:t>openai</w:t>
            </w:r>
            <w:proofErr w:type="spellEnd"/>
            <w:r>
              <w:t>/gpt-oss-20b</w:t>
            </w:r>
          </w:p>
        </w:tc>
      </w:tr>
      <w:tr w:rsidR="00A30F40" w14:paraId="6BC9907E" w14:textId="77777777">
        <w:tc>
          <w:tcPr>
            <w:tcW w:w="4819" w:type="dxa"/>
          </w:tcPr>
          <w:p w14:paraId="2BC5FB50" w14:textId="77777777" w:rsidR="00A30F40" w:rsidRDefault="00000000">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000000">
            <w:r>
              <w:t>v2</w:t>
            </w:r>
          </w:p>
        </w:tc>
      </w:tr>
      <w:tr w:rsidR="00A30F40" w14:paraId="4B22152E" w14:textId="77777777">
        <w:tc>
          <w:tcPr>
            <w:tcW w:w="4819" w:type="dxa"/>
          </w:tcPr>
          <w:p w14:paraId="2EB932A7" w14:textId="77777777" w:rsidR="00A30F40" w:rsidRDefault="00000000">
            <w:proofErr w:type="spellStart"/>
            <w:r>
              <w:t>max_completion_tokens</w:t>
            </w:r>
            <w:proofErr w:type="spellEnd"/>
          </w:p>
        </w:tc>
        <w:tc>
          <w:tcPr>
            <w:tcW w:w="4819" w:type="dxa"/>
          </w:tcPr>
          <w:p w14:paraId="11D8F455" w14:textId="77777777" w:rsidR="00A30F40" w:rsidRDefault="00000000">
            <w:r>
              <w:t>200</w:t>
            </w:r>
          </w:p>
        </w:tc>
      </w:tr>
      <w:tr w:rsidR="00A30F40" w14:paraId="1D072B9C" w14:textId="77777777">
        <w:tc>
          <w:tcPr>
            <w:tcW w:w="4819" w:type="dxa"/>
          </w:tcPr>
          <w:p w14:paraId="7593574E" w14:textId="77777777" w:rsidR="00A30F40" w:rsidRDefault="00000000">
            <w:proofErr w:type="spellStart"/>
            <w:r>
              <w:t>reasoning_effort</w:t>
            </w:r>
            <w:proofErr w:type="spellEnd"/>
          </w:p>
        </w:tc>
        <w:tc>
          <w:tcPr>
            <w:tcW w:w="4819" w:type="dxa"/>
          </w:tcPr>
          <w:p w14:paraId="3089441F" w14:textId="77777777" w:rsidR="00A30F40" w:rsidRDefault="00000000">
            <w:r>
              <w:t>low</w:t>
            </w:r>
          </w:p>
        </w:tc>
      </w:tr>
      <w:tr w:rsidR="00A30F40" w14:paraId="13DC36D6" w14:textId="77777777">
        <w:tc>
          <w:tcPr>
            <w:tcW w:w="4819" w:type="dxa"/>
          </w:tcPr>
          <w:p w14:paraId="3720CB0D" w14:textId="77777777" w:rsidR="00A30F40" w:rsidRDefault="00000000">
            <w:proofErr w:type="spellStart"/>
            <w:r>
              <w:t>include_reasoning</w:t>
            </w:r>
            <w:proofErr w:type="spellEnd"/>
          </w:p>
        </w:tc>
        <w:tc>
          <w:tcPr>
            <w:tcW w:w="4819" w:type="dxa"/>
          </w:tcPr>
          <w:p w14:paraId="001A813A" w14:textId="77777777" w:rsidR="00A30F40" w:rsidRDefault="00000000">
            <w:r>
              <w:t>false</w:t>
            </w:r>
          </w:p>
        </w:tc>
      </w:tr>
      <w:tr w:rsidR="00A30F40" w14:paraId="0D9A458C" w14:textId="77777777">
        <w:tc>
          <w:tcPr>
            <w:tcW w:w="4819" w:type="dxa"/>
          </w:tcPr>
          <w:p w14:paraId="02305C08" w14:textId="77777777" w:rsidR="00A30F40" w:rsidRDefault="00000000">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000000">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000000">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000000">
            <w:r>
              <w:t>30 s</w:t>
            </w:r>
          </w:p>
        </w:tc>
      </w:tr>
      <w:tr w:rsidR="00A30F40" w14:paraId="12455463" w14:textId="77777777">
        <w:tc>
          <w:tcPr>
            <w:tcW w:w="4819" w:type="dxa"/>
          </w:tcPr>
          <w:p w14:paraId="2697AD6A" w14:textId="77777777" w:rsidR="00A30F40" w:rsidRDefault="00000000">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000000">
            <w:r>
              <w:t>2</w:t>
            </w:r>
          </w:p>
        </w:tc>
      </w:tr>
      <w:tr w:rsidR="00A30F40" w14:paraId="4E5F02E3" w14:textId="77777777">
        <w:tc>
          <w:tcPr>
            <w:tcW w:w="4819" w:type="dxa"/>
          </w:tcPr>
          <w:p w14:paraId="08C31E61" w14:textId="77777777" w:rsidR="00A30F40" w:rsidRDefault="00000000">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000000">
            <w:r>
              <w:t>8</w:t>
            </w:r>
          </w:p>
        </w:tc>
      </w:tr>
      <w:tr w:rsidR="00A30F40" w14:paraId="75E37378" w14:textId="77777777">
        <w:tc>
          <w:tcPr>
            <w:tcW w:w="4819" w:type="dxa"/>
          </w:tcPr>
          <w:p w14:paraId="2DFE94A2" w14:textId="77777777" w:rsidR="00A30F40" w:rsidRDefault="00000000">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000000">
            <w:proofErr w:type="spellStart"/>
            <w:r>
              <w:t>json_schema</w:t>
            </w:r>
            <w:proofErr w:type="spellEnd"/>
            <w:r>
              <w:t>, strict = true</w:t>
            </w:r>
          </w:p>
        </w:tc>
      </w:tr>
      <w:tr w:rsidR="00A30F40" w14:paraId="615C4EAB" w14:textId="77777777">
        <w:tc>
          <w:tcPr>
            <w:tcW w:w="4819" w:type="dxa"/>
          </w:tcPr>
          <w:p w14:paraId="31D1CB30" w14:textId="77777777" w:rsidR="00A30F40" w:rsidRDefault="00000000">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000000">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000000">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000000">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000000">
      <w:pPr>
        <w:pStyle w:val="Oznakakoda"/>
      </w:pPr>
      <w:r>
        <w:t>Листинг B.1. Системска порука верзије v2</w:t>
      </w:r>
    </w:p>
    <w:p w14:paraId="5D0B2272" w14:textId="77777777" w:rsidR="00A30F40" w:rsidRDefault="00000000">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000000">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000000">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55058" w14:textId="77777777" w:rsidR="00027D03" w:rsidRDefault="00027D03">
      <w:r>
        <w:separator/>
      </w:r>
    </w:p>
  </w:endnote>
  <w:endnote w:type="continuationSeparator" w:id="0">
    <w:p w14:paraId="7B1EFE6F" w14:textId="77777777" w:rsidR="00027D03" w:rsidRDefault="00027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F0F08" w14:textId="77777777" w:rsidR="00027D03" w:rsidRDefault="00027D03">
      <w:r>
        <w:separator/>
      </w:r>
    </w:p>
  </w:footnote>
  <w:footnote w:type="continuationSeparator" w:id="0">
    <w:p w14:paraId="75CEA9C8" w14:textId="77777777" w:rsidR="00027D03" w:rsidRDefault="00027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6300C"/>
    <w:rsid w:val="0037293D"/>
    <w:rsid w:val="003729A4"/>
    <w:rsid w:val="00373101"/>
    <w:rsid w:val="003734B9"/>
    <w:rsid w:val="00374335"/>
    <w:rsid w:val="00381D94"/>
    <w:rsid w:val="0038314C"/>
    <w:rsid w:val="00384BF4"/>
    <w:rsid w:val="003854F8"/>
    <w:rsid w:val="0039080C"/>
    <w:rsid w:val="00394773"/>
    <w:rsid w:val="0039564B"/>
    <w:rsid w:val="00397C91"/>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54446"/>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10</TotalTime>
  <Pages>51</Pages>
  <Words>11304</Words>
  <Characters>64434</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75587</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15</cp:revision>
  <cp:lastPrinted>2010-03-22T09:00:00Z</cp:lastPrinted>
  <dcterms:created xsi:type="dcterms:W3CDTF">2026-09-28T12:58:00Z</dcterms:created>
  <dcterms:modified xsi:type="dcterms:W3CDTF">2026-09-29T12:24:00Z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