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w:t>
      </w:r>
      <w:r>
        <w:rPr>
          <w:i/>
        </w:rPr>
        <w:t>Android</w:t>
      </w:r>
      <w:r>
        <w:t xml:space="preserve">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Због тога се у наставку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Захваљујући томе, претрага парова заснована на проширењу </w:t>
      </w:r>
      <w:r>
        <w:rPr>
          <w:i/>
        </w:rPr>
        <w:t>pgvector</w:t>
      </w:r>
      <w:r>
        <w:t xml:space="preserve"> може бити замењена имплементацијом у програмском језику </w:t>
      </w:r>
      <w:r>
        <w:rPr>
          <w:i/>
        </w:rPr>
        <w:t>Python</w:t>
      </w:r>
      <w:r>
        <w:t xml:space="preserve">, а </w:t>
      </w:r>
      <w:r>
        <w:rPr>
          <w:i/>
        </w:rPr>
        <w:t>Groq</w:t>
      </w:r>
      <w:r>
        <w:t xml:space="preserve"> стратегија случајном, без промене рута и репозиторијума. Технолошке одлуке тако остају локалне, јер се промена једног слоја не преноси на остале делове система.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w:t>
      </w:r>
      <w:r>
        <w:rPr>
          <w:i/>
        </w:rPr>
        <w:t>Room</w:t>
      </w:r>
      <w:r>
        <w:t xml:space="preserve">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чиме се избегавају осиротели редови.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t xml:space="preserve">Резултат је једносмеран круг: стање се приказује, корисничка радња се преко </w:t>
      </w:r>
      <w:r>
        <w:rPr>
          <w:i/>
        </w:rPr>
        <w:t>callback</w:t>
      </w:r>
      <w:r>
        <w:t xml:space="preserve">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Ова одлука даје предност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70 пословних тестова распоређених у осам датотека, уз </w:t>
      </w:r>
      <w:r>
        <w:rPr>
          <w:i/>
        </w:rPr>
        <w:t>pytest</w:t>
      </w:r>
      <w:r>
        <w:t xml:space="preserve"> fixture функцију за привремену базу. Покривени су </w:t>
      </w:r>
      <w:r>
        <w:rPr>
          <w:i/>
        </w:rPr>
        <w:t>root</w:t>
      </w:r>
      <w:r>
        <w:t xml:space="preserve"> и </w:t>
      </w:r>
      <w:r>
        <w:rPr>
          <w:i/>
        </w:rPr>
        <w:t>health</w:t>
      </w:r>
      <w:r>
        <w:t xml:space="preserve"> endpoint, листа и детаљ чланка, неактивни и непотпуно анализирани записи, </w:t>
      </w:r>
      <w:r>
        <w:rPr>
          <w:i/>
        </w:rPr>
        <w:t>RSS</w:t>
      </w:r>
      <w:r>
        <w:t xml:space="preserve"> парсер, јединствени метаподаци извора, нормализација </w:t>
      </w:r>
      <w:r>
        <w:rPr>
          <w:i/>
        </w:rPr>
        <w:t>URL</w:t>
      </w:r>
      <w:r>
        <w:t xml:space="preserve"> адресе, обе стратегије тона, цевовод обраде,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Тиме се не проверава само алгоритам, већ и поновљивост поступка евалуације чији су резултати дати у наставку поглавља.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23 датотеке, уз један инструментални тест. Покривени су мапирање </w:t>
      </w:r>
      <w:r>
        <w:rPr>
          <w:i/>
        </w:rPr>
        <w:t>API</w:t>
      </w:r>
      <w:r>
        <w:t xml:space="preserve"> модела, </w:t>
      </w:r>
      <w:r>
        <w:rPr>
          <w:i/>
        </w:rPr>
        <w:t>DataSource</w:t>
      </w:r>
      <w:r>
        <w:t>,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без покретања апликације.</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AFE58BE" w14:textId="77777777" w:rsidR="002B5BB4" w:rsidRDefault="00B4764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7A9F331B" w14:textId="77777777" w:rsidR="002B5BB4" w:rsidRDefault="00B4764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870E983" w14:textId="77777777" w:rsidR="002B5BB4" w:rsidRDefault="00B4764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0EBB120C" w14:textId="77777777" w:rsidR="002B5BB4" w:rsidRDefault="00B47641">
            <w:proofErr w:type="spellStart"/>
            <w:r>
              <w:rPr>
                <w:sz w:val="20"/>
              </w:rPr>
              <w:t>Експлицитна</w:t>
            </w:r>
            <w:proofErr w:type="spellEnd"/>
            <w:r>
              <w:rPr>
                <w:sz w:val="20"/>
              </w:rPr>
              <w:t xml:space="preserve"> </w:t>
            </w:r>
            <w:proofErr w:type="spellStart"/>
            <w:r>
              <w:rPr>
                <w:sz w:val="20"/>
              </w:rPr>
              <w:t>грешка</w:t>
            </w:r>
            <w:proofErr w:type="spellEnd"/>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0D4483A9" w14:textId="77777777" w:rsidR="002B5BB4" w:rsidRDefault="00B47641">
            <w:proofErr w:type="spellStart"/>
            <w:r>
              <w:rPr>
                <w:sz w:val="20"/>
              </w:rPr>
              <w:t>Јединствени</w:t>
            </w:r>
            <w:proofErr w:type="spellEnd"/>
            <w:r>
              <w:rPr>
                <w:sz w:val="20"/>
              </w:rPr>
              <w:t xml:space="preserve"> ID и </w:t>
            </w:r>
            <w:proofErr w:type="spellStart"/>
            <w:r>
              <w:rPr>
                <w:sz w:val="20"/>
              </w:rPr>
              <w:t>назив</w:t>
            </w:r>
            <w:proofErr w:type="spellEnd"/>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proofErr w:type="spellStart"/>
            <w:r>
              <w:rPr>
                <w:sz w:val="20"/>
              </w:rPr>
              <w:t>Груписање</w:t>
            </w:r>
            <w:proofErr w:type="spellEnd"/>
          </w:p>
        </w:tc>
        <w:tc>
          <w:tcPr>
            <w:tcW w:w="3969" w:type="dxa"/>
            <w:tcMar>
              <w:top w:w="80" w:type="dxa"/>
              <w:left w:w="100" w:type="dxa"/>
              <w:bottom w:w="80" w:type="dxa"/>
              <w:right w:w="100" w:type="dxa"/>
            </w:tcMar>
            <w:vAlign w:val="center"/>
          </w:tcPr>
          <w:p w14:paraId="578A1731" w14:textId="77777777" w:rsidR="002B5BB4" w:rsidRDefault="00B4764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67A8A06B" w14:textId="77777777" w:rsidR="002B5BB4" w:rsidRDefault="00B47641">
            <w:r>
              <w:rPr>
                <w:sz w:val="20"/>
              </w:rPr>
              <w:t xml:space="preserve">Сличност и </w:t>
            </w:r>
            <w:proofErr w:type="spellStart"/>
            <w:r>
              <w:rPr>
                <w:sz w:val="20"/>
              </w:rPr>
              <w:t>одлука</w:t>
            </w:r>
            <w:proofErr w:type="spellEnd"/>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0C36D056" w14:textId="77777777" w:rsidR="002B5BB4" w:rsidRDefault="00B4764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2DE33601" w14:textId="77777777" w:rsidR="002B5BB4" w:rsidRDefault="00B4764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proofErr w:type="spellStart"/>
            <w:r>
              <w:rPr>
                <w:sz w:val="20"/>
              </w:rPr>
              <w:t>Локација</w:t>
            </w:r>
            <w:proofErr w:type="spellEnd"/>
          </w:p>
        </w:tc>
        <w:tc>
          <w:tcPr>
            <w:tcW w:w="3969" w:type="dxa"/>
            <w:tcMar>
              <w:top w:w="80" w:type="dxa"/>
              <w:left w:w="100" w:type="dxa"/>
              <w:bottom w:w="80" w:type="dxa"/>
              <w:right w:w="100" w:type="dxa"/>
            </w:tcMar>
            <w:vAlign w:val="center"/>
          </w:tcPr>
          <w:p w14:paraId="5C54A68F" w14:textId="77777777" w:rsidR="002B5BB4" w:rsidRDefault="00B4764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36869DBB" w14:textId="77777777" w:rsidR="002B5BB4" w:rsidRDefault="00B47641">
            <w:proofErr w:type="spellStart"/>
            <w:r>
              <w:rPr>
                <w:sz w:val="20"/>
              </w:rPr>
              <w:t>Одговарајући</w:t>
            </w:r>
            <w:proofErr w:type="spellEnd"/>
            <w:r>
              <w:rPr>
                <w:sz w:val="20"/>
              </w:rPr>
              <w:t xml:space="preserve"> </w:t>
            </w:r>
            <w:proofErr w:type="spellStart"/>
            <w:r>
              <w:rPr>
                <w:sz w:val="20"/>
              </w:rPr>
              <w:t>cityId</w:t>
            </w:r>
            <w:proofErr w:type="spellEnd"/>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proofErr w:type="spellStart"/>
            <w:r>
              <w:rPr>
                <w:sz w:val="20"/>
              </w:rPr>
              <w:lastRenderedPageBreak/>
              <w:t>Обавештења</w:t>
            </w:r>
            <w:proofErr w:type="spellEnd"/>
          </w:p>
        </w:tc>
        <w:tc>
          <w:tcPr>
            <w:tcW w:w="3969" w:type="dxa"/>
            <w:tcMar>
              <w:top w:w="80" w:type="dxa"/>
              <w:left w:w="100" w:type="dxa"/>
              <w:bottom w:w="80" w:type="dxa"/>
              <w:right w:w="100" w:type="dxa"/>
            </w:tcMar>
            <w:vAlign w:val="center"/>
          </w:tcPr>
          <w:p w14:paraId="56EB2E0A" w14:textId="77777777" w:rsidR="002B5BB4" w:rsidRDefault="00B4764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7520BBA" w14:textId="77777777" w:rsidR="002B5BB4" w:rsidRDefault="00B47641">
            <w:proofErr w:type="spellStart"/>
            <w:r>
              <w:rPr>
                <w:sz w:val="20"/>
              </w:rPr>
              <w:t>Једно</w:t>
            </w:r>
            <w:proofErr w:type="spellEnd"/>
            <w:r>
              <w:rPr>
                <w:sz w:val="20"/>
              </w:rPr>
              <w:t xml:space="preserve"> </w:t>
            </w:r>
            <w:proofErr w:type="spellStart"/>
            <w:r>
              <w:rPr>
                <w:sz w:val="20"/>
              </w:rPr>
              <w:t>обавештење</w:t>
            </w:r>
            <w:proofErr w:type="spellEnd"/>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66C28F08" w14:textId="77777777" w:rsidR="002B5BB4" w:rsidRDefault="00B4764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 xml:space="preserve">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w:t>
      </w:r>
      <w:r>
        <w:lastRenderedPageBreak/>
        <w:t>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[19]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D0ADE7E" w14:textId="77777777" w:rsidR="002B5BB4" w:rsidRDefault="00B47641">
      <w:pPr>
        <w:pStyle w:val="Osnovnitekst"/>
      </w:pPr>
      <w:r>
        <w:lastRenderedPageBreak/>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5BC42C1" w14:textId="77777777" w:rsidR="00B41995" w:rsidRDefault="00F4349F">
      <w:pPr>
        <w:pStyle w:val="IInivonaslova-Potpoglavlje"/>
      </w:pPr>
      <w:r>
        <w:rPr/>
        <w:t>Шта је урађено</w:t>
      </w:r>
    </w:p>
    <w:p w14:paraId="3A134B1A" w14:textId="77777777" w:rsidR="002B5BB4" w:rsidRDefault="00B47641">
      <w:pPr>
        <w:pStyle w:val="Osnovnitekst"/>
      </w:pPr>
      <w:r>
        <w:rP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rPr/>
        <w:t xml:space="preserve">, користи </w:t>
      </w:r>
      <w:r>
        <w:rPr>
          <w:i/>
        </w:rPr>
        <w:t>PostgreSQL</w:t>
      </w:r>
      <w:r>
        <w:rPr/>
        <w:t xml:space="preserve"> базу са </w:t>
      </w:r>
      <w:r>
        <w:rPr>
          <w:i/>
        </w:rPr>
        <w:t>Alembic</w:t>
      </w:r>
      <w:r>
        <w:rP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rPr/>
        <w:t xml:space="preserve">, </w:t>
      </w:r>
      <w:r>
        <w:rPr>
          <w:i/>
        </w:rPr>
        <w:t>Room</w:t>
      </w:r>
      <w:r>
        <w:rPr/>
        <w:t xml:space="preserve">, </w:t>
      </w:r>
      <w:r>
        <w:rPr>
          <w:i/>
        </w:rPr>
        <w:t>Hilt</w:t>
      </w:r>
      <w:r>
        <w:rPr/>
        <w:t xml:space="preserve"> и </w:t>
      </w:r>
      <w:r>
        <w:rPr>
          <w:i/>
        </w:rPr>
        <w:t>WorkManager</w:t>
      </w:r>
      <w:r>
        <w:rPr/>
        <w:t>, и комуницира са сервером преко типизованог уговора.</w:t>
      </w:r>
    </w:p>
    <w:p w14:paraId="1134E722" w14:textId="77777777" w:rsidR="002B5BB4" w:rsidRDefault="00B47641">
      <w:pPr>
        <w:pStyle w:val="Osnovnitekst"/>
      </w:pPr>
      <w:r>
        <w:rP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70 серверских и 68 клијентских аутоматизованих тестова, уз ручну проверу сценарија на стварном уређају.</w:t>
      </w:r>
    </w:p>
    <w:p w14:paraId="35BC42C1" w14:textId="77777777" w:rsidR="00B41995" w:rsidRDefault="00F4349F">
      <w:pPr>
        <w:pStyle w:val="IInivonaslova-Potpoglavlje"/>
      </w:pPr>
      <w:r>
        <w:rPr/>
        <w:t>Шта је постигнуто и критички осврт</w:t>
      </w:r>
    </w:p>
    <w:p w14:paraId="3593D027" w14:textId="77777777" w:rsidR="002B5BB4" w:rsidRDefault="00B47641">
      <w:pPr>
        <w:pStyle w:val="Osnovnitekst"/>
      </w:pPr>
      <w:r>
        <w:rPr/>
        <w:t>Основни ток система ради поуздано и то је потврђено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Архитектура са заменљивим стратегијама показала се као стварна предност: анализа тона, груписање, дневни преглед, ударне вести и детекција локације имају издвојене интерфејсе, па је сваку од њих било могуће мењати без дирања остатка система.</w:t>
      </w:r>
    </w:p>
    <w:p w14:paraId="02A548FB" w14:textId="77777777" w:rsidR="002B5BB4" w:rsidRDefault="00B47641">
      <w:pPr>
        <w:pStyle w:val="Osnovnitekst"/>
      </w:pPr>
      <w:r>
        <w:rP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3A134B1A" w14:textId="77777777" w:rsidR="002B5BB4" w:rsidRDefault="00B47641">
      <w:pPr>
        <w:pStyle w:val="Osnovnitekst"/>
      </w:pPr>
      <w:r>
        <w:rP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rP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rP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5BC42C1" w14:textId="77777777" w:rsidR="00B41995" w:rsidRDefault="00F4349F">
      <w:pPr>
        <w:pStyle w:val="IInivonaslova-Potpoglavlje"/>
      </w:pPr>
      <w:r>
        <w:rPr/>
        <w:t>Правци даљег рада</w:t>
      </w:r>
    </w:p>
    <w:p w14:paraId="44635247" w14:textId="77777777" w:rsidR="002B5BB4" w:rsidRDefault="00B47641">
      <w:pPr>
        <w:pStyle w:val="Osnovnitekst"/>
      </w:pPr>
      <w:r>
        <w:rP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3A134B1A" w14:textId="77777777" w:rsidR="002B5BB4" w:rsidRDefault="00B47641">
      <w:pPr>
        <w:pStyle w:val="Osnovnitekst"/>
      </w:pPr>
      <w:r>
        <w:rP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rP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98FB6" w14:textId="77777777" w:rsidR="00737534" w:rsidRDefault="00737534">
      <w:r>
        <w:separator/>
      </w:r>
    </w:p>
  </w:endnote>
  <w:endnote w:type="continuationSeparator" w:id="0">
    <w:p w14:paraId="57560F67" w14:textId="77777777" w:rsidR="00737534" w:rsidRDefault="0073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D154" w14:textId="77777777" w:rsidR="00737534" w:rsidRDefault="00737534">
      <w:r>
        <w:separator/>
      </w:r>
    </w:p>
  </w:footnote>
  <w:footnote w:type="continuationSeparator" w:id="0">
    <w:p w14:paraId="6FA120A5" w14:textId="77777777" w:rsidR="00737534" w:rsidRDefault="0073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56</Pages>
  <Words>12769</Words>
  <Characters>72786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85385</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18</cp:revision>
  <cp:lastPrinted>2010-03-22T09:00:00Z</cp:lastPrinted>
  <dcterms:created xsi:type="dcterms:W3CDTF">2026-09-28T12:58:00Z</dcterms:created>
  <dcterms:modified xsi:type="dcterms:W3CDTF">2026-09-29T13:43:00Z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