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периодично преузима RSS канале девет извора, нормализује адресе, уклања дупликате, анализира тон текста и чува резултате у </w:t>
      </w:r>
      <w:r>
        <w:rPr>
          <w:i/>
        </w:rPr>
        <w:t>PostgreSQL</w:t>
      </w:r>
      <w:r>
        <w:t xml:space="preserve"> бази. Експериментални модул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података и доменских стратегија </w:t>
      </w:r>
      <w:r>
        <w:rPr>
          <w:i/>
        </w:rPr>
        <w:t>Android</w:t>
      </w:r>
      <w:r>
        <w:t xml:space="preserve">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An experimental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експериментални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77777777"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без непосредног утицаја на продукциони приказ. Такав „</w:t>
      </w:r>
      <w:r>
        <w:rPr>
          <w:i/>
        </w:rPr>
        <w:t>shadow</w:t>
      </w:r>
      <w:r>
        <w:t>” режим омогућава калибрацију прага и анализу грешака пре активирања функције за крајње кориснике.</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Због тога се у наставку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реакција.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r>
              <w:rPr>
                <w:b/>
                <w:sz w:val="20"/>
              </w:rPr>
              <w:t>Приступ</w:t>
            </w:r>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r>
              <w:rPr>
                <w:b/>
                <w:sz w:val="20"/>
              </w:rPr>
              <w:t>Предности</w:t>
            </w:r>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r>
              <w:rPr>
                <w:b/>
                <w:sz w:val="20"/>
              </w:rPr>
              <w:t>Ограничења</w:t>
            </w:r>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r>
              <w:rPr>
                <w:b/>
                <w:sz w:val="20"/>
              </w:rPr>
              <w:t>Примена у систему „Ток”</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RSS читач</w:t>
            </w:r>
          </w:p>
        </w:tc>
        <w:tc>
          <w:tcPr>
            <w:tcW w:w="2381" w:type="dxa"/>
            <w:tcMar>
              <w:top w:w="80" w:type="dxa"/>
              <w:left w:w="100" w:type="dxa"/>
              <w:bottom w:w="80" w:type="dxa"/>
              <w:right w:w="100" w:type="dxa"/>
            </w:tcMar>
            <w:vAlign w:val="center"/>
          </w:tcPr>
          <w:p w14:paraId="42CFC1B9" w14:textId="77777777" w:rsidR="002B5BB4" w:rsidRDefault="00B47641">
            <w:r>
              <w:rPr>
                <w:sz w:val="20"/>
              </w:rPr>
              <w:t>Отворен формат, избор извора</w:t>
            </w:r>
          </w:p>
        </w:tc>
        <w:tc>
          <w:tcPr>
            <w:tcW w:w="2381" w:type="dxa"/>
            <w:tcMar>
              <w:top w:w="80" w:type="dxa"/>
              <w:left w:w="100" w:type="dxa"/>
              <w:bottom w:w="80" w:type="dxa"/>
              <w:right w:w="100" w:type="dxa"/>
            </w:tcMar>
            <w:vAlign w:val="center"/>
          </w:tcPr>
          <w:p w14:paraId="3747B717" w14:textId="77777777" w:rsidR="002B5BB4" w:rsidRDefault="00B47641">
            <w:r>
              <w:rPr>
                <w:sz w:val="20"/>
              </w:rPr>
              <w:t>Неуједначени подаци</w:t>
            </w:r>
          </w:p>
        </w:tc>
        <w:tc>
          <w:tcPr>
            <w:tcW w:w="2948" w:type="dxa"/>
            <w:tcMar>
              <w:top w:w="80" w:type="dxa"/>
              <w:left w:w="100" w:type="dxa"/>
              <w:bottom w:w="80" w:type="dxa"/>
              <w:right w:w="100" w:type="dxa"/>
            </w:tcMar>
            <w:vAlign w:val="center"/>
          </w:tcPr>
          <w:p w14:paraId="5547C1E0" w14:textId="77777777" w:rsidR="002B5BB4" w:rsidRDefault="00B47641">
            <w:r>
              <w:rPr>
                <w:sz w:val="20"/>
              </w:rPr>
              <w:t>RSS као улаз; серверска нормализација</w:t>
            </w:r>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r>
              <w:rPr>
                <w:sz w:val="20"/>
              </w:rPr>
              <w:t>Агрегатор</w:t>
            </w:r>
          </w:p>
        </w:tc>
        <w:tc>
          <w:tcPr>
            <w:tcW w:w="2381" w:type="dxa"/>
            <w:tcMar>
              <w:top w:w="80" w:type="dxa"/>
              <w:left w:w="100" w:type="dxa"/>
              <w:bottom w:w="80" w:type="dxa"/>
              <w:right w:w="100" w:type="dxa"/>
            </w:tcMar>
            <w:vAlign w:val="center"/>
          </w:tcPr>
          <w:p w14:paraId="303EF12E" w14:textId="77777777" w:rsidR="002B5BB4" w:rsidRDefault="00B47641">
            <w:r>
              <w:rPr>
                <w:sz w:val="20"/>
              </w:rPr>
              <w:t xml:space="preserve">Јединствен ток и групе </w:t>
            </w:r>
            <w:r>
              <w:rPr>
                <w:sz w:val="20"/>
              </w:rPr>
              <w:lastRenderedPageBreak/>
              <w:t>тема</w:t>
            </w:r>
          </w:p>
        </w:tc>
        <w:tc>
          <w:tcPr>
            <w:tcW w:w="2381" w:type="dxa"/>
            <w:tcMar>
              <w:top w:w="80" w:type="dxa"/>
              <w:left w:w="100" w:type="dxa"/>
              <w:bottom w:w="80" w:type="dxa"/>
              <w:right w:w="100" w:type="dxa"/>
            </w:tcMar>
            <w:vAlign w:val="center"/>
          </w:tcPr>
          <w:p w14:paraId="79B75151" w14:textId="77777777" w:rsidR="002B5BB4" w:rsidRDefault="00B47641">
            <w:r>
              <w:rPr>
                <w:sz w:val="20"/>
              </w:rPr>
              <w:lastRenderedPageBreak/>
              <w:t>Непрозирно рангирање</w:t>
            </w:r>
          </w:p>
        </w:tc>
        <w:tc>
          <w:tcPr>
            <w:tcW w:w="2948" w:type="dxa"/>
            <w:tcMar>
              <w:top w:w="80" w:type="dxa"/>
              <w:left w:w="100" w:type="dxa"/>
              <w:bottom w:w="80" w:type="dxa"/>
              <w:right w:w="100" w:type="dxa"/>
            </w:tcMar>
            <w:vAlign w:val="center"/>
          </w:tcPr>
          <w:p w14:paraId="08B787F1" w14:textId="77777777" w:rsidR="002B5BB4" w:rsidRDefault="00B47641">
            <w:r>
              <w:rPr>
                <w:sz w:val="20"/>
              </w:rPr>
              <w:t xml:space="preserve">Експлицитна правила и мерљив </w:t>
            </w:r>
            <w:r>
              <w:rPr>
                <w:sz w:val="20"/>
              </w:rPr>
              <w:lastRenderedPageBreak/>
              <w:t>праг</w:t>
            </w:r>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r>
              <w:rPr>
                <w:sz w:val="20"/>
              </w:rPr>
              <w:t>Апликација медија</w:t>
            </w:r>
          </w:p>
        </w:tc>
        <w:tc>
          <w:tcPr>
            <w:tcW w:w="2381" w:type="dxa"/>
            <w:tcMar>
              <w:top w:w="80" w:type="dxa"/>
              <w:left w:w="100" w:type="dxa"/>
              <w:bottom w:w="80" w:type="dxa"/>
              <w:right w:w="100" w:type="dxa"/>
            </w:tcMar>
            <w:vAlign w:val="center"/>
          </w:tcPr>
          <w:p w14:paraId="1B25E91E" w14:textId="77777777" w:rsidR="002B5BB4" w:rsidRDefault="00B47641">
            <w:r>
              <w:rPr>
                <w:sz w:val="20"/>
              </w:rPr>
              <w:t>Богат приказ једног извора</w:t>
            </w:r>
          </w:p>
        </w:tc>
        <w:tc>
          <w:tcPr>
            <w:tcW w:w="2381" w:type="dxa"/>
            <w:tcMar>
              <w:top w:w="80" w:type="dxa"/>
              <w:left w:w="100" w:type="dxa"/>
              <w:bottom w:w="80" w:type="dxa"/>
              <w:right w:w="100" w:type="dxa"/>
            </w:tcMar>
            <w:vAlign w:val="center"/>
          </w:tcPr>
          <w:p w14:paraId="186CE28B" w14:textId="77777777" w:rsidR="002B5BB4" w:rsidRDefault="00B47641">
            <w:r>
              <w:rPr>
                <w:sz w:val="20"/>
              </w:rPr>
              <w:t>Нема поређења редакција</w:t>
            </w:r>
          </w:p>
        </w:tc>
        <w:tc>
          <w:tcPr>
            <w:tcW w:w="2948" w:type="dxa"/>
            <w:tcMar>
              <w:top w:w="80" w:type="dxa"/>
              <w:left w:w="100" w:type="dxa"/>
              <w:bottom w:w="80" w:type="dxa"/>
              <w:right w:w="100" w:type="dxa"/>
            </w:tcMar>
            <w:vAlign w:val="center"/>
          </w:tcPr>
          <w:p w14:paraId="243B9C48" w14:textId="77777777" w:rsidR="002B5BB4" w:rsidRDefault="00B47641">
            <w:r>
              <w:rPr>
                <w:sz w:val="20"/>
              </w:rPr>
              <w:t>Линк ка оригиналу уз заједнички приказ</w:t>
            </w:r>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r>
              <w:rPr>
                <w:sz w:val="20"/>
              </w:rPr>
              <w:t>Друштвени граф</w:t>
            </w:r>
          </w:p>
        </w:tc>
        <w:tc>
          <w:tcPr>
            <w:tcW w:w="2381" w:type="dxa"/>
            <w:tcMar>
              <w:top w:w="80" w:type="dxa"/>
              <w:left w:w="100" w:type="dxa"/>
              <w:bottom w:w="80" w:type="dxa"/>
              <w:right w:w="100" w:type="dxa"/>
            </w:tcMar>
            <w:vAlign w:val="center"/>
          </w:tcPr>
          <w:p w14:paraId="53751E0D" w14:textId="77777777" w:rsidR="002B5BB4" w:rsidRDefault="00B47641">
            <w:r>
              <w:rPr>
                <w:sz w:val="20"/>
              </w:rPr>
              <w:t>Брзина и више перспектива</w:t>
            </w:r>
          </w:p>
        </w:tc>
        <w:tc>
          <w:tcPr>
            <w:tcW w:w="2381" w:type="dxa"/>
            <w:tcMar>
              <w:top w:w="80" w:type="dxa"/>
              <w:left w:w="100" w:type="dxa"/>
              <w:bottom w:w="80" w:type="dxa"/>
              <w:right w:w="100" w:type="dxa"/>
            </w:tcMar>
            <w:vAlign w:val="center"/>
          </w:tcPr>
          <w:p w14:paraId="4F0EC9F0" w14:textId="77777777" w:rsidR="002B5BB4" w:rsidRDefault="00B47641">
            <w:r>
              <w:rPr>
                <w:sz w:val="20"/>
              </w:rPr>
              <w:t>Посредан извор, рангирање по ангажовању</w:t>
            </w:r>
          </w:p>
        </w:tc>
        <w:tc>
          <w:tcPr>
            <w:tcW w:w="2948" w:type="dxa"/>
            <w:tcMar>
              <w:top w:w="80" w:type="dxa"/>
              <w:left w:w="100" w:type="dxa"/>
              <w:bottom w:w="80" w:type="dxa"/>
              <w:right w:w="100" w:type="dxa"/>
            </w:tcMar>
            <w:vAlign w:val="center"/>
          </w:tcPr>
          <w:p w14:paraId="0565E7A3" w14:textId="77777777" w:rsidR="002B5BB4" w:rsidRDefault="00B47641">
            <w:r>
              <w:rPr>
                <w:sz w:val="20"/>
              </w:rPr>
              <w:t>Избор по категоријама уз видљива правила</w:t>
            </w:r>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r>
              <w:rPr>
                <w:sz w:val="20"/>
              </w:rPr>
              <w:t>Анализа тона</w:t>
            </w:r>
          </w:p>
        </w:tc>
        <w:tc>
          <w:tcPr>
            <w:tcW w:w="2381" w:type="dxa"/>
            <w:tcMar>
              <w:top w:w="80" w:type="dxa"/>
              <w:left w:w="100" w:type="dxa"/>
              <w:bottom w:w="80" w:type="dxa"/>
              <w:right w:w="100" w:type="dxa"/>
            </w:tcMar>
            <w:vAlign w:val="center"/>
          </w:tcPr>
          <w:p w14:paraId="43328163" w14:textId="77777777" w:rsidR="002B5BB4" w:rsidRDefault="00B47641">
            <w:r>
              <w:rPr>
                <w:sz w:val="20"/>
              </w:rPr>
              <w:t>Додатни контекст текста</w:t>
            </w:r>
          </w:p>
        </w:tc>
        <w:tc>
          <w:tcPr>
            <w:tcW w:w="2381" w:type="dxa"/>
            <w:tcMar>
              <w:top w:w="80" w:type="dxa"/>
              <w:left w:w="100" w:type="dxa"/>
              <w:bottom w:w="80" w:type="dxa"/>
              <w:right w:w="100" w:type="dxa"/>
            </w:tcMar>
            <w:vAlign w:val="center"/>
          </w:tcPr>
          <w:p w14:paraId="039A8F21" w14:textId="77777777" w:rsidR="002B5BB4" w:rsidRDefault="00B47641">
            <w:r>
              <w:rPr>
                <w:sz w:val="20"/>
              </w:rPr>
              <w:t>Не мери истинитост</w:t>
            </w:r>
          </w:p>
        </w:tc>
        <w:tc>
          <w:tcPr>
            <w:tcW w:w="2948" w:type="dxa"/>
            <w:tcMar>
              <w:top w:w="80" w:type="dxa"/>
              <w:left w:w="100" w:type="dxa"/>
              <w:bottom w:w="80" w:type="dxa"/>
              <w:right w:w="100" w:type="dxa"/>
            </w:tcMar>
            <w:vAlign w:val="center"/>
          </w:tcPr>
          <w:p w14:paraId="5B71A87F" w14:textId="77777777" w:rsidR="002B5BB4" w:rsidRDefault="00B47641">
            <w:r>
              <w:rPr>
                <w:sz w:val="20"/>
              </w:rPr>
              <w:t>Расподела три тона уз метаподатке</w:t>
            </w:r>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r>
              <w:rPr>
                <w:sz w:val="20"/>
              </w:rPr>
              <w:t>Семантички модел</w:t>
            </w:r>
          </w:p>
        </w:tc>
        <w:tc>
          <w:tcPr>
            <w:tcW w:w="2381" w:type="dxa"/>
            <w:tcMar>
              <w:top w:w="80" w:type="dxa"/>
              <w:left w:w="100" w:type="dxa"/>
              <w:bottom w:w="80" w:type="dxa"/>
              <w:right w:w="100" w:type="dxa"/>
            </w:tcMar>
            <w:vAlign w:val="center"/>
          </w:tcPr>
          <w:p w14:paraId="5E623951" w14:textId="77777777" w:rsidR="002B5BB4" w:rsidRDefault="00B47641">
            <w:r>
              <w:rPr>
                <w:sz w:val="20"/>
              </w:rPr>
              <w:t>Препознаје парафразе</w:t>
            </w:r>
          </w:p>
        </w:tc>
        <w:tc>
          <w:tcPr>
            <w:tcW w:w="2381" w:type="dxa"/>
            <w:tcMar>
              <w:top w:w="80" w:type="dxa"/>
              <w:left w:w="100" w:type="dxa"/>
              <w:bottom w:w="80" w:type="dxa"/>
              <w:right w:w="100" w:type="dxa"/>
            </w:tcMar>
            <w:vAlign w:val="center"/>
          </w:tcPr>
          <w:p w14:paraId="793DB1D0" w14:textId="77777777" w:rsidR="002B5BB4" w:rsidRDefault="00B47641">
            <w:r>
              <w:rPr>
                <w:sz w:val="20"/>
              </w:rPr>
              <w:t>Зависи од прага и домена</w:t>
            </w:r>
          </w:p>
        </w:tc>
        <w:tc>
          <w:tcPr>
            <w:tcW w:w="2948" w:type="dxa"/>
            <w:tcMar>
              <w:top w:w="80" w:type="dxa"/>
              <w:left w:w="100" w:type="dxa"/>
              <w:bottom w:w="80" w:type="dxa"/>
              <w:right w:w="100" w:type="dxa"/>
            </w:tcMar>
            <w:vAlign w:val="center"/>
          </w:tcPr>
          <w:p w14:paraId="4EDB6D26" w14:textId="77777777" w:rsidR="002B5BB4" w:rsidRDefault="00B47641">
            <w:r>
              <w:rPr>
                <w:sz w:val="20"/>
              </w:rPr>
              <w:t>Shadow режим и калибрација</w:t>
            </w:r>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r>
              <w:rPr>
                <w:b/>
                <w:sz w:val="20"/>
              </w:rPr>
              <w:t>Слој</w:t>
            </w:r>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r>
              <w:rPr>
                <w:b/>
                <w:sz w:val="20"/>
              </w:rPr>
              <w:t>Технологија</w:t>
            </w:r>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r>
              <w:rPr>
                <w:b/>
                <w:sz w:val="20"/>
              </w:rPr>
              <w:t>Верзија/опсег у пројекту</w:t>
            </w:r>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r>
              <w:rPr>
                <w:b/>
                <w:sz w:val="20"/>
              </w:rPr>
              <w:t>Улога</w:t>
            </w:r>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r>
              <w:rPr>
                <w:sz w:val="20"/>
              </w:rPr>
              <w:t>FastAPI</w:t>
            </w:r>
          </w:p>
        </w:tc>
        <w:tc>
          <w:tcPr>
            <w:tcW w:w="2268" w:type="dxa"/>
            <w:tcMar>
              <w:top w:w="80" w:type="dxa"/>
              <w:left w:w="100" w:type="dxa"/>
              <w:bottom w:w="80" w:type="dxa"/>
              <w:right w:w="100" w:type="dxa"/>
            </w:tcMar>
            <w:vAlign w:val="center"/>
          </w:tcPr>
          <w:p w14:paraId="0770FCC8" w14:textId="77777777" w:rsidR="002B5BB4" w:rsidRDefault="00B47641">
            <w:r>
              <w:rPr>
                <w:sz w:val="20"/>
              </w:rPr>
              <w:t>&gt;=0.116,&lt;1.0</w:t>
            </w:r>
          </w:p>
        </w:tc>
        <w:tc>
          <w:tcPr>
            <w:tcW w:w="3118" w:type="dxa"/>
            <w:tcMar>
              <w:top w:w="80" w:type="dxa"/>
              <w:left w:w="100" w:type="dxa"/>
              <w:bottom w:w="80" w:type="dxa"/>
              <w:right w:w="100" w:type="dxa"/>
            </w:tcMar>
            <w:vAlign w:val="center"/>
          </w:tcPr>
          <w:p w14:paraId="149E488B" w14:textId="77777777" w:rsidR="002B5BB4" w:rsidRDefault="00B47641">
            <w:r>
              <w:rPr>
                <w:sz w:val="20"/>
              </w:rPr>
              <w:t>HTTP руте и OpenAPI</w:t>
            </w:r>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r>
              <w:rPr>
                <w:sz w:val="20"/>
              </w:rPr>
              <w:t>SQLAlchemy</w:t>
            </w:r>
          </w:p>
        </w:tc>
        <w:tc>
          <w:tcPr>
            <w:tcW w:w="2268" w:type="dxa"/>
            <w:tcMar>
              <w:top w:w="80" w:type="dxa"/>
              <w:left w:w="100" w:type="dxa"/>
              <w:bottom w:w="80" w:type="dxa"/>
              <w:right w:w="100" w:type="dxa"/>
            </w:tcMar>
            <w:vAlign w:val="center"/>
          </w:tcPr>
          <w:p w14:paraId="0EEE0E45" w14:textId="77777777" w:rsidR="002B5BB4" w:rsidRDefault="00B47641">
            <w:r>
              <w:rPr>
                <w:sz w:val="20"/>
              </w:rPr>
              <w:t>&gt;=2.0.43,&lt;3.0</w:t>
            </w:r>
          </w:p>
        </w:tc>
        <w:tc>
          <w:tcPr>
            <w:tcW w:w="3118" w:type="dxa"/>
            <w:tcMar>
              <w:top w:w="80" w:type="dxa"/>
              <w:left w:w="100" w:type="dxa"/>
              <w:bottom w:w="80" w:type="dxa"/>
              <w:right w:w="100" w:type="dxa"/>
            </w:tcMar>
            <w:vAlign w:val="center"/>
          </w:tcPr>
          <w:p w14:paraId="5DA620FD" w14:textId="77777777" w:rsidR="002B5BB4" w:rsidRDefault="00B47641">
            <w:r>
              <w:rPr>
                <w:sz w:val="20"/>
              </w:rPr>
              <w:t>Асинхрони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PostgreSQL / asyncpg</w:t>
            </w:r>
          </w:p>
        </w:tc>
        <w:tc>
          <w:tcPr>
            <w:tcW w:w="2268" w:type="dxa"/>
            <w:tcMar>
              <w:top w:w="80" w:type="dxa"/>
              <w:left w:w="100" w:type="dxa"/>
              <w:bottom w:w="80" w:type="dxa"/>
              <w:right w:w="100" w:type="dxa"/>
            </w:tcMar>
            <w:vAlign w:val="center"/>
          </w:tcPr>
          <w:p w14:paraId="72B1D964" w14:textId="77777777" w:rsidR="002B5BB4" w:rsidRDefault="00B47641">
            <w:r>
              <w:rPr>
                <w:sz w:val="20"/>
              </w:rPr>
              <w:t>asyncpg &gt;=0.30,&lt;1.0</w:t>
            </w:r>
          </w:p>
        </w:tc>
        <w:tc>
          <w:tcPr>
            <w:tcW w:w="3118" w:type="dxa"/>
            <w:tcMar>
              <w:top w:w="80" w:type="dxa"/>
              <w:left w:w="100" w:type="dxa"/>
              <w:bottom w:w="80" w:type="dxa"/>
              <w:right w:w="100" w:type="dxa"/>
            </w:tcMar>
            <w:vAlign w:val="center"/>
          </w:tcPr>
          <w:p w14:paraId="2BEDBB21" w14:textId="77777777" w:rsidR="002B5BB4" w:rsidRDefault="00B47641">
            <w:r>
              <w:rPr>
                <w:sz w:val="20"/>
              </w:rPr>
              <w:t>Трајно чување</w:t>
            </w:r>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r>
              <w:rPr>
                <w:sz w:val="20"/>
              </w:rPr>
              <w:t>Аналитика</w:t>
            </w:r>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r>
              <w:rPr>
                <w:sz w:val="20"/>
              </w:rPr>
              <w:t>Векторске репрезентације</w:t>
            </w:r>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r>
              <w:rPr>
                <w:sz w:val="20"/>
              </w:rPr>
              <w:t>Програмски језик</w:t>
            </w:r>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r>
              <w:rPr>
                <w:sz w:val="20"/>
              </w:rPr>
              <w:t>Кориснички интерфејс</w:t>
            </w:r>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r>
              <w:rPr>
                <w:sz w:val="20"/>
              </w:rPr>
              <w:t>Локална база</w:t>
            </w:r>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r>
              <w:rPr>
                <w:sz w:val="20"/>
              </w:rPr>
              <w:t>Мрежни клијент</w:t>
            </w:r>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r>
              <w:rPr>
                <w:sz w:val="20"/>
              </w:rPr>
              <w:t>Убризгавање зависности</w:t>
            </w:r>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r>
              <w:rPr>
                <w:sz w:val="20"/>
              </w:rPr>
              <w:t>WorkManager</w:t>
            </w:r>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r>
              <w:rPr>
                <w:sz w:val="20"/>
              </w:rPr>
              <w:t>Позадински рад</w:t>
            </w:r>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Захваљујући томе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pPr>
        <w:pStyle w:val="Osnovnitekst"/>
      </w:pPr>
      <w:r>
        <w:rP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rP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lastRenderedPageBreak/>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Захваљујући томе, претрага парова заснована на проширењу </w:t>
      </w:r>
      <w:r>
        <w:rPr>
          <w:i/>
        </w:rPr>
        <w:t>pgvector</w:t>
      </w:r>
      <w:r>
        <w:t xml:space="preserve"> може бити замењена имплементацијом у програмском језику </w:t>
      </w:r>
      <w:r>
        <w:rPr>
          <w:i/>
        </w:rPr>
        <w:t>Python</w:t>
      </w:r>
      <w:r>
        <w:t xml:space="preserve">, а </w:t>
      </w:r>
      <w:r>
        <w:rPr>
          <w:i/>
        </w:rPr>
        <w:t>Groq</w:t>
      </w:r>
      <w:r>
        <w:t xml:space="preserve"> стратегија случајном, без промене рута и репозиторијума. Технолошке одлуке тако остају локалне, јер се промена једног слоја не преноси на остале делове система.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експериментално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lastRenderedPageBreak/>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for step in self._steps:</w:t>
            </w:r>
            <w:r>
              <w:br/>
              <w:t xml:space="preserve">    contexts = await step.process(contexts)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lastRenderedPageBreak/>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ToneAnalysisStrategy</w:t>
      </w:r>
      <w:r>
        <w:t xml:space="preserve"> представља апстракцију изнад конкретног начина анализе. Factory на основу подешавања бира случајну или </w:t>
      </w:r>
      <w:r>
        <w:rPr>
          <w:i/>
        </w:rPr>
        <w:t>Groq</w:t>
      </w:r>
      <w:r>
        <w:t xml:space="preserve"> имплементацију. Ако је изабран </w:t>
      </w:r>
      <w:r>
        <w:rPr>
          <w:i/>
        </w:rPr>
        <w:t>Groq</w:t>
      </w:r>
      <w:r>
        <w:t>, а кључ није доступан, апликација намерно прекида стартовање са јасном конфигурационом грешком.</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 Поновна употреба већ израчунате анализе смањује број спољних позива и чини понављање обраде јефтиним.</w:t>
      </w:r>
    </w:p>
    <w:p w14:paraId="547CAF68" w14:textId="77777777" w:rsidR="002B5BB4" w:rsidRDefault="00B47641">
      <w:pPr>
        <w:pStyle w:val="SlikeTabele"/>
      </w:pPr>
      <w:r>
        <w:rPr>
          <w:noProof/>
        </w:rPr>
        <w:lastRenderedPageBreak/>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19323D8F" w14:textId="77777777" w:rsidR="002B5BB4" w:rsidRDefault="00B47641">
      <w:pPr>
        <w:pStyle w:val="Osnovnitekst"/>
      </w:pPr>
      <w:r>
        <w:t>LLM одговор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Нулти укупан резултат се одбија као неважећи.</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percentages[adjustment_index] = round(</w:t>
            </w:r>
            <w:r>
              <w:br/>
              <w:t xml:space="preserve">    percentages[adjustment_index]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lastRenderedPageBreak/>
        <w:t>SemanticPairEvaluator</w:t>
      </w:r>
      <w:r>
        <w:t xml:space="preserve"> израчунава косинусну сличност. Одлука је позитивна када је вредност најмање 0,69. Интервал од 0,60 до 0,80 означен је као граничан јер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 Поновна употреба већ израчунатих вектора осетно скраћује трајање једног циклуса груписања.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bookmarkStart w:id="41" w:name="_Toc241499965"/>
      <w:r>
        <w:t>Табела 4.1.1. Основна поља Article API модела</w:t>
      </w:r>
      <w:bookmarkEnd w:id="41"/>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r>
              <w:rPr>
                <w:b/>
                <w:sz w:val="20"/>
              </w:rPr>
              <w:t>Поље</w:t>
            </w:r>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r>
              <w:rPr>
                <w:b/>
                <w:sz w:val="20"/>
              </w:rPr>
              <w:t>Тип</w:t>
            </w:r>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r>
              <w:rPr>
                <w:b/>
                <w:sz w:val="20"/>
              </w:rPr>
              <w:t>Значење</w:t>
            </w:r>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r>
              <w:rPr>
                <w:sz w:val="20"/>
              </w:rPr>
              <w:t>Стабилни идентификатор чланка</w:t>
            </w:r>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r>
              <w:rPr>
                <w:sz w:val="20"/>
              </w:rPr>
              <w:t>Наслов и очишћени сажетак</w:t>
            </w:r>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string / enum</w:t>
            </w:r>
          </w:p>
        </w:tc>
        <w:tc>
          <w:tcPr>
            <w:tcW w:w="5102" w:type="dxa"/>
            <w:tcMar>
              <w:top w:w="80" w:type="dxa"/>
              <w:left w:w="100" w:type="dxa"/>
              <w:bottom w:w="80" w:type="dxa"/>
              <w:right w:w="100" w:type="dxa"/>
            </w:tcMar>
            <w:vAlign w:val="center"/>
          </w:tcPr>
          <w:p w14:paraId="1A28D762" w14:textId="77777777" w:rsidR="002B5BB4" w:rsidRDefault="00B47641">
            <w:r>
              <w:rPr>
                <w:sz w:val="20"/>
              </w:rPr>
              <w:t>Извор и нормализована категорија</w:t>
            </w:r>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r>
              <w:rPr>
                <w:sz w:val="20"/>
              </w:rPr>
              <w:t>publishedAt</w:t>
            </w:r>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r>
              <w:rPr>
                <w:sz w:val="20"/>
              </w:rPr>
              <w:t>Време објављивања са зоном</w:t>
            </w:r>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r>
              <w:rPr>
                <w:sz w:val="20"/>
              </w:rPr>
              <w:t>imageUrl / articleUrl</w:t>
            </w:r>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r>
              <w:rPr>
                <w:sz w:val="20"/>
              </w:rPr>
              <w:t>Слика и оригинални чланак</w:t>
            </w:r>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r>
              <w:rPr>
                <w:sz w:val="20"/>
              </w:rPr>
              <w:t>relatedCityIds</w:t>
            </w:r>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r>
              <w:rPr>
                <w:sz w:val="20"/>
              </w:rPr>
              <w:t>Повезани градови</w:t>
            </w:r>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r>
              <w:rPr>
                <w:sz w:val="20"/>
              </w:rPr>
              <w:t>analysis.tone</w:t>
            </w:r>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r>
              <w:rPr>
                <w:sz w:val="20"/>
              </w:rPr>
              <w:t>Негативан, неутралан и позитиван проценат</w:t>
            </w:r>
          </w:p>
        </w:tc>
      </w:tr>
    </w:tbl>
    <w:p w14:paraId="2B5B7EFD" w14:textId="77777777" w:rsidR="002B5BB4" w:rsidRDefault="00B47641">
      <w:pPr>
        <w:pStyle w:val="IIInivonaslova-Odeljak"/>
      </w:pPr>
      <w:bookmarkStart w:id="42" w:name="_Toc241499906"/>
      <w:r>
        <w:t>Конфигурација и распоређивање</w:t>
      </w:r>
      <w:bookmarkEnd w:id="42"/>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3" w:name="_Toc241499944"/>
      <w:r>
        <w:t>Слика 4.1.9. Развојно распоређивање система</w:t>
      </w:r>
      <w:bookmarkEnd w:id="43"/>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t>uvicorn app.main:app --reload</w:t>
            </w:r>
          </w:p>
        </w:tc>
      </w:tr>
    </w:tbl>
    <w:p w14:paraId="33F7F62D" w14:textId="77777777" w:rsidR="002B5BB4" w:rsidRDefault="00B47641">
      <w:pPr>
        <w:pStyle w:val="Oznakakoda"/>
      </w:pPr>
      <w:bookmarkStart w:id="44" w:name="_Toc241499970"/>
      <w:r>
        <w:t>Листинг 4.1.3. Основне команде за локално покретање серверског дела</w:t>
      </w:r>
      <w:bookmarkEnd w:id="44"/>
    </w:p>
    <w:p w14:paraId="4AABEE18" w14:textId="77777777" w:rsidR="002B5BB4" w:rsidRDefault="00B47641">
      <w:pPr>
        <w:pStyle w:val="Osnovnitekst"/>
      </w:pPr>
      <w:r>
        <w:t xml:space="preserve">Осетљива подешавања се читају из .env датотеке. Кључ за </w:t>
      </w:r>
      <w:r>
        <w:rPr>
          <w:i/>
        </w:rPr>
        <w:t>Groq</w:t>
      </w:r>
      <w:r>
        <w:t xml:space="preserve"> је типа </w:t>
      </w:r>
      <w:r>
        <w:rPr>
          <w:i/>
        </w:rPr>
        <w:t>SecretStr</w:t>
      </w:r>
      <w:r>
        <w:t xml:space="preserve"> и не треба да буде смештен у изворни код. Остала подешавања обухватају модел, верзију промпта, </w:t>
      </w:r>
      <w:r>
        <w:rPr>
          <w:i/>
        </w:rPr>
        <w:t>timeout</w:t>
      </w:r>
      <w:r>
        <w:t>, број покушаја, праг груписања и временски прозор кандидата.</w:t>
      </w:r>
    </w:p>
    <w:p w14:paraId="40D9EF14" w14:textId="77777777" w:rsidR="002B5BB4" w:rsidRDefault="00B47641">
      <w:pPr>
        <w:pStyle w:val="IInivonaslova-Potpoglavlje"/>
      </w:pPr>
      <w:bookmarkStart w:id="45" w:name="_Toc241499907"/>
      <w:r>
        <w:t>Клијентски део система</w:t>
      </w:r>
      <w:bookmarkEnd w:id="45"/>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com.example.newsagreggator, са око 9500 линија </w:t>
      </w:r>
      <w:r>
        <w:rPr>
          <w:i/>
        </w:rPr>
        <w:t>Kotlin</w:t>
      </w:r>
      <w:r>
        <w:t xml:space="preserve"> кода распоређених у 145 датотека изворног скупа. Пакети прате архитектонске слојеве: ui садржи екране и вишекратне компоненте, stateholders и commands држе стање и корисничке радње, repository и data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lastRenderedPageBreak/>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6" w:name="_Toc241499945"/>
      <w:r>
        <w:t xml:space="preserve">Слика 4.2.1. Слојевита архитектура </w:t>
      </w:r>
      <w:r>
        <w:rPr>
          <w:i/>
        </w:rPr>
        <w:t>Android</w:t>
      </w:r>
      <w:r>
        <w:t xml:space="preserve"> апликације</w:t>
      </w:r>
      <w:bookmarkEnd w:id="46"/>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7" w:name="_Toc241499946"/>
      <w:r>
        <w:t xml:space="preserve">Слика 4.2.2. Ток података у </w:t>
      </w:r>
      <w:r>
        <w:rPr>
          <w:i/>
        </w:rPr>
        <w:t>Android</w:t>
      </w:r>
      <w:r>
        <w:t xml:space="preserve"> апликацији</w:t>
      </w:r>
      <w:bookmarkEnd w:id="47"/>
    </w:p>
    <w:p w14:paraId="2AB147DD" w14:textId="77777777" w:rsidR="002B5BB4" w:rsidRDefault="00B47641">
      <w:pPr>
        <w:pStyle w:val="IIInivonaslova-Odeljak"/>
      </w:pPr>
      <w:bookmarkStart w:id="48" w:name="_Toc241499908"/>
      <w:r>
        <w:lastRenderedPageBreak/>
        <w:t>Мрежни и локални слој</w:t>
      </w:r>
      <w:bookmarkEnd w:id="48"/>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9" w:name="_Toc241499947"/>
      <w:r>
        <w:t>Слика 4.2.3. Освежавање вести уз задржавање кеша</w:t>
      </w:r>
      <w:bookmarkEnd w:id="49"/>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Тиме је </w:t>
      </w:r>
      <w:r>
        <w:rPr>
          <w:i/>
        </w:rPr>
        <w:t>Room</w:t>
      </w:r>
      <w:r>
        <w:t xml:space="preserve">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чиме се избегавају осиротели редови.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50" w:name="_Toc241499948"/>
      <w:r>
        <w:t xml:space="preserve">Слика 4.2.4. Локална </w:t>
      </w:r>
      <w:r>
        <w:rPr>
          <w:i/>
        </w:rPr>
        <w:t>Room</w:t>
      </w:r>
      <w:r>
        <w:t xml:space="preserve"> шема и трајна подешавања</w:t>
      </w:r>
      <w:bookmarkEnd w:id="50"/>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1" w:name="_Toc241499909"/>
      <w:r>
        <w:t>Управљање стањем</w:t>
      </w:r>
      <w:bookmarkEnd w:id="51"/>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2" w:name="_Toc241499949"/>
      <w:r>
        <w:t>Слика 4.2.5. Састављање стања корисничког интерфејса</w:t>
      </w:r>
      <w:bookmarkEnd w:id="52"/>
    </w:p>
    <w:p w14:paraId="1DD8359B" w14:textId="77777777" w:rsidR="002B5BB4" w:rsidRDefault="00B47641">
      <w:pPr>
        <w:pStyle w:val="Osnovnitekst"/>
      </w:pPr>
      <w:r>
        <w:t xml:space="preserve">Резултат је једносмеран круг: стање се приказује, корисничка радња се преко </w:t>
      </w:r>
      <w:r>
        <w:rPr>
          <w:i/>
        </w:rPr>
        <w:t>callback</w:t>
      </w:r>
      <w:r>
        <w:t xml:space="preserve"> функције враћа држачу стања, он покреће методу или Command класу, а промена у репозиторијуму изазива нову емисију тока и нови приказ. Екрани при том не знају одакле је промена дошла, што их чини подједнако употребљивим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3" w:name="_Toc241499910"/>
      <w:r>
        <w:t>Кориснички интерфејс</w:t>
      </w:r>
      <w:bookmarkEnd w:id="53"/>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4" w:name="_Toc241499911"/>
      <w:r>
        <w:lastRenderedPageBreak/>
        <w:t>Позадински рад и отпорност на мрежу</w:t>
      </w:r>
      <w:bookmarkEnd w:id="54"/>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чиме се непотребна буђења избегавају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5" w:name="_Toc241499950"/>
      <w:r>
        <w:t>Слика 4.2.6. Позадинско освежавање и отпорност на мрежне грешке</w:t>
      </w:r>
      <w:bookmarkEnd w:id="55"/>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Ова одлука даје предност доступности већ преузетог садржаја над строгом свежином.</w:t>
      </w:r>
    </w:p>
    <w:p w14:paraId="3712FEF6" w14:textId="77777777" w:rsidR="002B5BB4" w:rsidRDefault="00B47641">
      <w:pPr>
        <w:pStyle w:val="Inivonaslova-Poglavlje"/>
      </w:pPr>
      <w:bookmarkStart w:id="56" w:name="_Toc241499912"/>
      <w:r>
        <w:lastRenderedPageBreak/>
        <w:t>Функционалности</w:t>
      </w:r>
      <w:bookmarkEnd w:id="56"/>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7" w:name="_Toc241499913"/>
      <w:r>
        <w:t>Почетни ток, категорије и претрага</w:t>
      </w:r>
      <w:bookmarkEnd w:id="57"/>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8" w:name="_Toc241499951"/>
      <w:r>
        <w:lastRenderedPageBreak/>
        <w:t>Слика 5.1.1. Почетни екран апликације (лево) и претрага вести по унетом појму (десно)</w:t>
      </w:r>
      <w:bookmarkEnd w:id="58"/>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9" w:name="_Toc241499952"/>
      <w:r>
        <w:t>Слика 5.1.2. Приказ вести из категорије „Бизнис” (лево) и бочни навигациони мени са праћеним категоријама (десно)</w:t>
      </w:r>
      <w:bookmarkEnd w:id="59"/>
    </w:p>
    <w:p w14:paraId="7D63AF8B" w14:textId="77777777" w:rsidR="002B5BB4" w:rsidRDefault="00B47641">
      <w:pPr>
        <w:pStyle w:val="IInivonaslova-Potpoglavlje"/>
      </w:pPr>
      <w:bookmarkStart w:id="60" w:name="_Toc241499914"/>
      <w:r>
        <w:t>Чување и историја</w:t>
      </w:r>
      <w:bookmarkEnd w:id="60"/>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1" w:name="_Toc241499953"/>
      <w:r>
        <w:t>Слика 5.2.1. Потврда о чувању вести са опцијом поништавања (лево) и екран „Сачувано” са чланцима доступним ван мреже (десно)</w:t>
      </w:r>
      <w:bookmarkEnd w:id="61"/>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2" w:name="_Toc241499954"/>
      <w:r>
        <w:lastRenderedPageBreak/>
        <w:t>Слика 5.2.2. Историја читања пре отварања првог чланка (лево) и након што је чланак означен као прочитан (десно)</w:t>
      </w:r>
      <w:bookmarkEnd w:id="62"/>
    </w:p>
    <w:p w14:paraId="1FF2D446" w14:textId="77777777" w:rsidR="002B5BB4" w:rsidRDefault="00B47641">
      <w:pPr>
        <w:pStyle w:val="IInivonaslova-Potpoglavlje"/>
      </w:pPr>
      <w:bookmarkStart w:id="63" w:name="_Toc241499915"/>
      <w:r>
        <w:t>Дневни преглед</w:t>
      </w:r>
      <w:bookmarkEnd w:id="63"/>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4" w:name="_Toc241499955"/>
      <w:r>
        <w:t>Слика 5.3.1. Избор праћених категорија у бочном менију (лево) и екран дневног прегледа са процењеним временом читања (десно)</w:t>
      </w:r>
      <w:bookmarkEnd w:id="64"/>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5" w:name="_Toc241499956"/>
      <w:r>
        <w:t>Слика 5.3.2. Секција „За вас” са вестима из праћених категорија</w:t>
      </w:r>
      <w:bookmarkEnd w:id="65"/>
    </w:p>
    <w:p w14:paraId="37DD7548" w14:textId="77777777" w:rsidR="002B5BB4" w:rsidRDefault="00B47641">
      <w:pPr>
        <w:pStyle w:val="IInivonaslova-Potpoglavlje"/>
      </w:pPr>
      <w:bookmarkStart w:id="66" w:name="_Toc241499916"/>
      <w:r>
        <w:t>Анализа тона</w:t>
      </w:r>
      <w:bookmarkEnd w:id="66"/>
    </w:p>
    <w:p w14:paraId="45E91064" w14:textId="77777777" w:rsidR="002B5BB4" w:rsidRDefault="00B47641">
      <w:pPr>
        <w:pStyle w:val="Osnovnitekst"/>
      </w:pPr>
      <w:r>
        <w:t xml:space="preserve">За сваки чланак сервер враћа негативан, неутралан и позитиван проценат. </w:t>
      </w:r>
      <w:r>
        <w:rPr>
          <w:i/>
        </w:rPr>
        <w:t>Android</w:t>
      </w:r>
      <w:r>
        <w:t xml:space="preserve"> </w:t>
      </w:r>
      <w:r>
        <w:rPr>
          <w:i/>
        </w:rPr>
        <w:t>ArticleToneService</w:t>
      </w:r>
      <w:r>
        <w:t xml:space="preserve"> преузима сачувану анализу и претвара је у приказну расподелу.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Тиме се избегава утисак да апликација процењује истинитост вести, јер се приказује само расподела језичког тона.</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7" w:name="_Toc241499957"/>
      <w:r>
        <w:t>Слика 5.4.1. Картица вести са траком расподеле тона испод сажетка</w:t>
      </w:r>
      <w:bookmarkEnd w:id="67"/>
    </w:p>
    <w:p w14:paraId="6BD979AD" w14:textId="77777777" w:rsidR="002B5BB4" w:rsidRDefault="00B47641">
      <w:pPr>
        <w:pStyle w:val="IInivonaslova-Potpoglavlje"/>
      </w:pPr>
      <w:bookmarkStart w:id="68" w:name="_Toc241499917"/>
      <w:r>
        <w:t>Групе сродних вести</w:t>
      </w:r>
      <w:bookmarkEnd w:id="68"/>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Тренутни </w:t>
      </w:r>
      <w:r>
        <w:rPr>
          <w:i/>
        </w:rPr>
        <w:t>Android</w:t>
      </w:r>
      <w:r>
        <w:t xml:space="preserve"> модул подржава заменљиву </w:t>
      </w:r>
      <w:r>
        <w:rPr>
          <w:i/>
        </w:rPr>
        <w:t>ArticleGroupingStrategy</w:t>
      </w:r>
      <w:r>
        <w:t xml:space="preserve">; док се серверски </w:t>
      </w:r>
      <w:r>
        <w:rPr>
          <w:i/>
        </w:rPr>
        <w:t>shadow</w:t>
      </w:r>
      <w:r>
        <w:t xml:space="preserve"> резултати калибришу, могуће је користити контролисану </w:t>
      </w:r>
      <w:r>
        <w:rPr>
          <w:i/>
        </w:rPr>
        <w:t>mock</w:t>
      </w:r>
      <w:r>
        <w:t xml:space="preserve"> стратегију.</w:t>
      </w:r>
    </w:p>
    <w:p w14:paraId="407075C0" w14:textId="77777777" w:rsidR="002B5BB4" w:rsidRDefault="00B47641">
      <w:pPr>
        <w:pStyle w:val="Osnovnitekst"/>
      </w:pPr>
      <w:r>
        <w:t>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9" w:name="_Toc241499958"/>
      <w:r>
        <w:t>Слика 5.5.1. Листа семантичких група (лево) и детаљан приказ групе о истом догађају (десно)</w:t>
      </w:r>
      <w:bookmarkEnd w:id="69"/>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70" w:name="_Toc241499959"/>
      <w:r>
        <w:t>Слика 5.5.2. Група вести која обједињује извештаје више извора о истом догађају</w:t>
      </w:r>
      <w:bookmarkEnd w:id="70"/>
    </w:p>
    <w:p w14:paraId="5259DD73" w14:textId="77777777" w:rsidR="002B5BB4" w:rsidRDefault="00B47641">
      <w:pPr>
        <w:pStyle w:val="IInivonaslova-Potpoglavlje"/>
      </w:pPr>
      <w:bookmarkStart w:id="71" w:name="_Toc241499918"/>
      <w:r>
        <w:lastRenderedPageBreak/>
        <w:t>Локацијски релевантне вести</w:t>
      </w:r>
      <w:bookmarkEnd w:id="71"/>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2" w:name="_Toc241499960"/>
      <w:r>
        <w:t>Слика 5.6.1. Одређивање најближег града помоћу GPS-а (лево) и локалне вести за изабрани град (десно)</w:t>
      </w:r>
      <w:bookmarkEnd w:id="72"/>
    </w:p>
    <w:p w14:paraId="46A774D5" w14:textId="77777777" w:rsidR="002B5BB4" w:rsidRDefault="00B47641">
      <w:pPr>
        <w:pStyle w:val="IInivonaslova-Potpoglavlje"/>
      </w:pPr>
      <w:bookmarkStart w:id="73" w:name="_Toc241499919"/>
      <w:r>
        <w:t>Ударне вести и обавештења</w:t>
      </w:r>
      <w:bookmarkEnd w:id="73"/>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4" w:name="_Toc241499920"/>
      <w:r>
        <w:t>Гласовно читање</w:t>
      </w:r>
      <w:bookmarkEnd w:id="74"/>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5" w:name="_Toc241499921"/>
      <w:r>
        <w:t>PDF извоз и дељење</w:t>
      </w:r>
      <w:bookmarkEnd w:id="75"/>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6" w:name="_Toc241499961"/>
      <w:r>
        <w:t>Слика 5.9.1. Дељење вести системским дијалогом (лево) и PDF документ настао извозом чланка (десно)</w:t>
      </w:r>
      <w:bookmarkEnd w:id="76"/>
    </w:p>
    <w:p w14:paraId="6BC97891" w14:textId="77777777" w:rsidR="002B5BB4" w:rsidRDefault="00B47641">
      <w:pPr>
        <w:pStyle w:val="IInivonaslova-Potpoglavlje"/>
      </w:pPr>
      <w:bookmarkStart w:id="77" w:name="_Toc241499922"/>
      <w:r>
        <w:lastRenderedPageBreak/>
        <w:t>Подешавања и изглед</w:t>
      </w:r>
      <w:bookmarkEnd w:id="77"/>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8" w:name="_Toc241499962"/>
      <w:r>
        <w:t>Слика 5.10.1. Екран подешавања (лево) и компактни приказ листе вести (десно)</w:t>
      </w:r>
      <w:bookmarkEnd w:id="78"/>
    </w:p>
    <w:p w14:paraId="5A097F16" w14:textId="77777777" w:rsidR="002B5BB4" w:rsidRDefault="00B47641">
      <w:pPr>
        <w:pStyle w:val="Inivonaslova-Poglavlje"/>
      </w:pPr>
      <w:bookmarkStart w:id="79" w:name="_Toc241499923"/>
      <w:r>
        <w:lastRenderedPageBreak/>
        <w:t>Тестирање и верификација</w:t>
      </w:r>
      <w:bookmarkEnd w:id="79"/>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80" w:name="_Toc241499924"/>
      <w:r>
        <w:t>Аутоматизовани тестови</w:t>
      </w:r>
      <w:bookmarkEnd w:id="80"/>
    </w:p>
    <w:p w14:paraId="09580093" w14:textId="77777777" w:rsidR="002B5BB4" w:rsidRDefault="00B47641">
      <w:pPr>
        <w:pStyle w:val="Osnovnitekst"/>
      </w:pPr>
      <w:r>
        <w:t xml:space="preserve">Серверски део садржи 39 пословних тестова распоређених у пет датотека, поред </w:t>
      </w:r>
      <w:r>
        <w:rPr>
          <w:i/>
        </w:rPr>
        <w:t>pytest</w:t>
      </w:r>
      <w:r>
        <w:t xml:space="preserve"> </w:t>
      </w:r>
      <w:r>
        <w:rPr>
          <w:i/>
        </w:rPr>
        <w:t>fixture</w:t>
      </w:r>
      <w:r>
        <w:t xml:space="preserve"> функције за привремену базу. Покривени су root и health </w:t>
      </w:r>
      <w:r>
        <w:rPr>
          <w:i/>
        </w:rPr>
        <w:t>endpoint</w:t>
      </w:r>
      <w:r>
        <w:t xml:space="preserve">, листа и детаљ чланка, неактивни и непотпуно анализирани записи, RSS парсер, јединствени метаподаци извора, нормализација URL адресе, обе стратегије тона, </w:t>
      </w:r>
      <w:r>
        <w:rPr>
          <w:i/>
        </w:rPr>
        <w:t>pipeline</w:t>
      </w:r>
      <w:r>
        <w:t xml:space="preserve">,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t xml:space="preserve">Семантички део има тестове учитавања означених парова, одбијања неважећих примера, избора прага, генерисања кандидата, </w:t>
      </w:r>
      <w:r>
        <w:rPr>
          <w:i/>
        </w:rPr>
        <w:t>benchmark</w:t>
      </w:r>
      <w:r>
        <w:t xml:space="preserve"> поделе без цурења података, чувања </w:t>
      </w:r>
      <w:r>
        <w:rPr>
          <w:i/>
        </w:rPr>
        <w:t>shadow</w:t>
      </w:r>
      <w:r>
        <w:t xml:space="preserve"> одлука и интеграције са polling сервисом. Тиме се не проверава само алгоритам, већ и репродуктивност експерименталног поступка.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61 локални јединични тест у двадесет датотека, уз основни инструментални тест. Покривени су мапирање API модела, </w:t>
      </w:r>
      <w:r>
        <w:rPr>
          <w:i/>
        </w:rPr>
        <w:t>DataSource</w:t>
      </w:r>
      <w:r>
        <w:t xml:space="preserve">, нормализација српског текста, </w:t>
      </w:r>
      <w:r>
        <w:rPr>
          <w:i/>
        </w:rPr>
        <w:t>Levenshtein</w:t>
      </w:r>
      <w:r>
        <w:t xml:space="preserve">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брзо и при свакој измени.</w:t>
      </w:r>
    </w:p>
    <w:p w14:paraId="2D1B90C1" w14:textId="77777777" w:rsidR="002B5BB4" w:rsidRDefault="00B47641">
      <w:pPr>
        <w:pStyle w:val="Oznakatabele"/>
      </w:pPr>
      <w:bookmarkStart w:id="81" w:name="_Toc241499966"/>
      <w:r>
        <w:t>Табела 6.1.1. Примери тест сценарија</w:t>
      </w:r>
      <w:bookmarkEnd w:id="81"/>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r>
              <w:rPr>
                <w:b/>
                <w:sz w:val="20"/>
              </w:rPr>
              <w:t>Област</w:t>
            </w:r>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r>
              <w:rPr>
                <w:b/>
                <w:sz w:val="20"/>
              </w:rPr>
              <w:t>Пример провере</w:t>
            </w:r>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r>
              <w:rPr>
                <w:b/>
                <w:sz w:val="20"/>
              </w:rPr>
              <w:t>Очекивани резултат</w:t>
            </w:r>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r>
              <w:rPr>
                <w:sz w:val="20"/>
              </w:rPr>
              <w:t>Захтев за непостојећи или неактиван чланак</w:t>
            </w:r>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r>
              <w:rPr>
                <w:sz w:val="20"/>
              </w:rPr>
              <w:t>Тон</w:t>
            </w:r>
          </w:p>
        </w:tc>
        <w:tc>
          <w:tcPr>
            <w:tcW w:w="3969" w:type="dxa"/>
            <w:tcMar>
              <w:top w:w="80" w:type="dxa"/>
              <w:left w:w="100" w:type="dxa"/>
              <w:bottom w:w="80" w:type="dxa"/>
              <w:right w:w="100" w:type="dxa"/>
            </w:tcMar>
            <w:vAlign w:val="center"/>
          </w:tcPr>
          <w:p w14:paraId="2AFE58BE" w14:textId="77777777" w:rsidR="002B5BB4" w:rsidRDefault="00B47641">
            <w:r>
              <w:rPr>
                <w:sz w:val="20"/>
              </w:rPr>
              <w:t>LLM вредности са ненултим збиром</w:t>
            </w:r>
          </w:p>
        </w:tc>
        <w:tc>
          <w:tcPr>
            <w:tcW w:w="3402" w:type="dxa"/>
            <w:tcMar>
              <w:top w:w="80" w:type="dxa"/>
              <w:left w:w="100" w:type="dxa"/>
              <w:bottom w:w="80" w:type="dxa"/>
              <w:right w:w="100" w:type="dxa"/>
            </w:tcMar>
            <w:vAlign w:val="center"/>
          </w:tcPr>
          <w:p w14:paraId="7A9F331B" w14:textId="77777777" w:rsidR="002B5BB4" w:rsidRDefault="00B47641">
            <w:r>
              <w:rPr>
                <w:sz w:val="20"/>
              </w:rPr>
              <w:t>Проценти сабрани на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r>
              <w:rPr>
                <w:sz w:val="20"/>
              </w:rPr>
              <w:t>Тон</w:t>
            </w:r>
          </w:p>
        </w:tc>
        <w:tc>
          <w:tcPr>
            <w:tcW w:w="3969" w:type="dxa"/>
            <w:tcMar>
              <w:top w:w="80" w:type="dxa"/>
              <w:left w:w="100" w:type="dxa"/>
              <w:bottom w:w="80" w:type="dxa"/>
              <w:right w:w="100" w:type="dxa"/>
            </w:tcMar>
            <w:vAlign w:val="center"/>
          </w:tcPr>
          <w:p w14:paraId="2870E983" w14:textId="77777777" w:rsidR="002B5BB4" w:rsidRDefault="00B47641">
            <w:r>
              <w:rPr>
                <w:sz w:val="20"/>
              </w:rPr>
              <w:t>Све три вредности су нула</w:t>
            </w:r>
          </w:p>
        </w:tc>
        <w:tc>
          <w:tcPr>
            <w:tcW w:w="3402" w:type="dxa"/>
            <w:tcMar>
              <w:top w:w="80" w:type="dxa"/>
              <w:left w:w="100" w:type="dxa"/>
              <w:bottom w:w="80" w:type="dxa"/>
              <w:right w:w="100" w:type="dxa"/>
            </w:tcMar>
            <w:vAlign w:val="center"/>
          </w:tcPr>
          <w:p w14:paraId="0EBB120C" w14:textId="77777777" w:rsidR="002B5BB4" w:rsidRDefault="00B47641">
            <w:r>
              <w:rPr>
                <w:sz w:val="20"/>
              </w:rPr>
              <w:t>Експлицитна грешка</w:t>
            </w:r>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r>
              <w:rPr>
                <w:sz w:val="20"/>
              </w:rPr>
              <w:t>Више извора</w:t>
            </w:r>
          </w:p>
        </w:tc>
        <w:tc>
          <w:tcPr>
            <w:tcW w:w="3402" w:type="dxa"/>
            <w:tcMar>
              <w:top w:w="80" w:type="dxa"/>
              <w:left w:w="100" w:type="dxa"/>
              <w:bottom w:w="80" w:type="dxa"/>
              <w:right w:w="100" w:type="dxa"/>
            </w:tcMar>
            <w:vAlign w:val="center"/>
          </w:tcPr>
          <w:p w14:paraId="0D4483A9" w14:textId="77777777" w:rsidR="002B5BB4" w:rsidRDefault="00B47641">
            <w:r>
              <w:rPr>
                <w:sz w:val="20"/>
              </w:rPr>
              <w:t>Јединствени ID и назив</w:t>
            </w:r>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r>
              <w:rPr>
                <w:sz w:val="20"/>
              </w:rPr>
              <w:t>Груписање</w:t>
            </w:r>
          </w:p>
        </w:tc>
        <w:tc>
          <w:tcPr>
            <w:tcW w:w="3969" w:type="dxa"/>
            <w:tcMar>
              <w:top w:w="80" w:type="dxa"/>
              <w:left w:w="100" w:type="dxa"/>
              <w:bottom w:w="80" w:type="dxa"/>
              <w:right w:w="100" w:type="dxa"/>
            </w:tcMar>
            <w:vAlign w:val="center"/>
          </w:tcPr>
          <w:p w14:paraId="578A1731" w14:textId="77777777" w:rsidR="002B5BB4" w:rsidRDefault="00B47641">
            <w:r>
              <w:rPr>
                <w:sz w:val="20"/>
              </w:rPr>
              <w:t>Парови различитих извора у 72 h</w:t>
            </w:r>
          </w:p>
        </w:tc>
        <w:tc>
          <w:tcPr>
            <w:tcW w:w="3402" w:type="dxa"/>
            <w:tcMar>
              <w:top w:w="80" w:type="dxa"/>
              <w:left w:w="100" w:type="dxa"/>
              <w:bottom w:w="80" w:type="dxa"/>
              <w:right w:w="100" w:type="dxa"/>
            </w:tcMar>
            <w:vAlign w:val="center"/>
          </w:tcPr>
          <w:p w14:paraId="67A8A06B" w14:textId="77777777" w:rsidR="002B5BB4" w:rsidRDefault="00B47641">
            <w:r>
              <w:rPr>
                <w:sz w:val="20"/>
              </w:rPr>
              <w:t>Сличност и одлука</w:t>
            </w:r>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Android кеш</w:t>
            </w:r>
          </w:p>
        </w:tc>
        <w:tc>
          <w:tcPr>
            <w:tcW w:w="3969" w:type="dxa"/>
            <w:tcMar>
              <w:top w:w="80" w:type="dxa"/>
              <w:left w:w="100" w:type="dxa"/>
              <w:bottom w:w="80" w:type="dxa"/>
              <w:right w:w="100" w:type="dxa"/>
            </w:tcMar>
            <w:vAlign w:val="center"/>
          </w:tcPr>
          <w:p w14:paraId="0C36D056" w14:textId="77777777" w:rsidR="002B5BB4" w:rsidRDefault="00B47641">
            <w:r>
              <w:rPr>
                <w:sz w:val="20"/>
              </w:rPr>
              <w:t>Мрежни одговор</w:t>
            </w:r>
          </w:p>
        </w:tc>
        <w:tc>
          <w:tcPr>
            <w:tcW w:w="3402" w:type="dxa"/>
            <w:tcMar>
              <w:top w:w="80" w:type="dxa"/>
              <w:left w:w="100" w:type="dxa"/>
              <w:bottom w:w="80" w:type="dxa"/>
              <w:right w:w="100" w:type="dxa"/>
            </w:tcMar>
            <w:vAlign w:val="center"/>
          </w:tcPr>
          <w:p w14:paraId="2DE33601" w14:textId="77777777" w:rsidR="002B5BB4" w:rsidRDefault="00B47641">
            <w:r>
              <w:rPr>
                <w:sz w:val="20"/>
              </w:rPr>
              <w:t>Атомска замена чланака и анализа</w:t>
            </w:r>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r>
              <w:rPr>
                <w:sz w:val="20"/>
              </w:rPr>
              <w:t>Локација</w:t>
            </w:r>
          </w:p>
        </w:tc>
        <w:tc>
          <w:tcPr>
            <w:tcW w:w="3969" w:type="dxa"/>
            <w:tcMar>
              <w:top w:w="80" w:type="dxa"/>
              <w:left w:w="100" w:type="dxa"/>
              <w:bottom w:w="80" w:type="dxa"/>
              <w:right w:w="100" w:type="dxa"/>
            </w:tcMar>
            <w:vAlign w:val="center"/>
          </w:tcPr>
          <w:p w14:paraId="5C54A68F" w14:textId="77777777" w:rsidR="002B5BB4" w:rsidRDefault="00B47641">
            <w:r>
              <w:rPr>
                <w:sz w:val="20"/>
              </w:rPr>
              <w:t>Назив града као цела фраза</w:t>
            </w:r>
          </w:p>
        </w:tc>
        <w:tc>
          <w:tcPr>
            <w:tcW w:w="3402" w:type="dxa"/>
            <w:tcMar>
              <w:top w:w="80" w:type="dxa"/>
              <w:left w:w="100" w:type="dxa"/>
              <w:bottom w:w="80" w:type="dxa"/>
              <w:right w:w="100" w:type="dxa"/>
            </w:tcMar>
            <w:vAlign w:val="center"/>
          </w:tcPr>
          <w:p w14:paraId="36869DBB" w14:textId="77777777" w:rsidR="002B5BB4" w:rsidRDefault="00B47641">
            <w:r>
              <w:rPr>
                <w:sz w:val="20"/>
              </w:rPr>
              <w:t>Одговарајући cityId</w:t>
            </w:r>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r>
              <w:rPr>
                <w:sz w:val="20"/>
              </w:rPr>
              <w:lastRenderedPageBreak/>
              <w:t>Обавештења</w:t>
            </w:r>
          </w:p>
        </w:tc>
        <w:tc>
          <w:tcPr>
            <w:tcW w:w="3969" w:type="dxa"/>
            <w:tcMar>
              <w:top w:w="80" w:type="dxa"/>
              <w:left w:w="100" w:type="dxa"/>
              <w:bottom w:w="80" w:type="dxa"/>
              <w:right w:w="100" w:type="dxa"/>
            </w:tcMar>
            <w:vAlign w:val="center"/>
          </w:tcPr>
          <w:p w14:paraId="56EB2E0A" w14:textId="77777777" w:rsidR="002B5BB4" w:rsidRDefault="00B47641">
            <w:r>
              <w:rPr>
                <w:sz w:val="20"/>
              </w:rPr>
              <w:t>Нова свежа ударна вест</w:t>
            </w:r>
          </w:p>
        </w:tc>
        <w:tc>
          <w:tcPr>
            <w:tcW w:w="3402" w:type="dxa"/>
            <w:tcMar>
              <w:top w:w="80" w:type="dxa"/>
              <w:left w:w="100" w:type="dxa"/>
              <w:bottom w:w="80" w:type="dxa"/>
              <w:right w:w="100" w:type="dxa"/>
            </w:tcMar>
            <w:vAlign w:val="center"/>
          </w:tcPr>
          <w:p w14:paraId="17520BBA" w14:textId="77777777" w:rsidR="002B5BB4" w:rsidRDefault="00B47641">
            <w:r>
              <w:rPr>
                <w:sz w:val="20"/>
              </w:rPr>
              <w:t>Једно обавештење</w:t>
            </w:r>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r>
              <w:rPr>
                <w:sz w:val="20"/>
              </w:rPr>
              <w:t>Недозвољени знаци у наслову</w:t>
            </w:r>
          </w:p>
        </w:tc>
        <w:tc>
          <w:tcPr>
            <w:tcW w:w="3402" w:type="dxa"/>
            <w:tcMar>
              <w:top w:w="80" w:type="dxa"/>
              <w:left w:w="100" w:type="dxa"/>
              <w:bottom w:w="80" w:type="dxa"/>
              <w:right w:w="100" w:type="dxa"/>
            </w:tcMar>
            <w:vAlign w:val="center"/>
          </w:tcPr>
          <w:p w14:paraId="66C28F08" w14:textId="77777777" w:rsidR="002B5BB4" w:rsidRDefault="00B47641">
            <w:r>
              <w:rPr>
                <w:sz w:val="20"/>
              </w:rPr>
              <w:t>Безбедан назив датотеке</w:t>
            </w:r>
          </w:p>
        </w:tc>
      </w:tr>
    </w:tbl>
    <w:p w14:paraId="0B385358" w14:textId="77777777" w:rsidR="00B41995" w:rsidRDefault="00F4349F">
      <w:pPr>
        <w:pStyle w:val="IInivonaslova-Potpoglavlje"/>
      </w:pPr>
      <w:bookmarkStart w:id="82" w:name="_Toc241499925"/>
      <w:r>
        <w:t>Верификација исправности</w:t>
      </w:r>
      <w:bookmarkEnd w:id="82"/>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Серверски апликативни део садржи 107 </w:t>
      </w:r>
      <w:r>
        <w:rPr>
          <w:i/>
        </w:rPr>
        <w:t>Python</w:t>
      </w:r>
      <w:r>
        <w:t xml:space="preserve"> датотека [19] и приближно 2.928 линија, док серверски тестови имају око 1.586 линија. Главни изворни скуп </w:t>
      </w:r>
      <w:r>
        <w:rPr>
          <w:i/>
        </w:rPr>
        <w:t>Android</w:t>
      </w:r>
      <w:r>
        <w:t xml:space="preserve"> апликације садржи 133 </w:t>
      </w:r>
      <w:r>
        <w:rPr>
          <w:i/>
        </w:rPr>
        <w:t>Kotlin</w:t>
      </w:r>
      <w:r>
        <w:t xml:space="preserve"> датотеке [20] и приближно 8.987 линија, а локални тестови око 1.112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експериментално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w:t>
      </w:r>
      <w:r>
        <w:rPr>
          <w:i/>
        </w:rPr>
        <w:t>Android</w:t>
      </w:r>
      <w:r>
        <w:t xml:space="preserve">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 Реализовани прототип показује да се наведени скуп функција може остварити уз јасно раздвајање одговорности између сервера и мобилног клијента.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3593D027" w14:textId="77777777" w:rsidR="002B5BB4" w:rsidRDefault="00B47641">
      <w:pPr>
        <w:pStyle w:val="Osnovnitekst"/>
      </w:pPr>
      <w:r>
        <w:t xml:space="preserve">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и кеширање засновано на метаподацима, док груписање ради у </w:t>
      </w:r>
      <w:r>
        <w:rPr>
          <w:i/>
        </w:rPr>
        <w:t>shadow</w:t>
      </w:r>
      <w:r>
        <w:t xml:space="preserve"> режиму и чува одлуке за каснију процену. Овакво постепено увођење је безбедније од непосредног излагања некалибрисаног модела кориснику.</w:t>
      </w:r>
    </w:p>
    <w:p w14:paraId="02A548FB" w14:textId="77777777" w:rsidR="002B5BB4" w:rsidRDefault="00B47641">
      <w:pPr>
        <w:pStyle w:val="Osnovnitekst"/>
      </w:pPr>
      <w:r>
        <w:t>Главна ограничења су одсуство корисничких налога, пагинације, продукционог рангирања и формалне евалуације тона на означеном корпусу српских вести. RSS садржај зависи од политике извора, а семантички праг може да захтева прилагођавање различитим категоријама. Клијентске групе још треба директно повезати са серверским резултатима након завршетка калибрације.</w:t>
      </w:r>
    </w:p>
    <w:p w14:paraId="19ED6C60" w14:textId="77777777" w:rsidR="002B5BB4" w:rsidRDefault="00B47641">
      <w:pPr>
        <w:pStyle w:val="Osnovnitekst"/>
      </w:pPr>
      <w:r>
        <w:t xml:space="preserve">Даљи развој треба усмерити ка серверској пагинацији и инкременталној синхронизацији, аутентификацији и синхронизацији корисничких избора, </w:t>
      </w:r>
      <w:r>
        <w:rPr>
          <w:i/>
        </w:rPr>
        <w:t>push</w:t>
      </w:r>
      <w:r>
        <w:t xml:space="preserve"> обавештењима, административном надзору извора и метрикама квалитета. За машинско учење потребно је формирати репрезентативан означени скуп, мерити </w:t>
      </w:r>
      <w:r>
        <w:rPr>
          <w:i/>
        </w:rPr>
        <w:t>precision</w:t>
      </w:r>
      <w:r>
        <w:t xml:space="preserve">, </w:t>
      </w:r>
      <w:r>
        <w:rPr>
          <w:i/>
        </w:rPr>
        <w:t>recall</w:t>
      </w:r>
      <w:r>
        <w:t xml:space="preserve"> и F1 по категоријама и анализирати граничне случајеве. Могуће је додати и објашњење зашто су чланци груписани, као и поређење различитих извора унутар групе.</w:t>
      </w:r>
    </w:p>
    <w:p w14:paraId="44635247" w14:textId="77777777" w:rsidR="002B5BB4" w:rsidRDefault="00B4764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 уговора,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 Тиме је испуњен и шири циљ рада, јер је добијено решење које је истовремено употребљиво и погодно за даље испитивање.</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r>
              <w:rPr>
                <w:b/>
                <w:sz w:val="20"/>
              </w:rPr>
              <w:t>Скраћеница</w:t>
            </w:r>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r>
              <w:rPr>
                <w:b/>
                <w:sz w:val="20"/>
              </w:rPr>
              <w:t>Значење</w:t>
            </w:r>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Application Programming Interface – програмски интерфејс</w:t>
            </w:r>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Data Transfer Object – објекат за пренос података</w:t>
            </w:r>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Large Language Model – велики језички модел</w:t>
            </w:r>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Text-to-Speech – синтеза говора</w:t>
            </w:r>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User Interface – кориснички интерфејс</w:t>
            </w:r>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r>
              <w:rPr>
                <w:b/>
                <w:sz w:val="20"/>
              </w:rPr>
              <w:t>Пројекат</w:t>
            </w:r>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r>
              <w:rPr>
                <w:b/>
                <w:sz w:val="20"/>
              </w:rPr>
              <w:t>Директоријум</w:t>
            </w:r>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r>
              <w:rPr>
                <w:b/>
                <w:sz w:val="20"/>
              </w:rPr>
              <w:t>Одговорност</w:t>
            </w:r>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app/api/routes</w:t>
            </w:r>
          </w:p>
        </w:tc>
        <w:tc>
          <w:tcPr>
            <w:tcW w:w="4535" w:type="dxa"/>
            <w:tcMar>
              <w:top w:w="80" w:type="dxa"/>
              <w:left w:w="100" w:type="dxa"/>
              <w:bottom w:w="80" w:type="dxa"/>
              <w:right w:w="100" w:type="dxa"/>
            </w:tcMar>
            <w:vAlign w:val="center"/>
          </w:tcPr>
          <w:p w14:paraId="7A55C1C9" w14:textId="77777777" w:rsidR="002B5BB4" w:rsidRDefault="00B47641">
            <w:r>
              <w:rPr>
                <w:sz w:val="20"/>
              </w:rPr>
              <w:t>HTTP руте</w:t>
            </w:r>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r>
              <w:rPr>
                <w:sz w:val="20"/>
              </w:rPr>
              <w:t>Модели, шеме,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app/news_sources</w:t>
            </w:r>
          </w:p>
        </w:tc>
        <w:tc>
          <w:tcPr>
            <w:tcW w:w="4535" w:type="dxa"/>
            <w:tcMar>
              <w:top w:w="80" w:type="dxa"/>
              <w:left w:w="100" w:type="dxa"/>
              <w:bottom w:w="80" w:type="dxa"/>
              <w:right w:w="100" w:type="dxa"/>
            </w:tcMar>
            <w:vAlign w:val="center"/>
          </w:tcPr>
          <w:p w14:paraId="35578400" w14:textId="77777777" w:rsidR="002B5BB4" w:rsidRDefault="00B47641">
            <w:r>
              <w:rPr>
                <w:sz w:val="20"/>
              </w:rPr>
              <w:t>RSS извори и парсер</w:t>
            </w:r>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r>
              <w:rPr>
                <w:sz w:val="20"/>
              </w:rPr>
              <w:t>Кораци обраде чланка</w:t>
            </w:r>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app/tone_analysis</w:t>
            </w:r>
          </w:p>
        </w:tc>
        <w:tc>
          <w:tcPr>
            <w:tcW w:w="4535" w:type="dxa"/>
            <w:tcMar>
              <w:top w:w="80" w:type="dxa"/>
              <w:left w:w="100" w:type="dxa"/>
              <w:bottom w:w="80" w:type="dxa"/>
              <w:right w:w="100" w:type="dxa"/>
            </w:tcMar>
            <w:vAlign w:val="center"/>
          </w:tcPr>
          <w:p w14:paraId="68EC806B" w14:textId="77777777" w:rsidR="002B5BB4" w:rsidRDefault="00B47641">
            <w:r>
              <w:rPr>
                <w:sz w:val="20"/>
              </w:rPr>
              <w:t>Стратегије и LLM клијент</w:t>
            </w:r>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app/semantic_grouping</w:t>
            </w:r>
          </w:p>
        </w:tc>
        <w:tc>
          <w:tcPr>
            <w:tcW w:w="4535" w:type="dxa"/>
            <w:tcMar>
              <w:top w:w="80" w:type="dxa"/>
              <w:left w:w="100" w:type="dxa"/>
              <w:bottom w:w="80" w:type="dxa"/>
              <w:right w:w="100" w:type="dxa"/>
            </w:tcMar>
            <w:vAlign w:val="center"/>
          </w:tcPr>
          <w:p w14:paraId="76866621" w14:textId="77777777" w:rsidR="002B5BB4" w:rsidRDefault="00B47641">
            <w:r>
              <w:rPr>
                <w:sz w:val="20"/>
              </w:rPr>
              <w:t>Embedding, парови, групе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DTO, Retrofit сервис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r>
              <w:rPr>
                <w:sz w:val="20"/>
              </w:rPr>
              <w:t>Ентитети, DAO и миграције</w:t>
            </w:r>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r>
              <w:rPr>
                <w:sz w:val="20"/>
              </w:rPr>
              <w:t>Координација извора података</w:t>
            </w:r>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r>
              <w:rPr>
                <w:sz w:val="20"/>
              </w:rPr>
              <w:t>ui/elements</w:t>
            </w:r>
          </w:p>
        </w:tc>
        <w:tc>
          <w:tcPr>
            <w:tcW w:w="4535" w:type="dxa"/>
            <w:tcMar>
              <w:top w:w="80" w:type="dxa"/>
              <w:left w:w="100" w:type="dxa"/>
              <w:bottom w:w="80" w:type="dxa"/>
              <w:right w:w="100" w:type="dxa"/>
            </w:tcMar>
            <w:vAlign w:val="center"/>
          </w:tcPr>
          <w:p w14:paraId="2DBAD509" w14:textId="77777777" w:rsidR="002B5BB4" w:rsidRDefault="00B47641">
            <w:r>
              <w:rPr>
                <w:sz w:val="20"/>
              </w:rPr>
              <w:t>Compose компоненте и екрани</w:t>
            </w:r>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r>
              <w:rPr>
                <w:sz w:val="20"/>
              </w:rPr>
              <w:t>ui/stateholders</w:t>
            </w:r>
          </w:p>
        </w:tc>
        <w:tc>
          <w:tcPr>
            <w:tcW w:w="4535" w:type="dxa"/>
            <w:tcMar>
              <w:top w:w="80" w:type="dxa"/>
              <w:left w:w="100" w:type="dxa"/>
              <w:bottom w:w="80" w:type="dxa"/>
              <w:right w:w="100" w:type="dxa"/>
            </w:tcMar>
            <w:vAlign w:val="center"/>
          </w:tcPr>
          <w:p w14:paraId="30C68825" w14:textId="77777777" w:rsidR="002B5BB4" w:rsidRDefault="00B47641">
            <w:r>
              <w:rPr>
                <w:sz w:val="20"/>
              </w:rPr>
              <w:t>ViewModel и UI модели</w:t>
            </w:r>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r>
              <w:rPr>
                <w:sz w:val="20"/>
              </w:rPr>
              <w:t>Специјализоване функције</w:t>
            </w:r>
          </w:p>
        </w:tc>
      </w:tr>
    </w:tbl>
    <w:p w14:paraId="1FD9F454" w14:textId="77777777" w:rsidR="00B47641" w:rsidRDefault="00B47641"/>
    <w:sectPr w:rsidR="00B47641"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25489" w14:textId="77777777" w:rsidR="0071248C" w:rsidRDefault="0071248C">
      <w:r>
        <w:separator/>
      </w:r>
    </w:p>
  </w:endnote>
  <w:endnote w:type="continuationSeparator" w:id="0">
    <w:p w14:paraId="25327E4D" w14:textId="77777777" w:rsidR="0071248C" w:rsidRDefault="00712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B477B" w14:textId="77777777" w:rsidR="0071248C" w:rsidRDefault="0071248C">
      <w:r>
        <w:separator/>
      </w:r>
    </w:p>
  </w:footnote>
  <w:footnote w:type="continuationSeparator" w:id="0">
    <w:p w14:paraId="258E5E7B" w14:textId="77777777" w:rsidR="0071248C" w:rsidRDefault="007124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6300C"/>
    <w:rsid w:val="0037293D"/>
    <w:rsid w:val="003729A4"/>
    <w:rsid w:val="00373101"/>
    <w:rsid w:val="003734B9"/>
    <w:rsid w:val="00374335"/>
    <w:rsid w:val="0038314C"/>
    <w:rsid w:val="00384BF4"/>
    <w:rsid w:val="003854F8"/>
    <w:rsid w:val="0039080C"/>
    <w:rsid w:val="00394773"/>
    <w:rsid w:val="0039564B"/>
    <w:rsid w:val="00397C91"/>
    <w:rsid w:val="003A43B6"/>
    <w:rsid w:val="003B07A2"/>
    <w:rsid w:val="003C44B6"/>
    <w:rsid w:val="003C59D4"/>
    <w:rsid w:val="003E07BC"/>
    <w:rsid w:val="003E5D20"/>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54446"/>
    <w:rsid w:val="00760839"/>
    <w:rsid w:val="00767FFB"/>
    <w:rsid w:val="007706A5"/>
    <w:rsid w:val="00783C8D"/>
    <w:rsid w:val="007A3145"/>
    <w:rsid w:val="007A7A60"/>
    <w:rsid w:val="007C4DB4"/>
    <w:rsid w:val="007C5175"/>
    <w:rsid w:val="007C5F95"/>
    <w:rsid w:val="007F2F77"/>
    <w:rsid w:val="007F619C"/>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47</Pages>
  <Words>9936</Words>
  <Characters>56640</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66444</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13</cp:revision>
  <cp:lastPrinted>2010-03-22T09:00:00Z</cp:lastPrinted>
  <dcterms:created xsi:type="dcterms:W3CDTF">2026-09-28T12:58:00Z</dcterms:created>
  <dcterms:modified xsi:type="dcterms:W3CDTF">2026-09-28T13:14:00Z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