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69C25" w14:textId="013F1321" w:rsidR="002F5EC2" w:rsidRDefault="002F5EC2" w:rsidP="002F5EC2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Introdução</w:t>
      </w:r>
    </w:p>
    <w:p w14:paraId="60CF5EB8" w14:textId="674937F9" w:rsidR="006078D2" w:rsidRPr="006078D2" w:rsidRDefault="006078D2" w:rsidP="006078D2">
      <w:pPr>
        <w:jc w:val="both"/>
        <w:rPr>
          <w:lang w:val="pt-BR"/>
        </w:rPr>
      </w:pPr>
      <w:r w:rsidRPr="006078D2">
        <w:rPr>
          <w:lang w:val="pt-BR"/>
        </w:rPr>
        <w:t>Um novo processo análise de investimento, que ganhou força nos últimos anos, é o de análise quantitativas, somando-se às antigas técnicas fundamentalistas. Esta era uma técnica que se baseava na análise profunda das condições financeiras da companhia, seus prospectos de crescimento e como o setor ao qual está inserida se comporta. Já um viés mais quantitativo se baseava em análises de séries temporais e outros métodos sistemáticos para que o investimento fosse realizado. Tal processo ganhou relevância por meio dos resultados de especialistas na área, apresentando retornos surpreendentes com uma estratégia mais sistemática e imparcial. Neste âmbito, vale ressaltar os trabalhos e resultados de \cite{Thorp1967}, sendo assumido como um dos primeiros especialistas na área quantitativa \cite{Patterson2011}.</w:t>
      </w:r>
    </w:p>
    <w:p w14:paraId="3B30FA67" w14:textId="2C446C04" w:rsidR="006078D2" w:rsidRPr="006078D2" w:rsidRDefault="006078D2" w:rsidP="006078D2">
      <w:pPr>
        <w:jc w:val="both"/>
        <w:rPr>
          <w:lang w:val="pt-BR"/>
        </w:rPr>
      </w:pPr>
      <w:r w:rsidRPr="006078D2">
        <w:rPr>
          <w:lang w:val="pt-BR"/>
        </w:rPr>
        <w:t xml:space="preserve">Ao analisar movimentos nos preços de mercado, é de suma importância o entendimento da hipótese da eficiência de mercado (HEM) \cite{Fama1965}. Tal estudo estabelece duas principais hipóteses: o preço praticado nos ativos reflete toda a informação disponível para os agentes de mercado e é impossível alcançar retornos superiores que a média de retornos no mercado. Todavia, métodos como </w:t>
      </w:r>
      <w:r>
        <w:rPr>
          <w:lang w:val="pt-BR"/>
        </w:rPr>
        <w:t>“</w:t>
      </w:r>
      <w:proofErr w:type="spellStart"/>
      <w:r w:rsidRPr="006078D2">
        <w:rPr>
          <w:lang w:val="pt-BR"/>
        </w:rPr>
        <w:t>Value</w:t>
      </w:r>
      <w:proofErr w:type="spellEnd"/>
      <w:r w:rsidRPr="006078D2">
        <w:rPr>
          <w:lang w:val="pt-BR"/>
        </w:rPr>
        <w:t xml:space="preserve"> </w:t>
      </w:r>
      <w:proofErr w:type="spellStart"/>
      <w:r w:rsidRPr="006078D2">
        <w:rPr>
          <w:lang w:val="pt-BR"/>
        </w:rPr>
        <w:t>Investing</w:t>
      </w:r>
      <w:proofErr w:type="spellEnd"/>
      <w:r>
        <w:rPr>
          <w:lang w:val="pt-BR"/>
        </w:rPr>
        <w:t>”</w:t>
      </w:r>
      <w:r w:rsidRPr="006078D2">
        <w:rPr>
          <w:lang w:val="pt-BR"/>
        </w:rPr>
        <w:t>, defendido por Benjamim Graham - investidor com retornos elevados e consistentes ao longo de vários anos - acaba por conseguir aparentemente enfraquecer tal hipótese. Ainda, outros trabalhos, como \cite{Werner1985} e \cite{Banz1981} ajudam nesse processo. Soma-se a isso a ascensão de estratégias quantitativas - eficientes em trazer retornos elevados acima da média de mercado.</w:t>
      </w:r>
    </w:p>
    <w:p w14:paraId="4FDD5D47" w14:textId="4EF335C3" w:rsidR="006078D2" w:rsidRPr="006078D2" w:rsidRDefault="006078D2" w:rsidP="006078D2">
      <w:pPr>
        <w:jc w:val="both"/>
        <w:rPr>
          <w:lang w:val="pt-BR"/>
        </w:rPr>
      </w:pPr>
      <w:r w:rsidRPr="006078D2">
        <w:rPr>
          <w:lang w:val="pt-BR"/>
        </w:rPr>
        <w:t xml:space="preserve">Tais consistentes resultados foram suficientes para Eugene Fama, criador da HEM e laureado com o Nobel de Ciências Econômicas em 2013, duvidar e rever seus conceitos \cite{Fama1996}. Dessa forma, Fama e Kenneth </w:t>
      </w:r>
      <w:proofErr w:type="spellStart"/>
      <w:r w:rsidRPr="006078D2">
        <w:rPr>
          <w:lang w:val="pt-BR"/>
        </w:rPr>
        <w:t>French</w:t>
      </w:r>
      <w:proofErr w:type="spellEnd"/>
      <w:r w:rsidRPr="006078D2">
        <w:rPr>
          <w:lang w:val="pt-BR"/>
        </w:rPr>
        <w:t xml:space="preserve"> passaram a considerar outros fatores, além de somente o movimento geral do mercado, para justificar o desempenho de ativos de ações. Por meio de uma análise de regressão, o modelo de Fama-</w:t>
      </w:r>
      <w:proofErr w:type="spellStart"/>
      <w:r w:rsidRPr="006078D2">
        <w:rPr>
          <w:lang w:val="pt-BR"/>
        </w:rPr>
        <w:t>French</w:t>
      </w:r>
      <w:proofErr w:type="spellEnd"/>
      <w:r w:rsidRPr="006078D2">
        <w:rPr>
          <w:lang w:val="pt-BR"/>
        </w:rPr>
        <w:t xml:space="preserve"> foi criado \cite{Fama1993}. Este trabalho alega que o movimento do mercado pudesse ser justificado entre 3 fatores: movimento do mercado, tamanho do valor do ativo </w:t>
      </w:r>
      <w:r>
        <w:rPr>
          <w:lang w:val="pt-BR"/>
        </w:rPr>
        <w:t>(</w:t>
      </w:r>
      <w:proofErr w:type="spellStart"/>
      <w:r w:rsidRPr="006078D2">
        <w:rPr>
          <w:i/>
          <w:iCs/>
          <w:lang w:val="pt-BR"/>
        </w:rPr>
        <w:t>size</w:t>
      </w:r>
      <w:proofErr w:type="spellEnd"/>
      <w:r w:rsidRPr="006078D2">
        <w:rPr>
          <w:lang w:val="pt-BR"/>
        </w:rPr>
        <w:t>) e qualidade financeira da companhia (</w:t>
      </w:r>
      <w:proofErr w:type="spellStart"/>
      <w:r w:rsidRPr="006078D2">
        <w:rPr>
          <w:i/>
          <w:iCs/>
          <w:lang w:val="pt-BR"/>
        </w:rPr>
        <w:t>value</w:t>
      </w:r>
      <w:proofErr w:type="spellEnd"/>
      <w:r w:rsidRPr="006078D2">
        <w:rPr>
          <w:lang w:val="pt-BR"/>
        </w:rPr>
        <w:t xml:space="preserve">). Por fim, Fama recentemente publicou outro trabalho \cite{Fama2015}, incorporando outros 2 fatores (capacidade de geração de lucro - </w:t>
      </w:r>
      <w:proofErr w:type="spellStart"/>
      <w:r w:rsidRPr="006078D2">
        <w:rPr>
          <w:i/>
          <w:iCs/>
          <w:lang w:val="pt-BR"/>
        </w:rPr>
        <w:t>profitability</w:t>
      </w:r>
      <w:proofErr w:type="spellEnd"/>
      <w:r w:rsidRPr="006078D2">
        <w:rPr>
          <w:lang w:val="pt-BR"/>
        </w:rPr>
        <w:t xml:space="preserve"> - e quantidade de capital em investimento - </w:t>
      </w:r>
      <w:proofErr w:type="spellStart"/>
      <w:r w:rsidRPr="006078D2">
        <w:rPr>
          <w:i/>
          <w:iCs/>
          <w:lang w:val="pt-BR"/>
        </w:rPr>
        <w:t>investment</w:t>
      </w:r>
      <w:proofErr w:type="spellEnd"/>
      <w:r w:rsidRPr="006078D2">
        <w:rPr>
          <w:lang w:val="pt-BR"/>
        </w:rPr>
        <w:t>) na contínua tentativa de justificar o movimento do mercado.</w:t>
      </w:r>
    </w:p>
    <w:p w14:paraId="7A504175" w14:textId="77777777" w:rsidR="006078D2" w:rsidRPr="006078D2" w:rsidRDefault="006078D2" w:rsidP="006078D2">
      <w:pPr>
        <w:jc w:val="both"/>
        <w:rPr>
          <w:lang w:val="pt-BR"/>
        </w:rPr>
      </w:pPr>
      <w:r w:rsidRPr="006078D2">
        <w:rPr>
          <w:lang w:val="pt-BR"/>
        </w:rPr>
        <w:t>Ainda, com o passar dos anos, foi possível perceber um aproveitamento das técnicas quantitativas a partir do crescente poder computacional disponível. Conjuntamente, estudos mais robustos de ciência de dados foram publicados no meio acadêmico. Com isso, surge a possibilidade de usar informações textuais não estruturadas, como uma nova alternativa de dados para aprimoramento de modelos e de seus resultados.</w:t>
      </w:r>
    </w:p>
    <w:p w14:paraId="2D8C470B" w14:textId="40A70D6A" w:rsidR="006078D2" w:rsidRDefault="006078D2" w:rsidP="006078D2">
      <w:pPr>
        <w:jc w:val="both"/>
        <w:rPr>
          <w:lang w:val="pt-BR"/>
        </w:rPr>
      </w:pPr>
      <w:r w:rsidRPr="006078D2">
        <w:rPr>
          <w:lang w:val="pt-BR"/>
        </w:rPr>
        <w:t xml:space="preserve">Assim, partindo dessa visão holística dos dados disponíveis, permite-se a inserção de fatores relacionados com economia comportamental, que traz maior realismo para a modelagem. Tais fatores refletem a reação dos participantes do mercado diante de diversas situações. Em especial, ressalta-se a fuga da racionalidade de investidores </w:t>
      </w:r>
      <w:r w:rsidRPr="006078D2">
        <w:rPr>
          <w:lang w:val="pt-BR"/>
        </w:rPr>
        <w:t>individuais</w:t>
      </w:r>
      <w:r w:rsidRPr="006078D2">
        <w:rPr>
          <w:lang w:val="pt-BR"/>
        </w:rPr>
        <w:t xml:space="preserve"> em situações de alta insegurança, como é relatado em muitos estudos de Daniel </w:t>
      </w:r>
      <w:proofErr w:type="spellStart"/>
      <w:r w:rsidRPr="006078D2">
        <w:rPr>
          <w:lang w:val="pt-BR"/>
        </w:rPr>
        <w:t>Kanehman</w:t>
      </w:r>
      <w:proofErr w:type="spellEnd"/>
      <w:r w:rsidRPr="006078D2">
        <w:rPr>
          <w:lang w:val="pt-BR"/>
        </w:rPr>
        <w:t xml:space="preserve">, Amos </w:t>
      </w:r>
      <w:proofErr w:type="spellStart"/>
      <w:r w:rsidRPr="006078D2">
        <w:rPr>
          <w:lang w:val="pt-BR"/>
        </w:rPr>
        <w:t>Tversky</w:t>
      </w:r>
      <w:proofErr w:type="spellEnd"/>
      <w:r w:rsidRPr="006078D2">
        <w:rPr>
          <w:lang w:val="pt-BR"/>
        </w:rPr>
        <w:t xml:space="preserve"> e Richard </w:t>
      </w:r>
      <w:proofErr w:type="spellStart"/>
      <w:r w:rsidRPr="006078D2">
        <w:rPr>
          <w:lang w:val="pt-BR"/>
        </w:rPr>
        <w:t>Thaler</w:t>
      </w:r>
      <w:proofErr w:type="spellEnd"/>
      <w:r w:rsidRPr="006078D2">
        <w:rPr>
          <w:lang w:val="pt-BR"/>
        </w:rPr>
        <w:t xml:space="preserve"> (\cite{Kahneman2013}, \cite{Kahneman2021} e \cite{Thaler2016}).  Dessa forma, urge-se a importância da inserção desses vieses humanos nas técnicas quantitativas para melhor compreensão do mercado, tirando maior proveito do registro dos seus movimentos.</w:t>
      </w:r>
    </w:p>
    <w:p w14:paraId="795D33D2" w14:textId="014EDEDD" w:rsidR="0044535C" w:rsidRPr="0044535C" w:rsidRDefault="006078D2" w:rsidP="006078D2">
      <w:pPr>
        <w:jc w:val="both"/>
        <w:rPr>
          <w:lang w:val="pt-BR"/>
        </w:rPr>
      </w:pPr>
      <w:r w:rsidRPr="006078D2">
        <w:rPr>
          <w:lang w:val="pt-BR"/>
        </w:rPr>
        <w:t xml:space="preserve">Diante o que foi exposto - falta de compreensão plena do mercado e </w:t>
      </w:r>
      <w:r w:rsidRPr="006078D2">
        <w:rPr>
          <w:lang w:val="pt-BR"/>
        </w:rPr>
        <w:t>constante desenvolvimento</w:t>
      </w:r>
      <w:r w:rsidRPr="006078D2">
        <w:rPr>
          <w:lang w:val="pt-BR"/>
        </w:rPr>
        <w:t xml:space="preserve"> de técnicas de análise de dados - nota-se um ambiente com um grande espaço para aproveitamento dos movimentos do mercado. Com isso, vale focar em trabalhos que buscam </w:t>
      </w:r>
      <w:r w:rsidRPr="006078D2">
        <w:rPr>
          <w:lang w:val="pt-BR"/>
        </w:rPr>
        <w:lastRenderedPageBreak/>
        <w:t>avaliar a correlação entre movimentos de mercado e informações qualitativas relacionadas. Tais dados podem ser provindos de sites de notícia, blogs de finanças, redes sociais, divulgação financeira de companhias listadas, etc. Para conseguir a quantificação do efeito de tais dados na tomada de decisão de gestão de ativos, em uma possível abordagem, é conduzida uma análise de sentimento. Tal análise foca em avaliar qual o sentimento que autor do texto avaliado quis expressar (positivo/negativo). Com isso, usa-se a técnica de processamento de linguagem natural, com o objetivo de, a partir do sentimento, posicionar a informação obtida dentro de um espectro quantitativo de compra/venda. Dessa forma, usa-se tal posicionamento como fonte de apoio à tomada de decisão em relação a determinado ativo.</w:t>
      </w:r>
    </w:p>
    <w:p w14:paraId="47C64093" w14:textId="5440A5DB" w:rsidR="002F5EC2" w:rsidRDefault="002F5EC2" w:rsidP="002F5EC2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Revisão Bibliográfica</w:t>
      </w:r>
    </w:p>
    <w:p w14:paraId="28AB9E2A" w14:textId="793216B4" w:rsidR="00FF6B34" w:rsidRPr="00FF6B34" w:rsidRDefault="00FF6B34" w:rsidP="00FF6B34">
      <w:pPr>
        <w:jc w:val="both"/>
        <w:rPr>
          <w:lang w:val="pt-BR"/>
        </w:rPr>
      </w:pPr>
      <w:r w:rsidRPr="00FF6B34">
        <w:rPr>
          <w:lang w:val="pt-BR"/>
        </w:rPr>
        <w:t xml:space="preserve">Nota-se que o uso de análise de sentimento é abordado de forma ampla, com diferentes métodos e para diferentes ambientes. Com isso, pode-se encontrar trabalhos que usam dados de manchetes de notícias para realizar previsão de dados </w:t>
      </w:r>
      <w:r w:rsidRPr="00FF6B34">
        <w:rPr>
          <w:lang w:val="pt-BR"/>
        </w:rPr>
        <w:t>macroeconômicos</w:t>
      </w:r>
      <w:r w:rsidRPr="00FF6B34">
        <w:rPr>
          <w:lang w:val="pt-BR"/>
        </w:rPr>
        <w:t xml:space="preserve"> \cite{Kalamara2022} -  PIB, inflação e desemprego. Outros, usam dados de </w:t>
      </w:r>
      <w:r w:rsidRPr="00FF6B34">
        <w:rPr>
          <w:lang w:val="pt-BR"/>
        </w:rPr>
        <w:t>micro blogs</w:t>
      </w:r>
      <w:r w:rsidRPr="00FF6B34">
        <w:rPr>
          <w:lang w:val="pt-BR"/>
        </w:rPr>
        <w:t xml:space="preserve">, tais como Twitter, para realizar previsão de preço de Bitcoin \cite{Karalevicius2014} ou predição de resultados eleitorais \cite{Yang2018}. Restringindo-se ao âmbito de finanças, nota-se certo foco em usar técnicas mais basilares para predição de tendência de preços e, mais recentemente, também com técnicas mais atualizadas. Com isso, são apresentados </w:t>
      </w:r>
      <w:r w:rsidRPr="00FF6B34">
        <w:rPr>
          <w:lang w:val="pt-BR"/>
        </w:rPr>
        <w:t>os resultados</w:t>
      </w:r>
      <w:r w:rsidRPr="00FF6B34">
        <w:rPr>
          <w:lang w:val="pt-BR"/>
        </w:rPr>
        <w:t xml:space="preserve"> de tais trabalhos.</w:t>
      </w:r>
    </w:p>
    <w:p w14:paraId="47F748A8" w14:textId="7AA45B4D" w:rsidR="00FF6B34" w:rsidRPr="00FF6B34" w:rsidRDefault="00FF6B34" w:rsidP="00FF6B34">
      <w:pPr>
        <w:jc w:val="both"/>
        <w:rPr>
          <w:lang w:val="pt-BR"/>
        </w:rPr>
      </w:pPr>
      <w:r w:rsidRPr="00FF6B34">
        <w:rPr>
          <w:lang w:val="pt-BR"/>
        </w:rPr>
        <w:t>Técnicas tradicionais de aprendizado de máquina</w:t>
      </w:r>
    </w:p>
    <w:p w14:paraId="67A7A1DE" w14:textId="50E52B43" w:rsidR="00FF6B34" w:rsidRPr="00FF6B34" w:rsidRDefault="00FF6B34" w:rsidP="00FF6B34">
      <w:pPr>
        <w:jc w:val="both"/>
        <w:rPr>
          <w:lang w:val="pt-BR"/>
        </w:rPr>
      </w:pPr>
      <w:r w:rsidRPr="00FF6B34">
        <w:rPr>
          <w:lang w:val="pt-BR"/>
        </w:rPr>
        <w:t xml:space="preserve">Dentre os diversos trabalhos na área, tem-se \cite{Khedr2017}. No estudo, tem-se a união de análise de sentimento de notícias financeiras com os dados de preços históricos de três companhias (Yahoo Inc. - YHOO, Microsoft </w:t>
      </w:r>
      <w:proofErr w:type="spellStart"/>
      <w:r w:rsidRPr="00FF6B34">
        <w:rPr>
          <w:lang w:val="pt-BR"/>
        </w:rPr>
        <w:t>Corp</w:t>
      </w:r>
      <w:proofErr w:type="spellEnd"/>
      <w:r w:rsidRPr="00FF6B34">
        <w:rPr>
          <w:lang w:val="pt-BR"/>
        </w:rPr>
        <w:t xml:space="preserve">. - MSFT e Facebook Inc - FB). Usando método de </w:t>
      </w:r>
      <w:proofErr w:type="spellStart"/>
      <w:r w:rsidRPr="00FF6B34">
        <w:rPr>
          <w:lang w:val="pt-BR"/>
        </w:rPr>
        <w:t>Naive-Bayes</w:t>
      </w:r>
      <w:proofErr w:type="spellEnd"/>
      <w:r w:rsidRPr="00FF6B34">
        <w:rPr>
          <w:lang w:val="pt-BR"/>
        </w:rPr>
        <w:t xml:space="preserve"> e dados de notícias de tais companhias, foi possível alcançar uma acurácia entre 72,73\% - 86,21\% na previsão de sentimento - superando resultados provindos de técnicas como SVM e K-NN. Usando somente os dados de classificação de polaridade para previsão de tendências futura, obteve-se uma acurácia de 59,18\% - 63\%. Todavia, unindo tais dados com o histórico de preços, usando-se do algoritmo de K-NN, alcançou-se uma de acurácia para até 89,90\% para previsão de tendência dos preços. Tal resultado superou o produzido por outros trabalhos, tais como \cite{Shynkevich2015} e \cite{Bing2014}.</w:t>
      </w:r>
    </w:p>
    <w:p w14:paraId="24F9C2C0" w14:textId="3E82EC91" w:rsidR="00FF6B34" w:rsidRPr="00FF6B34" w:rsidRDefault="00FF6B34" w:rsidP="00FF6B34">
      <w:pPr>
        <w:jc w:val="both"/>
        <w:rPr>
          <w:lang w:val="pt-BR"/>
        </w:rPr>
      </w:pPr>
      <w:r w:rsidRPr="00FF6B34">
        <w:rPr>
          <w:lang w:val="pt-BR"/>
        </w:rPr>
        <w:t xml:space="preserve">Um modelo um pouco mais complexo é apresentado com o </w:t>
      </w:r>
      <w:r w:rsidRPr="00FF6B34">
        <w:rPr>
          <w:i/>
          <w:iCs/>
          <w:lang w:val="pt-BR"/>
        </w:rPr>
        <w:t>Media-</w:t>
      </w:r>
      <w:proofErr w:type="spellStart"/>
      <w:r w:rsidRPr="00FF6B34">
        <w:rPr>
          <w:i/>
          <w:iCs/>
          <w:lang w:val="pt-BR"/>
        </w:rPr>
        <w:t>Aware</w:t>
      </w:r>
      <w:proofErr w:type="spellEnd"/>
      <w:r w:rsidRPr="00FF6B34">
        <w:rPr>
          <w:i/>
          <w:iCs/>
          <w:lang w:val="pt-BR"/>
        </w:rPr>
        <w:t xml:space="preserve"> </w:t>
      </w:r>
      <w:proofErr w:type="spellStart"/>
      <w:r w:rsidRPr="00FF6B34">
        <w:rPr>
          <w:i/>
          <w:iCs/>
          <w:lang w:val="pt-BR"/>
        </w:rPr>
        <w:t>Quantitative</w:t>
      </w:r>
      <w:proofErr w:type="spellEnd"/>
      <w:r w:rsidRPr="00FF6B34">
        <w:rPr>
          <w:i/>
          <w:iCs/>
          <w:lang w:val="pt-BR"/>
        </w:rPr>
        <w:t xml:space="preserve"> </w:t>
      </w:r>
      <w:proofErr w:type="spellStart"/>
      <w:r w:rsidRPr="00FF6B34">
        <w:rPr>
          <w:i/>
          <w:iCs/>
          <w:lang w:val="pt-BR"/>
        </w:rPr>
        <w:t>Trader</w:t>
      </w:r>
      <w:proofErr w:type="spellEnd"/>
      <w:r w:rsidRPr="00FF6B34">
        <w:rPr>
          <w:lang w:val="pt-BR"/>
        </w:rPr>
        <w:t xml:space="preserve"> (MAQT) \cite{Li2014}. Neste caso, é usado como </w:t>
      </w:r>
      <w:r w:rsidRPr="00FF6B34">
        <w:rPr>
          <w:i/>
          <w:iCs/>
          <w:lang w:val="pt-BR"/>
        </w:rPr>
        <w:t>input</w:t>
      </w:r>
      <w:r w:rsidRPr="00FF6B34">
        <w:rPr>
          <w:lang w:val="pt-BR"/>
        </w:rPr>
        <w:t xml:space="preserve"> de modelos o sentimento de </w:t>
      </w:r>
      <w:r w:rsidRPr="00FF6B34">
        <w:rPr>
          <w:lang w:val="pt-BR"/>
        </w:rPr>
        <w:t>miniblogs</w:t>
      </w:r>
      <w:r w:rsidRPr="00FF6B34">
        <w:rPr>
          <w:lang w:val="pt-BR"/>
        </w:rPr>
        <w:t xml:space="preserve">, as manchetes de sites de notícias - usando de </w:t>
      </w:r>
      <w:r w:rsidRPr="00FF6B34">
        <w:rPr>
          <w:i/>
          <w:iCs/>
          <w:lang w:val="pt-BR"/>
        </w:rPr>
        <w:t xml:space="preserve"> </w:t>
      </w:r>
      <w:proofErr w:type="spellStart"/>
      <w:r w:rsidRPr="00FF6B34">
        <w:rPr>
          <w:i/>
          <w:iCs/>
          <w:lang w:val="pt-BR"/>
        </w:rPr>
        <w:t>part</w:t>
      </w:r>
      <w:proofErr w:type="spellEnd"/>
      <w:r w:rsidRPr="00FF6B34">
        <w:rPr>
          <w:i/>
          <w:iCs/>
          <w:lang w:val="pt-BR"/>
        </w:rPr>
        <w:t>-</w:t>
      </w:r>
      <w:proofErr w:type="spellStart"/>
      <w:r w:rsidRPr="00FF6B34">
        <w:rPr>
          <w:i/>
          <w:iCs/>
          <w:lang w:val="pt-BR"/>
        </w:rPr>
        <w:t>of</w:t>
      </w:r>
      <w:proofErr w:type="spellEnd"/>
      <w:r w:rsidRPr="00FF6B34">
        <w:rPr>
          <w:i/>
          <w:iCs/>
          <w:lang w:val="pt-BR"/>
        </w:rPr>
        <w:t>-speech</w:t>
      </w:r>
      <w:r w:rsidRPr="00FF6B34">
        <w:rPr>
          <w:lang w:val="pt-BR"/>
        </w:rPr>
        <w:t xml:space="preserve"> (POS) para escolha das palavras - e preço histórico. Tais inputs são inseridos no algoritmo SVM para predição de tendências no mercado </w:t>
      </w:r>
      <w:r w:rsidRPr="00FF6B34">
        <w:rPr>
          <w:lang w:val="pt-BR"/>
        </w:rPr>
        <w:t>chinês</w:t>
      </w:r>
      <w:r w:rsidRPr="00FF6B34">
        <w:rPr>
          <w:lang w:val="pt-BR"/>
        </w:rPr>
        <w:t xml:space="preserve">. Ressalta-se o uso de um dicionário de sentimento </w:t>
      </w:r>
      <w:r w:rsidRPr="00FF6B34">
        <w:rPr>
          <w:lang w:val="pt-BR"/>
        </w:rPr>
        <w:t>específico para</w:t>
      </w:r>
      <w:r w:rsidRPr="00FF6B34">
        <w:rPr>
          <w:lang w:val="pt-BR"/>
        </w:rPr>
        <w:t xml:space="preserve"> finanças (</w:t>
      </w:r>
      <w:proofErr w:type="spellStart"/>
      <w:r w:rsidRPr="00FF6B34">
        <w:rPr>
          <w:lang w:val="pt-BR"/>
        </w:rPr>
        <w:t>Loughran</w:t>
      </w:r>
      <w:proofErr w:type="spellEnd"/>
      <w:r w:rsidRPr="00FF6B34">
        <w:rPr>
          <w:lang w:val="pt-BR"/>
        </w:rPr>
        <w:t xml:space="preserve"> e MacDonald (LM) \cite{Loughran2011}), com o intuito de conduzir uma abordagem de sentimento mais assertiva que um dicionário para um ambiente mais geral (e.g. Harvard IV-4 \cite{Stone1966}). Ainda, é interessante notar um máximo de previsibilidade se defasar o dia da análise de sentimento e o movimento do mercado em cinco dias, de acordo com os estudos de atraso de captura de informações do mercado de \cite{Lebaron1999}, e apresentando um resultado superior ao da estratégia </w:t>
      </w:r>
      <w:proofErr w:type="spellStart"/>
      <w:r w:rsidRPr="00FF6B34">
        <w:rPr>
          <w:lang w:val="pt-BR"/>
        </w:rPr>
        <w:t>AZFinText</w:t>
      </w:r>
      <w:proofErr w:type="spellEnd"/>
      <w:r w:rsidRPr="00FF6B34">
        <w:rPr>
          <w:lang w:val="pt-BR"/>
        </w:rPr>
        <w:t xml:space="preserve"> \cite{Schumaker2009}. Estratégia bem semelhante, mas que utiliza um sistema terceirizado - </w:t>
      </w:r>
      <w:proofErr w:type="spellStart"/>
      <w:r w:rsidRPr="00FF6B34">
        <w:rPr>
          <w:lang w:val="pt-BR"/>
        </w:rPr>
        <w:t>OpinionFinder</w:t>
      </w:r>
      <w:proofErr w:type="spellEnd"/>
      <w:r w:rsidRPr="00FF6B34">
        <w:rPr>
          <w:lang w:val="pt-BR"/>
        </w:rPr>
        <w:t xml:space="preserve"> \cite{</w:t>
      </w:r>
      <w:proofErr w:type="spellStart"/>
      <w:r w:rsidRPr="00FF6B34">
        <w:rPr>
          <w:lang w:val="pt-BR"/>
        </w:rPr>
        <w:t>OpnionFinder</w:t>
      </w:r>
      <w:proofErr w:type="spellEnd"/>
      <w:r w:rsidRPr="00FF6B34">
        <w:rPr>
          <w:lang w:val="pt-BR"/>
        </w:rPr>
        <w:t>} - para realizar a classificação positivo/negativo de sentimento.</w:t>
      </w:r>
    </w:p>
    <w:p w14:paraId="1CB11851" w14:textId="77777777" w:rsidR="00FF6B34" w:rsidRPr="00FF6B34" w:rsidRDefault="00FF6B34" w:rsidP="00FF6B34">
      <w:pPr>
        <w:jc w:val="both"/>
        <w:rPr>
          <w:lang w:val="pt-BR"/>
        </w:rPr>
      </w:pPr>
    </w:p>
    <w:p w14:paraId="50FEA9BA" w14:textId="77777777" w:rsidR="00FF6B34" w:rsidRPr="00FF6B34" w:rsidRDefault="00FF6B34" w:rsidP="00FF6B34">
      <w:pPr>
        <w:jc w:val="both"/>
        <w:rPr>
          <w:lang w:val="pt-BR"/>
        </w:rPr>
      </w:pPr>
      <w:r w:rsidRPr="00FF6B34">
        <w:rPr>
          <w:lang w:val="pt-BR"/>
        </w:rPr>
        <w:lastRenderedPageBreak/>
        <w:t xml:space="preserve">Diversos são outros trabalhos usando técnicas mais tradicionais para análise de sentimento (\cite{Rajeev2021}, \cite{Sprenger2014}, \cite{Grob-Klubmann2015} e \cite{Sanford2019}). Apesar de maior simplicidade nas técnicas usadas, as conclusões dos trabalhos são unânimes em relatar o valor agregado em conduzir análises mais profundas na área. </w:t>
      </w:r>
    </w:p>
    <w:p w14:paraId="03E7A6B5" w14:textId="0FAA9AF2" w:rsidR="00FF6B34" w:rsidRPr="00FF6B34" w:rsidRDefault="00FF6B34" w:rsidP="00FF6B34">
      <w:pPr>
        <w:jc w:val="both"/>
        <w:rPr>
          <w:lang w:val="pt-BR"/>
        </w:rPr>
      </w:pPr>
      <w:r w:rsidRPr="00FF6B34">
        <w:rPr>
          <w:lang w:val="pt-BR"/>
        </w:rPr>
        <w:t>Técnicas de redes neurais profundas</w:t>
      </w:r>
    </w:p>
    <w:p w14:paraId="50FB755D" w14:textId="675D8B88" w:rsidR="00FF6B34" w:rsidRPr="00FF6B34" w:rsidRDefault="00FF6B34" w:rsidP="00FF6B34">
      <w:pPr>
        <w:jc w:val="both"/>
        <w:rPr>
          <w:lang w:val="pt-BR"/>
        </w:rPr>
      </w:pPr>
      <w:r w:rsidRPr="00FF6B34">
        <w:rPr>
          <w:lang w:val="pt-BR"/>
        </w:rPr>
        <w:t xml:space="preserve">A ascensão de técnicas como rede neurais recorrentes (RNR) \cite{Rumelhart1986} permitiu no ambiente de processamento de linguagem natural (PLN), por meio das conexões neurais, a melhor avaliação de dados sequencias, trazendo informações passadas para serem considerar nas próximas entradas. Assim, foi possível a aplicação de análises que superassem barreiras de entendimento de contexto, o que antes era bem difícil usando técnicas mais tradicionais de </w:t>
      </w:r>
      <w:r w:rsidRPr="00FF6B34">
        <w:rPr>
          <w:lang w:val="pt-BR"/>
        </w:rPr>
        <w:t>aprendizado</w:t>
      </w:r>
      <w:r w:rsidRPr="00FF6B34">
        <w:rPr>
          <w:lang w:val="pt-BR"/>
        </w:rPr>
        <w:t xml:space="preserve"> de máquina (e.g. SVM e </w:t>
      </w:r>
      <w:proofErr w:type="spellStart"/>
      <w:r w:rsidRPr="00FF6B34">
        <w:rPr>
          <w:lang w:val="pt-BR"/>
        </w:rPr>
        <w:t>Naive</w:t>
      </w:r>
      <w:r>
        <w:rPr>
          <w:lang w:val="pt-BR"/>
        </w:rPr>
        <w:t>-</w:t>
      </w:r>
      <w:r w:rsidRPr="00FF6B34">
        <w:rPr>
          <w:lang w:val="pt-BR"/>
        </w:rPr>
        <w:t>Bayes</w:t>
      </w:r>
      <w:proofErr w:type="spellEnd"/>
      <w:r w:rsidRPr="00FF6B34">
        <w:rPr>
          <w:lang w:val="pt-BR"/>
        </w:rPr>
        <w:t>). Apesar de promissores, só mais recentemente tais métodos foram explorados.</w:t>
      </w:r>
    </w:p>
    <w:p w14:paraId="775701D3" w14:textId="270361A3" w:rsidR="00FF6B34" w:rsidRPr="00FF6B34" w:rsidRDefault="00FF6B34" w:rsidP="00FF6B34">
      <w:pPr>
        <w:jc w:val="both"/>
        <w:rPr>
          <w:lang w:val="pt-BR"/>
        </w:rPr>
      </w:pPr>
      <w:r w:rsidRPr="00FF6B34">
        <w:rPr>
          <w:lang w:val="pt-BR"/>
        </w:rPr>
        <w:t xml:space="preserve">Neste âmbito, vale citar \cite{Sowinska2020}. Usando dados da rede social Twitter, consideram-se diferentes modelos de capturas semânticas, tais como </w:t>
      </w:r>
      <w:r w:rsidRPr="00FF6B34">
        <w:rPr>
          <w:i/>
          <w:iCs/>
          <w:lang w:val="pt-BR"/>
        </w:rPr>
        <w:t xml:space="preserve">Bag </w:t>
      </w:r>
      <w:proofErr w:type="spellStart"/>
      <w:r w:rsidRPr="00FF6B34">
        <w:rPr>
          <w:i/>
          <w:iCs/>
          <w:lang w:val="pt-BR"/>
        </w:rPr>
        <w:t>of</w:t>
      </w:r>
      <w:proofErr w:type="spellEnd"/>
      <w:r w:rsidRPr="00FF6B34">
        <w:rPr>
          <w:i/>
          <w:iCs/>
          <w:lang w:val="pt-BR"/>
        </w:rPr>
        <w:t xml:space="preserve"> Words</w:t>
      </w:r>
      <w:r w:rsidRPr="00FF6B34">
        <w:rPr>
          <w:lang w:val="pt-BR"/>
        </w:rPr>
        <w:t xml:space="preserve"> (</w:t>
      </w:r>
      <w:proofErr w:type="spellStart"/>
      <w:r w:rsidRPr="00FF6B34">
        <w:rPr>
          <w:i/>
          <w:iCs/>
          <w:lang w:val="pt-BR"/>
        </w:rPr>
        <w:t>BoW</w:t>
      </w:r>
      <w:proofErr w:type="spellEnd"/>
      <w:r w:rsidRPr="00FF6B34">
        <w:rPr>
          <w:lang w:val="pt-BR"/>
        </w:rPr>
        <w:t xml:space="preserve">), </w:t>
      </w:r>
      <w:proofErr w:type="spellStart"/>
      <w:r w:rsidRPr="00FF6B34">
        <w:rPr>
          <w:i/>
          <w:iCs/>
          <w:lang w:val="pt-BR"/>
        </w:rPr>
        <w:t>FastText</w:t>
      </w:r>
      <w:proofErr w:type="spellEnd"/>
      <w:r w:rsidRPr="00FF6B34">
        <w:rPr>
          <w:lang w:val="pt-BR"/>
        </w:rPr>
        <w:t xml:space="preserve"> \cite{Facebook2016} e </w:t>
      </w:r>
      <w:r w:rsidRPr="00FF6B34">
        <w:rPr>
          <w:i/>
          <w:iCs/>
          <w:lang w:val="pt-BR"/>
        </w:rPr>
        <w:t>BERT</w:t>
      </w:r>
      <w:r w:rsidRPr="00FF6B34">
        <w:rPr>
          <w:lang w:val="pt-BR"/>
        </w:rPr>
        <w:t xml:space="preserve"> \cite{Delvin2018}, seguido de um modelo simples de LSTM. Importante ressaltar que foram considerados diferentes atrasos para avaliar a correlação de impacto </w:t>
      </w:r>
      <w:r w:rsidRPr="00FF6B34">
        <w:rPr>
          <w:lang w:val="pt-BR"/>
        </w:rPr>
        <w:t>nos retornos</w:t>
      </w:r>
      <w:r w:rsidRPr="00FF6B34">
        <w:rPr>
          <w:lang w:val="pt-BR"/>
        </w:rPr>
        <w:t xml:space="preserve"> das ações, considerando 1, 2, 3 e 7 dias à frente. Ainda, para focar nas companhias mais comentadas, delimitou-se o universo de companhias para as 100 empresas de capital aberto com as marcas mais valiosas, considerando o </w:t>
      </w:r>
      <w:r w:rsidRPr="00FF6B34">
        <w:rPr>
          <w:i/>
          <w:iCs/>
          <w:lang w:val="pt-BR"/>
        </w:rPr>
        <w:t xml:space="preserve">Financial Times Top 100 Global </w:t>
      </w:r>
      <w:proofErr w:type="spellStart"/>
      <w:r w:rsidRPr="00FF6B34">
        <w:rPr>
          <w:i/>
          <w:iCs/>
          <w:lang w:val="pt-BR"/>
        </w:rPr>
        <w:t>Brands</w:t>
      </w:r>
      <w:proofErr w:type="spellEnd"/>
      <w:r w:rsidRPr="00FF6B34">
        <w:rPr>
          <w:i/>
          <w:iCs/>
          <w:lang w:val="pt-BR"/>
        </w:rPr>
        <w:t xml:space="preserve"> 2019</w:t>
      </w:r>
      <w:r w:rsidRPr="00FF6B34">
        <w:rPr>
          <w:lang w:val="pt-BR"/>
        </w:rPr>
        <w:t xml:space="preserve">. Os resultados encontrados vão ao encontro de \cite{Li2017} e \cite{Zhang2018}, com uma maximização previsibilidade em 3 dias, alcançando uma acurácia de tendência de até 61\%. Ainda, notou-se que usar múltiplas capturas semânticas, tais como </w:t>
      </w:r>
      <w:proofErr w:type="spellStart"/>
      <w:r w:rsidRPr="00FF6B34">
        <w:rPr>
          <w:i/>
          <w:iCs/>
          <w:lang w:val="pt-BR"/>
        </w:rPr>
        <w:t>BoW</w:t>
      </w:r>
      <w:proofErr w:type="spellEnd"/>
      <w:r w:rsidRPr="00FF6B34">
        <w:rPr>
          <w:lang w:val="pt-BR"/>
        </w:rPr>
        <w:t xml:space="preserve"> + </w:t>
      </w:r>
      <w:proofErr w:type="spellStart"/>
      <w:r w:rsidRPr="00FF6B34">
        <w:rPr>
          <w:i/>
          <w:iCs/>
          <w:lang w:val="pt-BR"/>
        </w:rPr>
        <w:t>FastText</w:t>
      </w:r>
      <w:proofErr w:type="spellEnd"/>
      <w:r w:rsidRPr="00FF6B34">
        <w:rPr>
          <w:lang w:val="pt-BR"/>
        </w:rPr>
        <w:t>, podem trazer uma melhora de até 10\% na acurácia.</w:t>
      </w:r>
    </w:p>
    <w:p w14:paraId="44D035BE" w14:textId="77D72E85" w:rsidR="00FF6B34" w:rsidRPr="00FF6B34" w:rsidRDefault="00FF6B34" w:rsidP="00FF6B34">
      <w:pPr>
        <w:jc w:val="both"/>
        <w:rPr>
          <w:lang w:val="pt-BR"/>
        </w:rPr>
      </w:pPr>
      <w:r w:rsidRPr="00FF6B34">
        <w:rPr>
          <w:lang w:val="pt-BR"/>
        </w:rPr>
        <w:t xml:space="preserve">Importante ainda notar trabalhos que focam em analisar o ganho provindo ao usar técnicas de </w:t>
      </w:r>
      <w:proofErr w:type="spellStart"/>
      <w:r w:rsidRPr="00FF6B34">
        <w:rPr>
          <w:i/>
          <w:iCs/>
          <w:lang w:val="pt-BR"/>
        </w:rPr>
        <w:t>deep</w:t>
      </w:r>
      <w:proofErr w:type="spellEnd"/>
      <w:r w:rsidRPr="00FF6B34">
        <w:rPr>
          <w:i/>
          <w:iCs/>
          <w:lang w:val="pt-BR"/>
        </w:rPr>
        <w:t xml:space="preserve"> </w:t>
      </w:r>
      <w:proofErr w:type="spellStart"/>
      <w:r w:rsidRPr="00FF6B34">
        <w:rPr>
          <w:i/>
          <w:iCs/>
          <w:lang w:val="pt-BR"/>
        </w:rPr>
        <w:t>learning</w:t>
      </w:r>
      <w:proofErr w:type="spellEnd"/>
      <w:r w:rsidRPr="00FF6B34">
        <w:rPr>
          <w:lang w:val="pt-BR"/>
        </w:rPr>
        <w:t xml:space="preserve">, tais como \cite{Kraus2017}. Neste, realiza-se uma comparação extensa, com o </w:t>
      </w:r>
      <w:proofErr w:type="spellStart"/>
      <w:r w:rsidRPr="00FF6B34">
        <w:rPr>
          <w:i/>
          <w:iCs/>
          <w:lang w:val="pt-BR"/>
        </w:rPr>
        <w:t>BoW</w:t>
      </w:r>
      <w:proofErr w:type="spellEnd"/>
      <w:r w:rsidRPr="00FF6B34">
        <w:rPr>
          <w:lang w:val="pt-BR"/>
        </w:rPr>
        <w:t xml:space="preserve"> sendo usado em conjunto com técnicas como </w:t>
      </w:r>
      <w:proofErr w:type="spellStart"/>
      <w:r w:rsidRPr="00FF6B34">
        <w:rPr>
          <w:lang w:val="pt-BR"/>
        </w:rPr>
        <w:t>Naive</w:t>
      </w:r>
      <w:r>
        <w:rPr>
          <w:lang w:val="pt-BR"/>
        </w:rPr>
        <w:t>-</w:t>
      </w:r>
      <w:r w:rsidRPr="00FF6B34">
        <w:rPr>
          <w:lang w:val="pt-BR"/>
        </w:rPr>
        <w:t>Bayes</w:t>
      </w:r>
      <w:proofErr w:type="spellEnd"/>
      <w:r w:rsidRPr="00FF6B34">
        <w:rPr>
          <w:lang w:val="pt-BR"/>
        </w:rPr>
        <w:t xml:space="preserve">, </w:t>
      </w:r>
      <w:r w:rsidRPr="00FF6B34">
        <w:rPr>
          <w:i/>
          <w:iCs/>
          <w:lang w:val="pt-BR"/>
        </w:rPr>
        <w:t xml:space="preserve">Ridge </w:t>
      </w:r>
      <w:proofErr w:type="spellStart"/>
      <w:r w:rsidRPr="00FF6B34">
        <w:rPr>
          <w:i/>
          <w:iCs/>
          <w:lang w:val="pt-BR"/>
        </w:rPr>
        <w:t>Regression</w:t>
      </w:r>
      <w:proofErr w:type="spellEnd"/>
      <w:r w:rsidRPr="00FF6B34">
        <w:rPr>
          <w:lang w:val="pt-BR"/>
        </w:rPr>
        <w:t xml:space="preserve">, SVM, </w:t>
      </w:r>
      <w:proofErr w:type="spellStart"/>
      <w:r w:rsidRPr="00FF6B34">
        <w:rPr>
          <w:i/>
          <w:iCs/>
          <w:lang w:val="pt-BR"/>
        </w:rPr>
        <w:t>Random</w:t>
      </w:r>
      <w:proofErr w:type="spellEnd"/>
      <w:r w:rsidRPr="00FF6B34">
        <w:rPr>
          <w:i/>
          <w:iCs/>
          <w:lang w:val="pt-BR"/>
        </w:rPr>
        <w:t xml:space="preserve"> Forest</w:t>
      </w:r>
      <w:r w:rsidRPr="00FF6B34">
        <w:rPr>
          <w:lang w:val="pt-BR"/>
        </w:rPr>
        <w:t xml:space="preserve"> e outras em contraposição às técnicas mais avançadas. Estas seriam: RNN, LSTM com/sem </w:t>
      </w:r>
      <w:proofErr w:type="spellStart"/>
      <w:r w:rsidRPr="00FF6B34">
        <w:rPr>
          <w:i/>
          <w:iCs/>
          <w:lang w:val="pt-BR"/>
        </w:rPr>
        <w:t>embeddings</w:t>
      </w:r>
      <w:proofErr w:type="spellEnd"/>
      <w:r w:rsidRPr="00FF6B34">
        <w:rPr>
          <w:lang w:val="pt-BR"/>
        </w:rPr>
        <w:t xml:space="preserve"> por meio de </w:t>
      </w:r>
      <w:proofErr w:type="spellStart"/>
      <w:r w:rsidRPr="00FF6B34">
        <w:rPr>
          <w:i/>
          <w:iCs/>
          <w:lang w:val="pt-BR"/>
        </w:rPr>
        <w:t>GloVe</w:t>
      </w:r>
      <w:proofErr w:type="spellEnd"/>
      <w:r w:rsidRPr="00FF6B34">
        <w:rPr>
          <w:lang w:val="pt-BR"/>
        </w:rPr>
        <w:t xml:space="preserve"> \cite{Pennington2014} e todas essas três também sendo testadas com aplicação de </w:t>
      </w:r>
      <w:proofErr w:type="spellStart"/>
      <w:r w:rsidRPr="00FF6B34">
        <w:rPr>
          <w:i/>
          <w:iCs/>
          <w:lang w:val="pt-BR"/>
        </w:rPr>
        <w:t>transfer</w:t>
      </w:r>
      <w:proofErr w:type="spellEnd"/>
      <w:r w:rsidRPr="00FF6B34">
        <w:rPr>
          <w:i/>
          <w:iCs/>
          <w:lang w:val="pt-BR"/>
        </w:rPr>
        <w:t xml:space="preserve"> </w:t>
      </w:r>
      <w:proofErr w:type="spellStart"/>
      <w:r w:rsidRPr="00FF6B34">
        <w:rPr>
          <w:i/>
          <w:iCs/>
          <w:lang w:val="pt-BR"/>
        </w:rPr>
        <w:t>learning</w:t>
      </w:r>
      <w:proofErr w:type="spellEnd"/>
      <w:r w:rsidRPr="00FF6B34">
        <w:rPr>
          <w:lang w:val="pt-BR"/>
        </w:rPr>
        <w:t xml:space="preserve">. Mesmo após um teste de sensibilidade, nenhuma das técnicas mais tradicionais conseguiram superar o desempenho alcançado pelas de </w:t>
      </w:r>
      <w:proofErr w:type="spellStart"/>
      <w:r w:rsidRPr="00FF6B34">
        <w:rPr>
          <w:i/>
          <w:iCs/>
          <w:lang w:val="pt-BR"/>
        </w:rPr>
        <w:t>deep</w:t>
      </w:r>
      <w:proofErr w:type="spellEnd"/>
      <w:r w:rsidRPr="00FF6B34">
        <w:rPr>
          <w:i/>
          <w:iCs/>
          <w:lang w:val="pt-BR"/>
        </w:rPr>
        <w:t xml:space="preserve"> </w:t>
      </w:r>
      <w:proofErr w:type="spellStart"/>
      <w:r w:rsidRPr="00FF6B34">
        <w:rPr>
          <w:i/>
          <w:iCs/>
          <w:lang w:val="pt-BR"/>
        </w:rPr>
        <w:t>learning</w:t>
      </w:r>
      <w:proofErr w:type="spellEnd"/>
      <w:r w:rsidRPr="00FF6B34">
        <w:rPr>
          <w:lang w:val="pt-BR"/>
        </w:rPr>
        <w:t xml:space="preserve"> tanto na previsibilidade de tendência, bem como no tamanho dessa tendência. </w:t>
      </w:r>
      <w:proofErr w:type="spellStart"/>
      <w:r w:rsidRPr="00FF6B34">
        <w:rPr>
          <w:lang w:val="pt-BR"/>
        </w:rPr>
        <w:t>Feuerriegel</w:t>
      </w:r>
      <w:proofErr w:type="spellEnd"/>
      <w:r w:rsidRPr="00FF6B34">
        <w:rPr>
          <w:lang w:val="pt-BR"/>
        </w:rPr>
        <w:t xml:space="preserve"> ainda realizou outra análise, usando em conjunto com os resultados de polaridade, dados de preços históricos e </w:t>
      </w:r>
      <w:proofErr w:type="spellStart"/>
      <w:r w:rsidRPr="00FF6B34">
        <w:rPr>
          <w:lang w:val="pt-BR"/>
        </w:rPr>
        <w:t>momentuns</w:t>
      </w:r>
      <w:proofErr w:type="spellEnd"/>
      <w:r w:rsidRPr="00FF6B34">
        <w:rPr>
          <w:lang w:val="pt-BR"/>
        </w:rPr>
        <w:t xml:space="preserve"> relacionados \cite{Feurriegel2016}. Apesar de aplicar estratégias mais simples, alcançou uma redução na volatilidade, mas com uma redução no retorno total.</w:t>
      </w:r>
    </w:p>
    <w:p w14:paraId="62AFD135" w14:textId="1E3A1E2E" w:rsidR="00FF6B34" w:rsidRPr="00FF6B34" w:rsidRDefault="00FF6B34" w:rsidP="00FF6B34">
      <w:pPr>
        <w:jc w:val="both"/>
        <w:rPr>
          <w:lang w:val="pt-BR"/>
        </w:rPr>
      </w:pPr>
      <w:r w:rsidRPr="00FF6B34">
        <w:rPr>
          <w:lang w:val="pt-BR"/>
        </w:rPr>
        <w:t>Em outra análise extensa de polaridade, foi possível ampliar ainda mais as técnicas estudadas e suas combinações, focando em predição de sentimento \cite{Mishev2020}. Do lado de representação textual, foram considerados: técnicas de análise léxica (</w:t>
      </w:r>
      <w:proofErr w:type="spellStart"/>
      <w:r w:rsidRPr="004A787F">
        <w:rPr>
          <w:i/>
          <w:iCs/>
          <w:lang w:val="pt-BR"/>
        </w:rPr>
        <w:t>Count</w:t>
      </w:r>
      <w:proofErr w:type="spellEnd"/>
      <w:r w:rsidRPr="004A787F">
        <w:rPr>
          <w:i/>
          <w:iCs/>
          <w:lang w:val="pt-BR"/>
        </w:rPr>
        <w:t xml:space="preserve"> </w:t>
      </w:r>
      <w:proofErr w:type="spellStart"/>
      <w:r w:rsidRPr="004A787F">
        <w:rPr>
          <w:i/>
          <w:iCs/>
          <w:lang w:val="pt-BR"/>
        </w:rPr>
        <w:t>Vectorizer</w:t>
      </w:r>
      <w:proofErr w:type="spellEnd"/>
      <w:r w:rsidRPr="00FF6B34">
        <w:rPr>
          <w:lang w:val="pt-BR"/>
        </w:rPr>
        <w:t xml:space="preserve"> (CV) ou TD-IDF, usando HIV4 ou LM); </w:t>
      </w:r>
      <w:proofErr w:type="spellStart"/>
      <w:r w:rsidRPr="004A787F">
        <w:rPr>
          <w:i/>
          <w:iCs/>
          <w:lang w:val="pt-BR"/>
        </w:rPr>
        <w:t>encoders</w:t>
      </w:r>
      <w:proofErr w:type="spellEnd"/>
      <w:r w:rsidRPr="00FF6B34">
        <w:rPr>
          <w:lang w:val="pt-BR"/>
        </w:rPr>
        <w:t xml:space="preserve">, para palavras (e.g. </w:t>
      </w:r>
      <w:r w:rsidRPr="004A787F">
        <w:rPr>
          <w:i/>
          <w:iCs/>
          <w:lang w:val="pt-BR"/>
        </w:rPr>
        <w:t>Word2Vec</w:t>
      </w:r>
      <w:r w:rsidRPr="00FF6B34">
        <w:rPr>
          <w:lang w:val="pt-BR"/>
        </w:rPr>
        <w:t xml:space="preserve"> \cite{Mikolov2013}, </w:t>
      </w:r>
      <w:proofErr w:type="spellStart"/>
      <w:r w:rsidRPr="004A787F">
        <w:rPr>
          <w:i/>
          <w:iCs/>
          <w:lang w:val="pt-BR"/>
        </w:rPr>
        <w:t>GloVe</w:t>
      </w:r>
      <w:proofErr w:type="spellEnd"/>
      <w:r w:rsidRPr="00FF6B34">
        <w:rPr>
          <w:lang w:val="pt-BR"/>
        </w:rPr>
        <w:t xml:space="preserve">) e para sentenças. Já para algoritmo de classificação, para os mais tradicionais de aprendizado de máquina, usou-se SVM e Extreme </w:t>
      </w:r>
      <w:proofErr w:type="spellStart"/>
      <w:r w:rsidRPr="00FF6B34">
        <w:rPr>
          <w:lang w:val="pt-BR"/>
        </w:rPr>
        <w:t>Gradient</w:t>
      </w:r>
      <w:proofErr w:type="spellEnd"/>
      <w:r w:rsidRPr="00FF6B34">
        <w:rPr>
          <w:lang w:val="pt-BR"/>
        </w:rPr>
        <w:t xml:space="preserve"> </w:t>
      </w:r>
      <w:proofErr w:type="spellStart"/>
      <w:r w:rsidRPr="00FF6B34">
        <w:rPr>
          <w:lang w:val="pt-BR"/>
        </w:rPr>
        <w:t>Boost</w:t>
      </w:r>
      <w:proofErr w:type="spellEnd"/>
      <w:r w:rsidRPr="00FF6B34">
        <w:rPr>
          <w:lang w:val="pt-BR"/>
        </w:rPr>
        <w:t xml:space="preserve"> (XGB) \cite{Friedman2001}, usando de </w:t>
      </w:r>
      <w:proofErr w:type="spellStart"/>
      <w:r w:rsidRPr="004A787F">
        <w:rPr>
          <w:i/>
          <w:iCs/>
          <w:lang w:val="pt-BR"/>
        </w:rPr>
        <w:t>GridSearch</w:t>
      </w:r>
      <w:proofErr w:type="spellEnd"/>
      <w:r w:rsidRPr="00FF6B34">
        <w:rPr>
          <w:lang w:val="pt-BR"/>
        </w:rPr>
        <w:t xml:space="preserve"> para escolha de </w:t>
      </w:r>
      <w:r w:rsidR="004A787F" w:rsidRPr="00FF6B34">
        <w:rPr>
          <w:lang w:val="pt-BR"/>
        </w:rPr>
        <w:t>hiper parâmetros</w:t>
      </w:r>
      <w:r w:rsidRPr="00FF6B34">
        <w:rPr>
          <w:lang w:val="pt-BR"/>
        </w:rPr>
        <w:t xml:space="preserve">. Ainda foram estudadas redes neurais profundas (DNN), usando RNN e Redes Neurais </w:t>
      </w:r>
      <w:proofErr w:type="spellStart"/>
      <w:r w:rsidRPr="00FF6B34">
        <w:rPr>
          <w:lang w:val="pt-BR"/>
        </w:rPr>
        <w:t>Convolucionais</w:t>
      </w:r>
      <w:proofErr w:type="spellEnd"/>
      <w:r w:rsidRPr="00FF6B34">
        <w:rPr>
          <w:lang w:val="pt-BR"/>
        </w:rPr>
        <w:t xml:space="preserve"> (CNN) \cite{Kim2014}, baseando-se em mecanismos como </w:t>
      </w:r>
      <w:proofErr w:type="spellStart"/>
      <w:r w:rsidRPr="004A787F">
        <w:rPr>
          <w:i/>
          <w:iCs/>
          <w:lang w:val="pt-BR"/>
        </w:rPr>
        <w:t>Attention</w:t>
      </w:r>
      <w:proofErr w:type="spellEnd"/>
      <w:r w:rsidRPr="00FF6B34">
        <w:rPr>
          <w:lang w:val="pt-BR"/>
        </w:rPr>
        <w:t xml:space="preserve"> \cite{Bahdanau2014}, </w:t>
      </w:r>
      <w:r w:rsidR="004A787F" w:rsidRPr="00FF6B34">
        <w:rPr>
          <w:lang w:val="pt-BR"/>
        </w:rPr>
        <w:t>bi direção</w:t>
      </w:r>
      <w:r w:rsidRPr="00FF6B34">
        <w:rPr>
          <w:lang w:val="pt-BR"/>
        </w:rPr>
        <w:t xml:space="preserve"> de redes e taxa de aprendizado adaptável (ATOM) \cite{Kingma2014} para </w:t>
      </w:r>
      <w:r w:rsidR="004A787F" w:rsidRPr="00FF6B34">
        <w:rPr>
          <w:lang w:val="pt-BR"/>
        </w:rPr>
        <w:t>melhoria</w:t>
      </w:r>
      <w:r w:rsidRPr="00FF6B34">
        <w:rPr>
          <w:lang w:val="pt-BR"/>
        </w:rPr>
        <w:t xml:space="preserve"> de desempenho. Por fim, vale salientar a </w:t>
      </w:r>
      <w:r w:rsidRPr="00FF6B34">
        <w:rPr>
          <w:lang w:val="pt-BR"/>
        </w:rPr>
        <w:lastRenderedPageBreak/>
        <w:t>consideração também de</w:t>
      </w:r>
      <w:r w:rsidR="004A787F">
        <w:rPr>
          <w:lang w:val="pt-BR"/>
        </w:rPr>
        <w:t xml:space="preserve"> </w:t>
      </w:r>
      <w:proofErr w:type="spellStart"/>
      <w:r w:rsidRPr="004A787F">
        <w:rPr>
          <w:i/>
          <w:iCs/>
          <w:lang w:val="pt-BR"/>
        </w:rPr>
        <w:t>transformers</w:t>
      </w:r>
      <w:proofErr w:type="spellEnd"/>
      <w:r w:rsidRPr="00FF6B34">
        <w:rPr>
          <w:lang w:val="pt-BR"/>
        </w:rPr>
        <w:t xml:space="preserve"> (e.g. BERT, XLM \cite{Lample2019}). Após o estudo desses diversos casos, notou-se um ganho expressivo de acurácia nos algoritmos mais recentes, mas chegando em uma limitação de </w:t>
      </w:r>
      <w:r w:rsidR="004A787F" w:rsidRPr="00FF6B34">
        <w:rPr>
          <w:lang w:val="pt-BR"/>
        </w:rPr>
        <w:t>melhoria</w:t>
      </w:r>
      <w:r w:rsidRPr="00FF6B34">
        <w:rPr>
          <w:lang w:val="pt-BR"/>
        </w:rPr>
        <w:t xml:space="preserve"> de desempenho. Ainda assim, essa profunda análise reforça que técnicas como DNN são mais eficientes para classificação de sentimentos. Em especial, é </w:t>
      </w:r>
      <w:r w:rsidR="004A787F" w:rsidRPr="00FF6B34">
        <w:rPr>
          <w:lang w:val="pt-BR"/>
        </w:rPr>
        <w:t>importante ressaltar</w:t>
      </w:r>
      <w:r w:rsidRPr="00FF6B34">
        <w:rPr>
          <w:lang w:val="pt-BR"/>
        </w:rPr>
        <w:t xml:space="preserve"> os resultados provindos do método </w:t>
      </w:r>
      <w:proofErr w:type="spellStart"/>
      <w:r w:rsidRPr="004A787F">
        <w:rPr>
          <w:i/>
          <w:iCs/>
          <w:lang w:val="pt-BR"/>
        </w:rPr>
        <w:t>transformers</w:t>
      </w:r>
      <w:proofErr w:type="spellEnd"/>
      <w:r w:rsidRPr="00FF6B34">
        <w:rPr>
          <w:lang w:val="pt-BR"/>
        </w:rPr>
        <w:t>, alcançando acurácia superior a 90\% para quase todos os casos.</w:t>
      </w:r>
    </w:p>
    <w:p w14:paraId="44AA44C2" w14:textId="397E2CEB" w:rsidR="00FF6B34" w:rsidRPr="00FF6B34" w:rsidRDefault="00FF6B34" w:rsidP="00FF6B34">
      <w:pPr>
        <w:jc w:val="both"/>
        <w:rPr>
          <w:lang w:val="pt-BR"/>
        </w:rPr>
      </w:pPr>
      <w:r w:rsidRPr="00FF6B34">
        <w:rPr>
          <w:lang w:val="pt-BR"/>
        </w:rPr>
        <w:t xml:space="preserve">Além do emprego e análise de tais ferramentas, \cite{Ding2014} explora a aplicação de eventos estruturados em dados de notícias. Com isso, possui o intuito de ter uma melhor compreensão do contexto ao qual a notícia está inserida. Para tal, primeiramente é necessário retirar os eventos estruturados dos dados, usando técnicas de </w:t>
      </w:r>
      <w:r w:rsidRPr="004A787F">
        <w:rPr>
          <w:i/>
          <w:iCs/>
          <w:lang w:val="pt-BR"/>
        </w:rPr>
        <w:t xml:space="preserve">Open </w:t>
      </w:r>
      <w:proofErr w:type="spellStart"/>
      <w:r w:rsidRPr="004A787F">
        <w:rPr>
          <w:i/>
          <w:iCs/>
          <w:lang w:val="pt-BR"/>
        </w:rPr>
        <w:t>Information</w:t>
      </w:r>
      <w:proofErr w:type="spellEnd"/>
      <w:r w:rsidRPr="004A787F">
        <w:rPr>
          <w:i/>
          <w:iCs/>
          <w:lang w:val="pt-BR"/>
        </w:rPr>
        <w:t xml:space="preserve"> </w:t>
      </w:r>
      <w:proofErr w:type="spellStart"/>
      <w:r w:rsidRPr="004A787F">
        <w:rPr>
          <w:i/>
          <w:iCs/>
          <w:lang w:val="pt-BR"/>
        </w:rPr>
        <w:t>Extraction</w:t>
      </w:r>
      <w:proofErr w:type="spellEnd"/>
      <w:r w:rsidRPr="00FF6B34">
        <w:rPr>
          <w:lang w:val="pt-BR"/>
        </w:rPr>
        <w:t xml:space="preserve"> \cite{Banko2007} - o que não requer a necessidade de eventos predefinidos. A seguir, aplica-se um processo de generalização, diminuindo o número de eventos. Dessa forma, usa-se </w:t>
      </w:r>
      <w:proofErr w:type="spellStart"/>
      <w:r w:rsidRPr="00FF6B34">
        <w:rPr>
          <w:lang w:val="pt-BR"/>
        </w:rPr>
        <w:t>WordNet</w:t>
      </w:r>
      <w:proofErr w:type="spellEnd"/>
      <w:r w:rsidRPr="00FF6B34">
        <w:rPr>
          <w:lang w:val="pt-BR"/>
        </w:rPr>
        <w:t xml:space="preserve"> \cite{Miller1995} para </w:t>
      </w:r>
      <w:proofErr w:type="spellStart"/>
      <w:r w:rsidRPr="004A787F">
        <w:rPr>
          <w:i/>
          <w:iCs/>
          <w:lang w:val="pt-BR"/>
        </w:rPr>
        <w:t>stemming</w:t>
      </w:r>
      <w:proofErr w:type="spellEnd"/>
      <w:r w:rsidRPr="00FF6B34">
        <w:rPr>
          <w:lang w:val="pt-BR"/>
        </w:rPr>
        <w:t xml:space="preserve"> e </w:t>
      </w:r>
      <w:proofErr w:type="spellStart"/>
      <w:r w:rsidRPr="004A787F">
        <w:rPr>
          <w:i/>
          <w:iCs/>
          <w:lang w:val="pt-BR"/>
        </w:rPr>
        <w:t>VerbNet</w:t>
      </w:r>
      <w:proofErr w:type="spellEnd"/>
      <w:r w:rsidRPr="00FF6B34">
        <w:rPr>
          <w:lang w:val="pt-BR"/>
        </w:rPr>
        <w:t xml:space="preserve"> \cite{Schuler2005} para generalizar cada verbo em um nome de uma classe - por exemplo, </w:t>
      </w:r>
      <w:proofErr w:type="spellStart"/>
      <w:r w:rsidRPr="004A787F">
        <w:rPr>
          <w:i/>
          <w:iCs/>
          <w:lang w:val="pt-BR"/>
        </w:rPr>
        <w:t>add</w:t>
      </w:r>
      <w:proofErr w:type="spellEnd"/>
      <w:r w:rsidRPr="00FF6B34">
        <w:rPr>
          <w:lang w:val="pt-BR"/>
        </w:rPr>
        <w:t xml:space="preserve"> viraria </w:t>
      </w:r>
      <w:proofErr w:type="spellStart"/>
      <w:r w:rsidRPr="004A787F">
        <w:rPr>
          <w:i/>
          <w:iCs/>
          <w:lang w:val="pt-BR"/>
        </w:rPr>
        <w:t>multiply</w:t>
      </w:r>
      <w:proofErr w:type="spellEnd"/>
      <w:r w:rsidRPr="004A787F">
        <w:rPr>
          <w:i/>
          <w:iCs/>
          <w:lang w:val="pt-BR"/>
        </w:rPr>
        <w:t>\_</w:t>
      </w:r>
      <w:proofErr w:type="spellStart"/>
      <w:r w:rsidRPr="004A787F">
        <w:rPr>
          <w:i/>
          <w:iCs/>
          <w:lang w:val="pt-BR"/>
        </w:rPr>
        <w:t>class</w:t>
      </w:r>
      <w:proofErr w:type="spellEnd"/>
      <w:r w:rsidRPr="00FF6B34">
        <w:rPr>
          <w:lang w:val="pt-BR"/>
        </w:rPr>
        <w:t xml:space="preserve">}. Com isso, realiza uma comparação entre eventos estruturados com </w:t>
      </w:r>
      <w:proofErr w:type="spellStart"/>
      <w:r w:rsidRPr="004A787F">
        <w:rPr>
          <w:i/>
          <w:iCs/>
          <w:lang w:val="pt-BR"/>
        </w:rPr>
        <w:t>BoW</w:t>
      </w:r>
      <w:proofErr w:type="spellEnd"/>
      <w:r w:rsidRPr="00FF6B34">
        <w:rPr>
          <w:lang w:val="pt-BR"/>
        </w:rPr>
        <w:t xml:space="preserve">. Ainda, para etapa de previsão, compara um modelo linear (SVM) contra um não linear. Dos 4 processos possíveis, a acurácia do algoritmo não linear apresentou </w:t>
      </w:r>
      <w:r w:rsidR="004A787F">
        <w:rPr>
          <w:lang w:val="pt-BR"/>
        </w:rPr>
        <w:t>melhores</w:t>
      </w:r>
      <w:r w:rsidRPr="00FF6B34">
        <w:rPr>
          <w:lang w:val="pt-BR"/>
        </w:rPr>
        <w:t xml:space="preserve"> resultados do que o linear. Analogamente para a análise de eventos contra </w:t>
      </w:r>
      <w:proofErr w:type="spellStart"/>
      <w:r w:rsidRPr="004A787F">
        <w:rPr>
          <w:i/>
          <w:iCs/>
          <w:lang w:val="pt-BR"/>
        </w:rPr>
        <w:t>BoW</w:t>
      </w:r>
      <w:proofErr w:type="spellEnd"/>
      <w:r w:rsidRPr="00FF6B34">
        <w:rPr>
          <w:lang w:val="pt-BR"/>
        </w:rPr>
        <w:t xml:space="preserve">, mesmo ao considerar diferentes atrasos (1 dia, 1 semana e 1 mês). Todos esses resultados reforçam a importância de considerar o contexto para </w:t>
      </w:r>
      <w:r w:rsidR="004A787F" w:rsidRPr="00FF6B34">
        <w:rPr>
          <w:lang w:val="pt-BR"/>
        </w:rPr>
        <w:t>predição</w:t>
      </w:r>
      <w:r w:rsidRPr="00FF6B34">
        <w:rPr>
          <w:lang w:val="pt-BR"/>
        </w:rPr>
        <w:t xml:space="preserve"> de tendência. </w:t>
      </w:r>
    </w:p>
    <w:p w14:paraId="0D6D798D" w14:textId="403A93D8" w:rsidR="00FF6B34" w:rsidRPr="00FF6B34" w:rsidRDefault="00FF6B34" w:rsidP="00FF6B34">
      <w:pPr>
        <w:jc w:val="both"/>
        <w:rPr>
          <w:lang w:val="pt-BR"/>
        </w:rPr>
      </w:pPr>
      <w:r w:rsidRPr="00FF6B34">
        <w:rPr>
          <w:lang w:val="pt-BR"/>
        </w:rPr>
        <w:t xml:space="preserve">Em suma, nota-se que diversos são os trabalhos, produzindo resultados instigantes a uma maior exploração na área. Ainda, técnicas mais avançadas, como </w:t>
      </w:r>
      <w:proofErr w:type="spellStart"/>
      <w:r w:rsidRPr="004A787F">
        <w:rPr>
          <w:i/>
          <w:iCs/>
          <w:lang w:val="pt-BR"/>
        </w:rPr>
        <w:t>embeddings</w:t>
      </w:r>
      <w:proofErr w:type="spellEnd"/>
      <w:r w:rsidRPr="00FF6B34">
        <w:rPr>
          <w:lang w:val="pt-BR"/>
        </w:rPr>
        <w:t xml:space="preserve">, </w:t>
      </w:r>
      <w:proofErr w:type="spellStart"/>
      <w:r w:rsidRPr="004A787F">
        <w:rPr>
          <w:i/>
          <w:iCs/>
          <w:lang w:val="pt-BR"/>
        </w:rPr>
        <w:t>transformers</w:t>
      </w:r>
      <w:proofErr w:type="spellEnd"/>
      <w:r w:rsidRPr="00FF6B34">
        <w:rPr>
          <w:lang w:val="pt-BR"/>
        </w:rPr>
        <w:t xml:space="preserve"> e </w:t>
      </w:r>
      <w:proofErr w:type="spellStart"/>
      <w:r w:rsidRPr="004A787F">
        <w:rPr>
          <w:i/>
          <w:iCs/>
          <w:lang w:val="pt-BR"/>
        </w:rPr>
        <w:t>transfer</w:t>
      </w:r>
      <w:proofErr w:type="spellEnd"/>
      <w:r w:rsidRPr="004A787F">
        <w:rPr>
          <w:i/>
          <w:iCs/>
          <w:lang w:val="pt-BR"/>
        </w:rPr>
        <w:t xml:space="preserve"> </w:t>
      </w:r>
      <w:proofErr w:type="spellStart"/>
      <w:r w:rsidRPr="004A787F">
        <w:rPr>
          <w:i/>
          <w:iCs/>
          <w:lang w:val="pt-BR"/>
        </w:rPr>
        <w:t>learning</w:t>
      </w:r>
      <w:proofErr w:type="spellEnd"/>
      <w:r w:rsidRPr="00FF6B34">
        <w:rPr>
          <w:lang w:val="pt-BR"/>
        </w:rPr>
        <w:t>, trazem um expressivo ganho marginal na acurácia de análise de sentimento. Assim, ampliar a exploração de tais técnicas aparenta ser bem promissor.</w:t>
      </w:r>
    </w:p>
    <w:p w14:paraId="4098E4D8" w14:textId="6FA99C06" w:rsidR="002F5EC2" w:rsidRDefault="002F5EC2" w:rsidP="002F5EC2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Fundamentos e Metodologia Proposta</w:t>
      </w:r>
    </w:p>
    <w:p w14:paraId="5372E810" w14:textId="73024BE8" w:rsidR="00935D48" w:rsidRPr="00935D48" w:rsidRDefault="00935D48" w:rsidP="00935D48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1E7C2C7F" wp14:editId="5CB69289">
            <wp:extent cx="5315600" cy="21765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78" cy="218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5B346B" w14:textId="3DCAC359" w:rsidR="00C05828" w:rsidRDefault="00C05828" w:rsidP="002F5EC2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Descrição de Fontes de Dados e Justifica</w:t>
      </w:r>
      <w:r w:rsidR="000A15A7">
        <w:rPr>
          <w:lang w:val="pt-BR"/>
        </w:rPr>
        <w:t>tiva</w:t>
      </w:r>
    </w:p>
    <w:p w14:paraId="571AE499" w14:textId="023E3BDD" w:rsidR="000B2CBF" w:rsidRPr="000B2CBF" w:rsidRDefault="000B2CBF" w:rsidP="0060007B">
      <w:pPr>
        <w:jc w:val="both"/>
        <w:rPr>
          <w:lang w:val="pt-BR"/>
        </w:rPr>
      </w:pPr>
      <w:r w:rsidRPr="000B2CBF">
        <w:rPr>
          <w:lang w:val="pt-BR"/>
        </w:rPr>
        <w:t>Conform</w:t>
      </w:r>
      <w:r>
        <w:rPr>
          <w:lang w:val="pt-BR"/>
        </w:rPr>
        <w:t>e</w:t>
      </w:r>
      <w:r w:rsidRPr="000B2CBF">
        <w:rPr>
          <w:lang w:val="pt-BR"/>
        </w:rPr>
        <w:t xml:space="preserve">, serão utilizados dois bancos de dados. Um deles, será aplicado para o processo de análise de sentimento, enquanto o outro para o processo de predição por série histórica.  </w:t>
      </w:r>
    </w:p>
    <w:p w14:paraId="231CB8A1" w14:textId="795C0C13" w:rsidR="000B2CBF" w:rsidRPr="000B2CBF" w:rsidRDefault="000B2CBF" w:rsidP="0060007B">
      <w:pPr>
        <w:jc w:val="both"/>
        <w:rPr>
          <w:lang w:val="pt-BR"/>
        </w:rPr>
      </w:pPr>
      <w:r w:rsidRPr="000B2CBF">
        <w:rPr>
          <w:lang w:val="pt-BR"/>
        </w:rPr>
        <w:t>Análise de Sentimento</w:t>
      </w:r>
    </w:p>
    <w:p w14:paraId="00090936" w14:textId="16A5D51B" w:rsidR="000B2CBF" w:rsidRPr="000B2CBF" w:rsidRDefault="000B2CBF" w:rsidP="0060007B">
      <w:pPr>
        <w:jc w:val="both"/>
        <w:rPr>
          <w:lang w:val="pt-BR"/>
        </w:rPr>
      </w:pPr>
      <w:r w:rsidRPr="000B2CBF">
        <w:rPr>
          <w:lang w:val="pt-BR"/>
        </w:rPr>
        <w:t xml:space="preserve">Será usada a base de dados </w:t>
      </w:r>
      <w:r w:rsidRPr="000B2CBF">
        <w:rPr>
          <w:i/>
          <w:iCs/>
          <w:lang w:val="pt-BR"/>
        </w:rPr>
        <w:t>Stock Market Tweets Data</w:t>
      </w:r>
      <w:r w:rsidRPr="000B2CBF">
        <w:rPr>
          <w:lang w:val="pt-BR"/>
        </w:rPr>
        <w:t xml:space="preserve"> fornecida pela </w:t>
      </w:r>
      <w:proofErr w:type="spellStart"/>
      <w:r w:rsidRPr="000B2CBF">
        <w:rPr>
          <w:lang w:val="pt-BR"/>
        </w:rPr>
        <w:t>IEEEDataPort</w:t>
      </w:r>
      <w:proofErr w:type="spellEnd"/>
      <w:r w:rsidRPr="000B2CBF">
        <w:rPr>
          <w:lang w:val="pt-BR"/>
        </w:rPr>
        <w:t xml:space="preserve"> \cite{Taborda2021}. Tal base foi construída por meio do Twitter REST API, usando a biblioteca da linguagem Python </w:t>
      </w:r>
      <w:r>
        <w:rPr>
          <w:lang w:val="pt-BR"/>
        </w:rPr>
        <w:t>“</w:t>
      </w:r>
      <w:proofErr w:type="spellStart"/>
      <w:r w:rsidRPr="000B2CBF">
        <w:rPr>
          <w:lang w:val="pt-BR"/>
        </w:rPr>
        <w:t>Tweepy</w:t>
      </w:r>
      <w:proofErr w:type="spellEnd"/>
      <w:r w:rsidRPr="000B2CBF">
        <w:rPr>
          <w:lang w:val="pt-BR"/>
        </w:rPr>
        <w:t xml:space="preserve"> (versão 3.8.0)</w:t>
      </w:r>
      <w:r>
        <w:rPr>
          <w:lang w:val="pt-BR"/>
        </w:rPr>
        <w:t>”</w:t>
      </w:r>
      <w:r w:rsidRPr="000B2CBF">
        <w:rPr>
          <w:lang w:val="pt-BR"/>
        </w:rPr>
        <w:t xml:space="preserve">. Tal API retorna somente os dados dos últimos 7 </w:t>
      </w:r>
      <w:r w:rsidRPr="000B2CBF">
        <w:rPr>
          <w:lang w:val="pt-BR"/>
        </w:rPr>
        <w:lastRenderedPageBreak/>
        <w:t xml:space="preserve">dias, permitindo filtrar por língua e por </w:t>
      </w:r>
      <w:proofErr w:type="spellStart"/>
      <w:r w:rsidRPr="000B2CBF">
        <w:rPr>
          <w:i/>
          <w:iCs/>
          <w:lang w:val="pt-BR"/>
        </w:rPr>
        <w:t>tags</w:t>
      </w:r>
      <w:proofErr w:type="spellEnd"/>
      <w:r w:rsidRPr="000B2CBF">
        <w:rPr>
          <w:lang w:val="pt-BR"/>
        </w:rPr>
        <w:t xml:space="preserve"> existentes no </w:t>
      </w:r>
      <w:r w:rsidRPr="000B2CBF">
        <w:rPr>
          <w:lang w:val="pt-BR"/>
        </w:rPr>
        <w:t>conteúdo</w:t>
      </w:r>
      <w:r w:rsidRPr="000B2CBF">
        <w:rPr>
          <w:lang w:val="pt-BR"/>
        </w:rPr>
        <w:t xml:space="preserve"> do tweet. Para o banco de dados, foi guardado somente o corpo do tweet e a data de criação. </w:t>
      </w:r>
    </w:p>
    <w:p w14:paraId="721E3326" w14:textId="35B5977A" w:rsidR="000B2CBF" w:rsidRPr="000B2CBF" w:rsidRDefault="000B2CBF" w:rsidP="0060007B">
      <w:pPr>
        <w:jc w:val="both"/>
        <w:rPr>
          <w:lang w:val="pt-BR"/>
        </w:rPr>
      </w:pPr>
      <w:r w:rsidRPr="000B2CBF">
        <w:rPr>
          <w:lang w:val="pt-BR"/>
        </w:rPr>
        <w:t xml:space="preserve">Dessa forma, realizou-se a coleta de dados entre 9 de Abril de 2020 a até 9 de Julho de 2020, utilizando as seguintes </w:t>
      </w:r>
      <w:proofErr w:type="spellStart"/>
      <w:r w:rsidRPr="0060007B">
        <w:rPr>
          <w:i/>
          <w:iCs/>
          <w:lang w:val="pt-BR"/>
        </w:rPr>
        <w:t>tags</w:t>
      </w:r>
      <w:proofErr w:type="spellEnd"/>
      <w:r w:rsidRPr="000B2CBF">
        <w:rPr>
          <w:lang w:val="pt-BR"/>
        </w:rPr>
        <w:t>: #SPX500, #SP500, SPX500, SP500, \$SPX, \#stocks, \$MSFT, \$AAPL, \$AMZN, \$FB, \$BBRK.B, \$GOOG, \$JNJ, \$JPM, \$V, \$PG, \$MA, \$INTC, \$UNH, \$BAC, \$T, \$HD, \$XOM, \$DIS, \$VZ, \$KO, \$MRK, \$CMCSA, \$CVX, \$PEP, \$PFE.</w:t>
      </w:r>
    </w:p>
    <w:p w14:paraId="25C9BFB4" w14:textId="354AE028" w:rsidR="000B2CBF" w:rsidRPr="000B2CBF" w:rsidRDefault="000B2CBF" w:rsidP="0060007B">
      <w:pPr>
        <w:jc w:val="both"/>
        <w:rPr>
          <w:lang w:val="pt-BR"/>
        </w:rPr>
      </w:pPr>
      <w:r w:rsidRPr="000B2CBF">
        <w:rPr>
          <w:lang w:val="pt-BR"/>
        </w:rPr>
        <w:t xml:space="preserve">Vale salientar que, seguindo o trabalho de \cite{Baker2006}, entende-se que algumas companhias possuem maior suscetibilidade que seus preços sejam sujeitos a efeitos de sentimento de mercado. Dessa forma, seguindo os 6 indicadores abordados no artigo, será filtrado, tirando os </w:t>
      </w:r>
      <w:proofErr w:type="spellStart"/>
      <w:r w:rsidRPr="0060007B">
        <w:rPr>
          <w:i/>
          <w:iCs/>
          <w:lang w:val="pt-BR"/>
        </w:rPr>
        <w:t>tickers</w:t>
      </w:r>
      <w:proofErr w:type="spellEnd"/>
      <w:r w:rsidRPr="000B2CBF">
        <w:rPr>
          <w:lang w:val="pt-BR"/>
        </w:rPr>
        <w:t xml:space="preserve"> relacionado ao index S&amp;P500 - estes serão inseridos, as 2 melhores companhias melhores se encaixem nesse perfil. </w:t>
      </w:r>
    </w:p>
    <w:p w14:paraId="7FC22D2E" w14:textId="51A3AC58" w:rsidR="000B2CBF" w:rsidRPr="000B2CBF" w:rsidRDefault="000B2CBF" w:rsidP="0060007B">
      <w:pPr>
        <w:jc w:val="both"/>
        <w:rPr>
          <w:lang w:val="pt-BR"/>
        </w:rPr>
      </w:pPr>
      <w:r w:rsidRPr="000B2CBF">
        <w:rPr>
          <w:lang w:val="pt-BR"/>
        </w:rPr>
        <w:t>Histórico de Preços</w:t>
      </w:r>
    </w:p>
    <w:p w14:paraId="2326A960" w14:textId="4D6596E2" w:rsidR="000B2CBF" w:rsidRPr="000B2CBF" w:rsidRDefault="000B2CBF" w:rsidP="0060007B">
      <w:pPr>
        <w:jc w:val="both"/>
        <w:rPr>
          <w:lang w:val="pt-BR"/>
        </w:rPr>
      </w:pPr>
      <w:r w:rsidRPr="000B2CBF">
        <w:rPr>
          <w:lang w:val="pt-BR"/>
        </w:rPr>
        <w:t>Para obter os preços históricos, será usado o \</w:t>
      </w:r>
      <w:proofErr w:type="spellStart"/>
      <w:r w:rsidRPr="000B2CBF">
        <w:rPr>
          <w:lang w:val="pt-BR"/>
        </w:rPr>
        <w:t>textit</w:t>
      </w:r>
      <w:proofErr w:type="spellEnd"/>
      <w:r w:rsidRPr="000B2CBF">
        <w:rPr>
          <w:lang w:val="pt-BR"/>
        </w:rPr>
        <w:t xml:space="preserve">{software} Bloomberg \cite{BBG}, retirando dados para o mesmo período - 9 de Abril a até 9 de Julho de 2009. Assim, para as duas companhias selecionados e o ETF SPY (simula a movimentação do S&amp;P500), será obtido suas respectivas cotações diárias. </w:t>
      </w:r>
    </w:p>
    <w:p w14:paraId="6E823DCA" w14:textId="5854A359" w:rsidR="009C7F5E" w:rsidRDefault="009C7F5E" w:rsidP="0060007B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Resultado Preliminar</w:t>
      </w:r>
    </w:p>
    <w:p w14:paraId="4A6E154D" w14:textId="37F5A17F" w:rsidR="006F0D75" w:rsidRPr="002F5EC2" w:rsidRDefault="000A15A7" w:rsidP="0060007B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Conclusões</w:t>
      </w:r>
    </w:p>
    <w:sectPr w:rsidR="006F0D75" w:rsidRPr="002F5EC2" w:rsidSect="001D6C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E4EA3"/>
    <w:multiLevelType w:val="hybridMultilevel"/>
    <w:tmpl w:val="33DE386E"/>
    <w:lvl w:ilvl="0" w:tplc="E7FEA7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011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189"/>
    <w:rsid w:val="000A15A7"/>
    <w:rsid w:val="000B2CBF"/>
    <w:rsid w:val="001D6CF2"/>
    <w:rsid w:val="002F5EC2"/>
    <w:rsid w:val="0044535C"/>
    <w:rsid w:val="00473D01"/>
    <w:rsid w:val="004A787F"/>
    <w:rsid w:val="0060007B"/>
    <w:rsid w:val="006078D2"/>
    <w:rsid w:val="006F0D75"/>
    <w:rsid w:val="007A7D82"/>
    <w:rsid w:val="00935D48"/>
    <w:rsid w:val="009C7F5E"/>
    <w:rsid w:val="00C05828"/>
    <w:rsid w:val="00E55189"/>
    <w:rsid w:val="00FF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8FFA95B"/>
  <w15:chartTrackingRefBased/>
  <w15:docId w15:val="{F33D10CF-B6DE-428A-BF63-68122FC4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7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0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2264</Words>
  <Characters>12906</Characters>
  <Application>Microsoft Office Word</Application>
  <DocSecurity>0</DocSecurity>
  <Lines>107</Lines>
  <Paragraphs>30</Paragraphs>
  <ScaleCrop>false</ScaleCrop>
  <Company/>
  <LinksUpToDate>false</LinksUpToDate>
  <CharactersWithSpaces>15140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Amâncio Machado Dias</dc:creator>
  <cp:keywords/>
  <dc:description/>
  <cp:lastModifiedBy>Igor Amâncio Machado Dias</cp:lastModifiedBy>
  <cp:revision>14</cp:revision>
  <dcterms:created xsi:type="dcterms:W3CDTF">2022-08-28T02:56:00Z</dcterms:created>
  <dcterms:modified xsi:type="dcterms:W3CDTF">2022-08-28T03:15:00Z</dcterms:modified>
</cp:coreProperties>
</file>