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002E6E"/>
          <w:sz w:val="48"/>
        </w:rPr>
        <w:t>TRÁFEGO PAGO — ORCALI 2026</w:t>
      </w:r>
    </w:p>
    <w:p>
      <w:pPr>
        <w:jc w:val="center"/>
      </w:pPr>
      <w:r>
        <w:rPr>
          <w:b/>
          <w:color w:val="72BF45"/>
          <w:sz w:val="26"/>
        </w:rPr>
        <w:t>Para prospecções que não podem parar</w:t>
      </w:r>
    </w:p>
    <w:p>
      <w:pPr>
        <w:jc w:val="center"/>
      </w:pPr>
      <w:r>
        <w:rPr>
          <w:color w:val="444444"/>
          <w:sz w:val="20"/>
        </w:rPr>
        <w:t>Conteúdo dos slides — referência para montagem no Canva</w:t>
      </w:r>
    </w:p>
    <w:p>
      <w:pPr>
        <w:spacing w:before="120" w:after="120"/>
        <w:pBdr>
          <w:bottom w:val="single" w:sz="4" w:space="1" w:color="002E6E"/>
        </w:pBdr>
      </w:pPr>
    </w:p>
    <w:p>
      <w:pPr>
        <w:spacing w:before="320"/>
      </w:pPr>
      <w:r>
        <w:rPr>
          <w:b/>
          <w:color w:val="002E6E"/>
          <w:sz w:val="26"/>
        </w:rPr>
        <w:t>▌ SEÇÃO 1 — ANÁLISE</w:t>
      </w:r>
    </w:p>
    <w:p/>
    <w:p>
      <w:pPr>
        <w:spacing w:before="80" w:after="0"/>
      </w:pPr>
      <w:r>
        <w:rPr>
          <w:b/>
          <w:color w:val="72BF45"/>
          <w:sz w:val="16"/>
        </w:rPr>
        <w:t>SLIDE 1</w:t>
      </w:r>
    </w:p>
    <w:p>
      <w:pPr>
        <w:spacing w:before="0" w:after="40"/>
      </w:pPr>
      <w:r>
        <w:rPr>
          <w:b/>
          <w:color w:val="72BF45"/>
          <w:sz w:val="18"/>
        </w:rPr>
        <w:t>ABERTURA</w:t>
      </w:r>
    </w:p>
    <w:p>
      <w:pPr>
        <w:spacing w:before="0" w:after="120"/>
      </w:pPr>
      <w:r>
        <w:rPr>
          <w:b/>
          <w:color w:val="002E6E"/>
          <w:sz w:val="36"/>
        </w:rPr>
        <w:t>Capa</w:t>
      </w:r>
    </w:p>
    <w:p>
      <w:pPr>
        <w:spacing w:before="120" w:after="120"/>
        <w:pBdr>
          <w:bottom w:val="single" w:sz="4" w:space="1" w:color="002E6E"/>
        </w:pBdr>
      </w:pPr>
    </w:p>
    <w:p>
      <w:pPr>
        <w:spacing w:after="80"/>
      </w:pPr>
      <w:r>
        <w:rPr>
          <w:color w:val="444444"/>
          <w:sz w:val="21"/>
        </w:rPr>
        <w:t>Headline: Tráfego Pago / Orcali</w:t>
      </w:r>
    </w:p>
    <w:p>
      <w:pPr>
        <w:spacing w:after="80"/>
      </w:pPr>
      <w:r>
        <w:rPr>
          <w:color w:val="444444"/>
          <w:sz w:val="21"/>
        </w:rPr>
        <w:t>Subheadline: Para prospecções que não podem parar</w:t>
      </w:r>
    </w:p>
    <w:p>
      <w:pPr>
        <w:spacing w:after="80"/>
      </w:pPr>
      <w:r>
        <w:rPr>
          <w:color w:val="444444"/>
          <w:sz w:val="21"/>
        </w:rPr>
        <w:t>→ Clonar slide 1 da social media (layout de capa com gradiente).</w:t>
      </w:r>
    </w:p>
    <w:p/>
    <w:p>
      <w:pPr>
        <w:spacing w:before="80" w:after="0"/>
      </w:pPr>
      <w:r>
        <w:rPr>
          <w:b/>
          <w:color w:val="72BF45"/>
          <w:sz w:val="16"/>
        </w:rPr>
        <w:t>SLIDE 2</w:t>
      </w:r>
    </w:p>
    <w:p>
      <w:pPr>
        <w:spacing w:before="0" w:after="40"/>
      </w:pPr>
      <w:r>
        <w:rPr>
          <w:b/>
          <w:color w:val="72BF45"/>
          <w:sz w:val="18"/>
        </w:rPr>
        <w:t>TRÁFEGO PAGO</w:t>
      </w:r>
    </w:p>
    <w:p>
      <w:pPr>
        <w:spacing w:before="0" w:after="120"/>
      </w:pPr>
      <w:r>
        <w:rPr>
          <w:b/>
          <w:color w:val="002E6E"/>
          <w:sz w:val="36"/>
        </w:rPr>
        <w:t>Objetivos de Performance</w:t>
      </w:r>
    </w:p>
    <w:p>
      <w:pPr>
        <w:spacing w:before="120" w:after="120"/>
        <w:pBdr>
          <w:bottom w:val="single" w:sz="4" w:space="1" w:color="002E6E"/>
        </w:pBdr>
      </w:pPr>
    </w:p>
    <w:p>
      <w:pPr>
        <w:spacing w:before="160" w:after="40"/>
      </w:pPr>
      <w:r>
        <w:rPr>
          <w:b/>
          <w:color w:val="002E6E"/>
          <w:sz w:val="22"/>
        </w:rPr>
        <w:t>1 — Reconhecimento de marca nos nichos-alvo</w:t>
      </w:r>
    </w:p>
    <w:p>
      <w:pPr>
        <w:spacing w:after="80"/>
      </w:pPr>
      <w:r>
        <w:rPr>
          <w:color w:val="444444"/>
          <w:sz w:val="21"/>
        </w:rPr>
        <w:t>Construir presença da Orcali com decisores B2B em instituições de saúde, ensino e financeiras no PR e SC.</w:t>
      </w:r>
    </w:p>
    <w:p>
      <w:pPr>
        <w:spacing w:before="160" w:after="40"/>
      </w:pPr>
      <w:r>
        <w:rPr>
          <w:b/>
          <w:color w:val="002E6E"/>
          <w:sz w:val="22"/>
        </w:rPr>
        <w:t>2 — Geração de leads qualificados</w:t>
      </w:r>
    </w:p>
    <w:p>
      <w:pPr>
        <w:spacing w:after="80"/>
      </w:pPr>
      <w:r>
        <w:rPr>
          <w:color w:val="444444"/>
          <w:sz w:val="21"/>
        </w:rPr>
        <w:t>Atrair gestores e diretores administrativos com intenção real de contratar serviços de facilities e segurança.</w:t>
      </w:r>
    </w:p>
    <w:p>
      <w:pPr>
        <w:spacing w:before="160" w:after="40"/>
      </w:pPr>
      <w:r>
        <w:rPr>
          <w:b/>
          <w:color w:val="002E6E"/>
          <w:sz w:val="22"/>
        </w:rPr>
        <w:t>3 — Estrutura de nutrição e acompanhamento</w:t>
      </w:r>
    </w:p>
    <w:p>
      <w:pPr>
        <w:spacing w:after="80"/>
      </w:pPr>
      <w:r>
        <w:rPr>
          <w:color w:val="444444"/>
          <w:sz w:val="21"/>
        </w:rPr>
        <w:t>Conectar cada lead capturado ao RD Station para rastreamento da jornada, do primeiro clique ao fechamento.</w:t>
      </w:r>
    </w:p>
    <w:p>
      <w:pPr>
        <w:spacing w:after="80"/>
      </w:pPr>
      <w:r>
        <w:rPr>
          <w:color w:val="444444"/>
          <w:sz w:val="21"/>
        </w:rPr>
        <w:t>→ Clonar slide 2 da social media (3 objetivos numerados com linha divisória).</w:t>
      </w:r>
    </w:p>
    <w:p/>
    <w:p>
      <w:pPr>
        <w:spacing w:before="80" w:after="0"/>
      </w:pPr>
      <w:r>
        <w:rPr>
          <w:b/>
          <w:color w:val="72BF45"/>
          <w:sz w:val="16"/>
        </w:rPr>
        <w:t>SLIDE 3</w:t>
      </w:r>
    </w:p>
    <w:p>
      <w:pPr>
        <w:spacing w:before="0" w:after="40"/>
      </w:pPr>
      <w:r>
        <w:rPr>
          <w:b/>
          <w:color w:val="72BF45"/>
          <w:sz w:val="18"/>
        </w:rPr>
        <w:t>HISTÓRICO 2024</w:t>
      </w:r>
    </w:p>
    <w:p>
      <w:pPr>
        <w:spacing w:before="0" w:after="120"/>
      </w:pPr>
      <w:r>
        <w:rPr>
          <w:b/>
          <w:color w:val="002E6E"/>
          <w:sz w:val="36"/>
        </w:rPr>
        <w:t>Diagnóstico</w:t>
      </w:r>
    </w:p>
    <w:p>
      <w:pPr>
        <w:spacing w:before="120" w:after="120"/>
        <w:pBdr>
          <w:bottom w:val="single" w:sz="4" w:space="1" w:color="002E6E"/>
        </w:pBdr>
      </w:pPr>
    </w:p>
    <w:p>
      <w:pPr>
        <w:spacing w:before="160" w:after="40"/>
      </w:pPr>
      <w:r>
        <w:rPr>
          <w:b/>
          <w:color w:val="002E6E"/>
          <w:sz w:val="22"/>
        </w:rPr>
        <w:t>O que foi feito</w:t>
      </w:r>
    </w:p>
    <w:p>
      <w:pPr>
        <w:spacing w:after="80"/>
      </w:pPr>
      <w:r>
        <w:rPr>
          <w:color w:val="444444"/>
          <w:sz w:val="21"/>
        </w:rPr>
        <w:t>~R$ 6.000/mês em tráfego pago ao longo de 2024.</w:t>
      </w:r>
    </w:p>
    <w:p>
      <w:pPr>
        <w:spacing w:before="160" w:after="40"/>
      </w:pPr>
      <w:r>
        <w:rPr>
          <w:b/>
          <w:color w:val="002E6E"/>
          <w:sz w:val="22"/>
        </w:rPr>
        <w:t>O problema</w:t>
      </w:r>
    </w:p>
    <w:p>
      <w:pPr>
        <w:spacing w:after="80"/>
      </w:pPr>
      <w:r>
        <w:rPr>
          <w:color w:val="444444"/>
          <w:sz w:val="21"/>
        </w:rPr>
        <w:t>Resultado declarado: "baixo impacto comercial."</w:t>
      </w:r>
    </w:p>
    <w:p>
      <w:pPr>
        <w:spacing w:after="80"/>
      </w:pPr>
      <w:r>
        <w:rPr>
          <w:color w:val="444444"/>
          <w:sz w:val="21"/>
        </w:rPr>
        <w:t>Causa raiz: sem LP dedicada, sem rastreamento de origem, sem qualificação de lead, sem integração com CRM.</w:t>
      </w:r>
    </w:p>
    <w:p>
      <w:pPr>
        <w:spacing w:before="160" w:after="40"/>
      </w:pPr>
      <w:r>
        <w:rPr>
          <w:b/>
          <w:color w:val="002E6E"/>
          <w:sz w:val="22"/>
        </w:rPr>
        <w:t>O que mudamos para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Antes</w:t>
            </w:r>
          </w:p>
        </w:tc>
        <w:tc>
          <w:tcPr>
            <w:tcW w:type="dxa" w:w="4032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Agora</w:t>
            </w:r>
          </w:p>
        </w:tc>
      </w:tr>
      <w:tr>
        <w:tc>
          <w:tcPr>
            <w:tcW w:type="dxa" w:w="403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Site institucional genérico</w:t>
            </w:r>
          </w:p>
        </w:tc>
        <w:tc>
          <w:tcPr>
            <w:tcW w:type="dxa" w:w="403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LP dedicada por nicho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20"/>
              </w:rPr>
              <w:t>Sem rastreamento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20"/>
              </w:rPr>
              <w:t>Pixel + CAPI + Google Tag</w:t>
            </w:r>
          </w:p>
        </w:tc>
      </w:tr>
      <w:tr>
        <w:tc>
          <w:tcPr>
            <w:tcW w:type="dxa" w:w="403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Formulário básico</w:t>
            </w:r>
          </w:p>
        </w:tc>
        <w:tc>
          <w:tcPr>
            <w:tcW w:type="dxa" w:w="403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Typebot com qualificação</w:t>
            </w:r>
          </w:p>
        </w:tc>
      </w:tr>
      <w:tr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20"/>
              </w:rPr>
              <w:t>Lead perdido no e-mail</w:t>
            </w:r>
          </w:p>
        </w:tc>
        <w:tc>
          <w:tcPr>
            <w:tcW w:type="dxa" w:w="4032"/>
          </w:tcPr>
          <w:p>
            <w:pPr>
              <w:spacing w:before="40" w:after="40"/>
            </w:pPr>
            <w:r>
              <w:rPr>
                <w:sz w:val="20"/>
              </w:rPr>
              <w:t>Google Sheets + RD Station</w:t>
            </w:r>
          </w:p>
        </w:tc>
      </w:tr>
      <w:tr>
        <w:tc>
          <w:tcPr>
            <w:tcW w:type="dxa" w:w="403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Sem atribuição</w:t>
            </w:r>
          </w:p>
        </w:tc>
        <w:tc>
          <w:tcPr>
            <w:tcW w:type="dxa" w:w="403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UTM + origem em 38 campos</w:t>
            </w:r>
          </w:p>
        </w:tc>
      </w:tr>
    </w:tbl>
    <w:p/>
    <w:p/>
    <w:p>
      <w:pPr>
        <w:spacing w:before="80" w:after="0"/>
      </w:pPr>
      <w:r>
        <w:rPr>
          <w:b/>
          <w:color w:val="72BF45"/>
          <w:sz w:val="16"/>
        </w:rPr>
        <w:t>SLIDE 4</w:t>
      </w:r>
    </w:p>
    <w:p>
      <w:pPr>
        <w:spacing w:before="0" w:after="40"/>
      </w:pPr>
      <w:r>
        <w:rPr>
          <w:b/>
          <w:color w:val="72BF45"/>
          <w:sz w:val="18"/>
        </w:rPr>
        <w:t>META VS GOOGLE PARA B2B</w:t>
      </w:r>
    </w:p>
    <w:p>
      <w:pPr>
        <w:spacing w:before="0" w:after="120"/>
      </w:pPr>
      <w:r>
        <w:rPr>
          <w:b/>
          <w:color w:val="002E6E"/>
          <w:sz w:val="36"/>
        </w:rPr>
        <w:t>Análise de Canais</w:t>
      </w:r>
    </w:p>
    <w:p>
      <w:pPr>
        <w:spacing w:before="120" w:after="120"/>
        <w:pBdr>
          <w:bottom w:val="single" w:sz="4" w:space="1" w:color="002E6E"/>
        </w:pBdr>
      </w:pPr>
    </w:p>
    <w:p>
      <w:pPr>
        <w:spacing w:before="160" w:after="40"/>
      </w:pPr>
      <w:r>
        <w:rPr>
          <w:b/>
          <w:color w:val="002E6E"/>
          <w:sz w:val="22"/>
        </w:rPr>
        <w:t>Por que Meta?</w:t>
      </w:r>
    </w:p>
    <w:p>
      <w:pPr>
        <w:spacing w:after="80"/>
      </w:pPr>
      <w:r>
        <w:rPr>
          <w:color w:val="444444"/>
          <w:sz w:val="21"/>
        </w:rPr>
        <w:t>O decisor B2B não levanta a mão facilmente. O Meta constrói reconhecimento antes da decisão de pesquisar — quando o gestor já conhece a Orcali, a busca no Google converte mais.</w:t>
      </w:r>
    </w:p>
    <w:p>
      <w:pPr>
        <w:pStyle w:val="ListBullet"/>
        <w:spacing w:after="40"/>
      </w:pPr>
      <w:r>
        <w:rPr>
          <w:color w:val="444444"/>
          <w:sz w:val="21"/>
        </w:rPr>
        <w:t>Alcance segmentado por cargo, setor e região</w:t>
      </w:r>
    </w:p>
    <w:p>
      <w:pPr>
        <w:pStyle w:val="ListBullet"/>
        <w:spacing w:after="40"/>
      </w:pPr>
      <w:r>
        <w:rPr>
          <w:color w:val="444444"/>
          <w:sz w:val="21"/>
        </w:rPr>
        <w:t>Retargeting de visitantes da LP</w:t>
      </w:r>
    </w:p>
    <w:p>
      <w:pPr>
        <w:pStyle w:val="ListBullet"/>
        <w:spacing w:after="40"/>
      </w:pPr>
      <w:r>
        <w:rPr>
          <w:color w:val="444444"/>
          <w:sz w:val="21"/>
        </w:rPr>
        <w:t>Lookalike da base de 2.966 clientes ativos</w:t>
      </w:r>
    </w:p>
    <w:p>
      <w:pPr>
        <w:spacing w:before="160" w:after="40"/>
      </w:pPr>
      <w:r>
        <w:rPr>
          <w:b/>
          <w:color w:val="002E6E"/>
          <w:sz w:val="22"/>
        </w:rPr>
        <w:t>Por que Google?</w:t>
      </w:r>
    </w:p>
    <w:p>
      <w:pPr>
        <w:spacing w:after="80"/>
      </w:pPr>
      <w:r>
        <w:rPr>
          <w:color w:val="444444"/>
          <w:sz w:val="21"/>
        </w:rPr>
        <w:t>70% da jornada B2B é autodidata. Quando o decisor pesquisa "empresa de facilities SC", ele já está próximo da decisão.</w:t>
      </w:r>
    </w:p>
    <w:p>
      <w:pPr>
        <w:pStyle w:val="ListBullet"/>
        <w:spacing w:after="40"/>
      </w:pPr>
      <w:r>
        <w:rPr>
          <w:color w:val="444444"/>
          <w:sz w:val="21"/>
        </w:rPr>
        <w:t>Captura intenção direta de compra</w:t>
      </w:r>
    </w:p>
    <w:p>
      <w:pPr>
        <w:pStyle w:val="ListBullet"/>
        <w:spacing w:after="40"/>
      </w:pPr>
      <w:r>
        <w:rPr>
          <w:color w:val="444444"/>
          <w:sz w:val="21"/>
        </w:rPr>
        <w:t>Keywords de fundo de funil por nicho</w:t>
      </w:r>
    </w:p>
    <w:p>
      <w:pPr>
        <w:pStyle w:val="ListBullet"/>
        <w:spacing w:after="40"/>
      </w:pPr>
      <w:r>
        <w:rPr>
          <w:color w:val="444444"/>
          <w:sz w:val="21"/>
        </w:rPr>
        <w:t>Maior custo por lead, maior qualidade</w:t>
      </w:r>
    </w:p>
    <w:p>
      <w:pPr>
        <w:spacing w:before="160" w:after="40"/>
      </w:pPr>
      <w:r>
        <w:rPr>
          <w:b/>
          <w:color w:val="002E6E"/>
          <w:sz w:val="22"/>
        </w:rPr>
        <w:t>A lógica da combinação</w:t>
      </w:r>
    </w:p>
    <w:p>
      <w:pPr>
        <w:spacing w:after="80"/>
      </w:pPr>
      <w:r>
        <w:rPr>
          <w:color w:val="444444"/>
          <w:sz w:val="21"/>
        </w:rPr>
        <w:t>Meta constrói familiaridade → Google captura a decisão.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600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3600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Google Search</w:t>
            </w:r>
          </w:p>
        </w:tc>
      </w:tr>
      <w:tr>
        <w:tc>
          <w:tcPr>
            <w:tcW w:type="dxa" w:w="216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Papel</w:t>
            </w:r>
          </w:p>
        </w:tc>
        <w:tc>
          <w:tcPr>
            <w:tcW w:type="dxa" w:w="360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Alcance + Retargeting</w:t>
            </w:r>
          </w:p>
        </w:tc>
        <w:tc>
          <w:tcPr>
            <w:tcW w:type="dxa" w:w="360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Fundo de funil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  <w:t>Lead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20"/>
              </w:rPr>
              <w:t>Mais frio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20"/>
              </w:rPr>
              <w:t>Mais quente</w:t>
            </w:r>
          </w:p>
        </w:tc>
      </w:tr>
      <w:tr>
        <w:tc>
          <w:tcPr>
            <w:tcW w:type="dxa" w:w="216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CPL estimado</w:t>
            </w:r>
          </w:p>
        </w:tc>
        <w:tc>
          <w:tcPr>
            <w:tcW w:type="dxa" w:w="360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Menor</w:t>
            </w:r>
          </w:p>
        </w:tc>
        <w:tc>
          <w:tcPr>
            <w:tcW w:type="dxa" w:w="360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R$ 80–R$ 150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20"/>
              </w:rPr>
              <w:t>Quando converte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20"/>
              </w:rPr>
              <w:t>Após nutrição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20"/>
              </w:rPr>
              <w:t>Na busca ativa</w:t>
            </w:r>
          </w:p>
        </w:tc>
      </w:tr>
    </w:tbl>
    <w:p/>
    <w:p/>
    <w:p>
      <w:pPr>
        <w:spacing w:before="80" w:after="0"/>
      </w:pPr>
      <w:r>
        <w:rPr>
          <w:b/>
          <w:color w:val="72BF45"/>
          <w:sz w:val="16"/>
        </w:rPr>
        <w:t>SLIDE 5</w:t>
      </w:r>
    </w:p>
    <w:p>
      <w:pPr>
        <w:spacing w:before="0" w:after="40"/>
      </w:pPr>
      <w:r>
        <w:rPr>
          <w:b/>
          <w:color w:val="72BF45"/>
          <w:sz w:val="18"/>
        </w:rPr>
        <w:t>COMO O B2B DECIDE</w:t>
      </w:r>
    </w:p>
    <w:p>
      <w:pPr>
        <w:spacing w:before="0" w:after="120"/>
      </w:pPr>
      <w:r>
        <w:rPr>
          <w:b/>
          <w:color w:val="002E6E"/>
          <w:sz w:val="36"/>
        </w:rPr>
        <w:t>Jornada do Decisor Online</w:t>
      </w:r>
    </w:p>
    <w:p>
      <w:pPr>
        <w:spacing w:before="120" w:after="120"/>
        <w:pBdr>
          <w:bottom w:val="single" w:sz="4" w:space="1" w:color="002E6E"/>
        </w:pBdr>
      </w:pPr>
    </w:p>
    <w:p>
      <w:pPr>
        <w:spacing w:before="160" w:after="40"/>
      </w:pPr>
      <w:r>
        <w:rPr>
          <w:b/>
          <w:color w:val="002E6E"/>
          <w:sz w:val="22"/>
        </w:rPr>
        <w:t>Os dados (fontes: Think with Google, pesquisa B2B Brasil 2025)</w:t>
      </w:r>
    </w:p>
    <w:p>
      <w:pPr>
        <w:pStyle w:val="ListBullet"/>
        <w:spacing w:after="40"/>
      </w:pPr>
      <w:r>
        <w:rPr>
          <w:color w:val="444444"/>
          <w:sz w:val="21"/>
        </w:rPr>
        <w:t>70% da jornada de compra B2B é feita sem contato com vendedor</w:t>
      </w:r>
    </w:p>
    <w:p>
      <w:pPr>
        <w:pStyle w:val="ListBullet"/>
        <w:spacing w:after="40"/>
      </w:pPr>
      <w:r>
        <w:rPr>
          <w:color w:val="444444"/>
          <w:sz w:val="21"/>
        </w:rPr>
        <w:t>94% dos decisores estão informados antes de entrar em contato</w:t>
      </w:r>
    </w:p>
    <w:p>
      <w:pPr>
        <w:pStyle w:val="ListBullet"/>
        <w:spacing w:after="40"/>
      </w:pPr>
      <w:r>
        <w:rPr>
          <w:color w:val="444444"/>
          <w:sz w:val="21"/>
        </w:rPr>
        <w:t>56% usam o Google pelo menos uma vez por semana na decisão</w:t>
      </w:r>
    </w:p>
    <w:p>
      <w:pPr>
        <w:pStyle w:val="ListBullet"/>
        <w:spacing w:after="40"/>
      </w:pPr>
      <w:r>
        <w:rPr>
          <w:color w:val="444444"/>
          <w:sz w:val="21"/>
        </w:rPr>
        <w:t>86% já têm fornecedores em mente no início da jornada</w:t>
      </w:r>
    </w:p>
    <w:p>
      <w:pPr>
        <w:pStyle w:val="ListBullet"/>
        <w:spacing w:after="40"/>
      </w:pPr>
      <w:r>
        <w:rPr>
          <w:color w:val="444444"/>
          <w:sz w:val="21"/>
        </w:rPr>
        <w:t>43% buscam novos fornecedores quando há insatisfação com o atual</w:t>
      </w:r>
    </w:p>
    <w:p>
      <w:pPr>
        <w:pStyle w:val="ListBullet"/>
        <w:spacing w:after="40"/>
      </w:pPr>
      <w:r>
        <w:rPr>
          <w:color w:val="444444"/>
          <w:sz w:val="21"/>
        </w:rPr>
        <w:t>31% apontam confiança na marca como fator decisivo</w:t>
      </w:r>
    </w:p>
    <w:p>
      <w:pPr>
        <w:spacing w:before="160" w:after="40"/>
      </w:pPr>
      <w:r>
        <w:rPr>
          <w:b/>
          <w:color w:val="002E6E"/>
          <w:sz w:val="22"/>
        </w:rPr>
        <w:t>O que isso significa para a Orcali</w:t>
      </w:r>
    </w:p>
    <w:p>
      <w:pPr>
        <w:spacing w:after="80"/>
      </w:pPr>
      <w:r>
        <w:rPr>
          <w:color w:val="444444"/>
          <w:sz w:val="21"/>
        </w:rPr>
        <w:t>O gestor não clica no primeiro anúncio e fecha. Ele pesquisa, compara, volta ao Google, visita o site — e aí decide. A presença contínua no Meta + a captura no Google formam a jornada completa.</w:t>
      </w:r>
    </w:p>
    <w:p/>
    <w:p>
      <w:pPr>
        <w:spacing w:before="80" w:after="0"/>
      </w:pPr>
      <w:r>
        <w:rPr>
          <w:b/>
          <w:color w:val="72BF45"/>
          <w:sz w:val="16"/>
        </w:rPr>
        <w:t>SLIDE 6</w:t>
      </w:r>
    </w:p>
    <w:p>
      <w:pPr>
        <w:spacing w:before="0" w:after="40"/>
      </w:pPr>
      <w:r>
        <w:rPr>
          <w:b/>
          <w:color w:val="72BF45"/>
          <w:sz w:val="18"/>
        </w:rPr>
        <w:t>CONCORRENTES NO AMBIENTE PAGO</w:t>
      </w:r>
    </w:p>
    <w:p>
      <w:pPr>
        <w:spacing w:before="0" w:after="120"/>
      </w:pPr>
      <w:r>
        <w:rPr>
          <w:b/>
          <w:color w:val="002E6E"/>
          <w:sz w:val="36"/>
        </w:rPr>
        <w:t>Benchmarket Digital</w:t>
      </w:r>
    </w:p>
    <w:p>
      <w:pPr>
        <w:spacing w:before="120" w:after="120"/>
        <w:pBdr>
          <w:bottom w:val="single" w:sz="4" w:space="1" w:color="002E6E"/>
        </w:pBdr>
      </w:pPr>
    </w:p>
    <w:p>
      <w:pPr>
        <w:spacing w:before="160" w:after="40"/>
      </w:pPr>
      <w:r>
        <w:rPr>
          <w:b/>
          <w:color w:val="002E6E"/>
          <w:sz w:val="22"/>
        </w:rPr>
        <w:t>Orsegups — Tecnologia como diferencial</w:t>
      </w:r>
    </w:p>
    <w:p>
      <w:pPr>
        <w:pStyle w:val="ListBullet"/>
        <w:spacing w:after="40"/>
      </w:pPr>
      <w:r>
        <w:rPr>
          <w:color w:val="444444"/>
          <w:sz w:val="21"/>
        </w:rPr>
        <w:t>Comunicação agressiva: IA, monitoramento inteligente, plataforma própria</w:t>
      </w:r>
    </w:p>
    <w:p>
      <w:pPr>
        <w:pStyle w:val="ListBullet"/>
        <w:spacing w:after="40"/>
      </w:pPr>
      <w:r>
        <w:rPr>
          <w:color w:val="444444"/>
          <w:sz w:val="21"/>
        </w:rPr>
        <w:t>Certificações ISO 27001 e ISO 27701</w:t>
      </w:r>
    </w:p>
    <w:p>
      <w:pPr>
        <w:pStyle w:val="ListBullet"/>
        <w:spacing w:after="40"/>
      </w:pPr>
      <w:r>
        <w:rPr>
          <w:color w:val="444444"/>
          <w:sz w:val="21"/>
        </w:rPr>
        <w:t>Escala nacional muito evidente</w:t>
      </w:r>
    </w:p>
    <w:p>
      <w:pPr>
        <w:pStyle w:val="ListBullet"/>
        <w:spacing w:after="40"/>
      </w:pPr>
      <w:r>
        <w:rPr>
          <w:color w:val="444444"/>
          <w:sz w:val="21"/>
        </w:rPr>
        <w:t>Forte presença em busca orgânica (marca consolidada)</w:t>
      </w:r>
    </w:p>
    <w:p>
      <w:pPr>
        <w:spacing w:before="160" w:after="40"/>
      </w:pPr>
      <w:r>
        <w:rPr>
          <w:b/>
          <w:color w:val="002E6E"/>
          <w:sz w:val="22"/>
        </w:rPr>
        <w:t>Orbenk — ESG e comunidade</w:t>
      </w:r>
    </w:p>
    <w:p>
      <w:pPr>
        <w:pStyle w:val="ListBullet"/>
        <w:spacing w:after="40"/>
      </w:pPr>
      <w:r>
        <w:rPr>
          <w:color w:val="444444"/>
          <w:sz w:val="21"/>
        </w:rPr>
        <w:t>Campanha institucional ativa em SC (TV, rádio e portais digitais)</w:t>
      </w:r>
    </w:p>
    <w:p>
      <w:pPr>
        <w:pStyle w:val="ListBullet"/>
        <w:spacing w:after="40"/>
      </w:pPr>
      <w:r>
        <w:rPr>
          <w:color w:val="444444"/>
          <w:sz w:val="21"/>
        </w:rPr>
        <w:t>Posicionamento: bem-estar, cuidado, transformação</w:t>
      </w:r>
    </w:p>
    <w:p>
      <w:pPr>
        <w:pStyle w:val="ListBullet"/>
        <w:spacing w:after="40"/>
      </w:pPr>
      <w:r>
        <w:rPr>
          <w:color w:val="444444"/>
          <w:sz w:val="21"/>
        </w:rPr>
        <w:t>Tecnologia como inovação (robôs, drones, análise de dados)</w:t>
      </w:r>
    </w:p>
    <w:p>
      <w:pPr>
        <w:pStyle w:val="ListBullet"/>
        <w:spacing w:after="40"/>
      </w:pPr>
      <w:r>
        <w:rPr>
          <w:color w:val="444444"/>
          <w:sz w:val="21"/>
        </w:rPr>
        <w:t>420 cidades, 33.000 colaboradores — escala como argumento</w:t>
      </w:r>
    </w:p>
    <w:p>
      <w:pPr>
        <w:spacing w:before="160" w:after="40"/>
      </w:pPr>
      <w:r>
        <w:rPr>
          <w:b/>
          <w:color w:val="002E6E"/>
          <w:sz w:val="22"/>
        </w:rPr>
        <w:t>Khronos — Especialização em segurança eletrônica</w:t>
      </w:r>
    </w:p>
    <w:p>
      <w:pPr>
        <w:pStyle w:val="ListBullet"/>
        <w:spacing w:after="40"/>
      </w:pPr>
      <w:r>
        <w:rPr>
          <w:color w:val="444444"/>
          <w:sz w:val="21"/>
        </w:rPr>
        <w:t>Monitoramento eletrônico como core</w:t>
      </w:r>
    </w:p>
    <w:p>
      <w:pPr>
        <w:pStyle w:val="ListBullet"/>
        <w:spacing w:after="40"/>
      </w:pPr>
      <w:r>
        <w:rPr>
          <w:color w:val="444444"/>
          <w:sz w:val="21"/>
        </w:rPr>
        <w:t>Comunicação técnica e direta</w:t>
      </w:r>
    </w:p>
    <w:p>
      <w:pPr>
        <w:spacing w:before="160" w:after="40"/>
      </w:pPr>
      <w:r>
        <w:rPr>
          <w:b/>
          <w:color w:val="002E6E"/>
          <w:sz w:val="22"/>
        </w:rPr>
        <w:t>Oportunidade Orcali</w:t>
      </w:r>
    </w:p>
    <w:p>
      <w:pPr>
        <w:spacing w:after="80"/>
      </w:pPr>
      <w:r>
        <w:rPr>
          <w:color w:val="444444"/>
          <w:sz w:val="21"/>
        </w:rPr>
        <w:t>Enquanto os concorrentes comunicam escala e tecnologia, a Orcali comunica 58 anos de continuidade, confiabilidade e presença regional — argumento mais relevante para o decisor B2B que tem medo de trocar de fornecedor.</w:t>
      </w:r>
    </w:p>
    <w:p/>
    <w:p>
      <w:pPr>
        <w:spacing w:before="80" w:after="0"/>
      </w:pPr>
      <w:r>
        <w:rPr>
          <w:b/>
          <w:color w:val="72BF45"/>
          <w:sz w:val="16"/>
        </w:rPr>
        <w:t>SLIDE 7</w:t>
      </w:r>
    </w:p>
    <w:p>
      <w:pPr>
        <w:spacing w:before="0" w:after="40"/>
      </w:pPr>
      <w:r>
        <w:rPr>
          <w:b/>
          <w:color w:val="72BF45"/>
          <w:sz w:val="18"/>
        </w:rPr>
        <w:t>COMO OS DECISORES CHEGAM ATÉ NÓS</w:t>
      </w:r>
    </w:p>
    <w:p>
      <w:pPr>
        <w:spacing w:before="0" w:after="120"/>
      </w:pPr>
      <w:r>
        <w:rPr>
          <w:b/>
          <w:color w:val="002E6E"/>
          <w:sz w:val="36"/>
        </w:rPr>
        <w:t>Personas no Digital</w:t>
      </w:r>
    </w:p>
    <w:p>
      <w:pPr>
        <w:spacing w:before="120" w:after="120"/>
        <w:pBdr>
          <w:bottom w:val="single" w:sz="4" w:space="1" w:color="002E6E"/>
        </w:pBdr>
      </w:pPr>
    </w:p>
    <w:p>
      <w:pPr>
        <w:spacing w:before="160" w:after="40"/>
      </w:pPr>
      <w:r>
        <w:rPr>
          <w:b/>
          <w:color w:val="002E6E"/>
          <w:sz w:val="22"/>
        </w:rPr>
        <w:t>Mariana Costa — Gerente Administrativa (Saúde)</w:t>
      </w:r>
    </w:p>
    <w:p>
      <w:pPr>
        <w:spacing w:after="80"/>
      </w:pPr>
      <w:r>
        <w:rPr>
          <w:color w:val="444444"/>
          <w:sz w:val="21"/>
        </w:rPr>
        <w:t>"Preciso garantir um ambiente seguro, limpo e eficiente para que as equipes médicas possam focar no atendimento."</w:t>
      </w:r>
    </w:p>
    <w:p>
      <w:pPr>
        <w:pStyle w:val="ListBullet"/>
        <w:spacing w:after="40"/>
      </w:pPr>
      <w:r>
        <w:rPr>
          <w:color w:val="444444"/>
          <w:sz w:val="21"/>
        </w:rPr>
        <w:t>Busca no Google: "empresa facilities hospital SC", "terceirização limpeza hospitalar"</w:t>
      </w:r>
    </w:p>
    <w:p>
      <w:pPr>
        <w:pStyle w:val="ListBullet"/>
        <w:spacing w:after="40"/>
      </w:pPr>
      <w:r>
        <w:rPr>
          <w:color w:val="444444"/>
          <w:sz w:val="21"/>
        </w:rPr>
        <w:t>Consulta LinkedIn e portais setoriais antes de entrar em contato</w:t>
      </w:r>
    </w:p>
    <w:p>
      <w:pPr>
        <w:pStyle w:val="ListBullet"/>
        <w:spacing w:after="40"/>
      </w:pPr>
      <w:r>
        <w:rPr>
          <w:color w:val="444444"/>
          <w:sz w:val="21"/>
        </w:rPr>
        <w:t>Precisa de prova de conformidade e certificações antes de aprovar qualquer fornecedor</w:t>
      </w:r>
    </w:p>
    <w:p>
      <w:pPr>
        <w:spacing w:before="160" w:after="40"/>
      </w:pPr>
      <w:r>
        <w:rPr>
          <w:b/>
          <w:color w:val="002E6E"/>
          <w:sz w:val="22"/>
        </w:rPr>
        <w:t>Ricardo Almeida — Diretor Administrativo (Ensino)</w:t>
      </w:r>
    </w:p>
    <w:p>
      <w:pPr>
        <w:spacing w:after="80"/>
      </w:pPr>
      <w:r>
        <w:rPr>
          <w:color w:val="444444"/>
          <w:sz w:val="21"/>
        </w:rPr>
        <w:t>"Quero que a operação funcione sem interferir na atividade educacional."</w:t>
      </w:r>
    </w:p>
    <w:p>
      <w:pPr>
        <w:pStyle w:val="ListBullet"/>
        <w:spacing w:after="40"/>
      </w:pPr>
      <w:r>
        <w:rPr>
          <w:color w:val="444444"/>
          <w:sz w:val="21"/>
        </w:rPr>
        <w:t>Busca: "facilities instituição de ensino", "terceirização portaria escola"</w:t>
      </w:r>
    </w:p>
    <w:p>
      <w:pPr>
        <w:pStyle w:val="ListBullet"/>
        <w:spacing w:after="40"/>
      </w:pPr>
      <w:r>
        <w:rPr>
          <w:color w:val="444444"/>
          <w:sz w:val="21"/>
        </w:rPr>
        <w:t>Pesquisa por cases e referências de outras instituições</w:t>
      </w:r>
    </w:p>
    <w:p>
      <w:pPr>
        <w:pStyle w:val="ListBullet"/>
        <w:spacing w:after="40"/>
      </w:pPr>
      <w:r>
        <w:rPr>
          <w:color w:val="444444"/>
          <w:sz w:val="21"/>
        </w:rPr>
        <w:t>Decisão influenciada por diretoria — precisa de argumento para aprovar internamente</w:t>
      </w:r>
    </w:p>
    <w:p>
      <w:pPr>
        <w:spacing w:before="160" w:after="40"/>
      </w:pPr>
      <w:r>
        <w:rPr>
          <w:b/>
          <w:color w:val="002E6E"/>
          <w:sz w:val="22"/>
        </w:rPr>
        <w:t>Comportamento em comum</w:t>
      </w:r>
    </w:p>
    <w:p>
      <w:pPr>
        <w:spacing w:after="80"/>
      </w:pPr>
      <w:r>
        <w:rPr>
          <w:color w:val="444444"/>
          <w:sz w:val="21"/>
        </w:rPr>
        <w:t>Chegam ao Meta passivamente (não buscam, são impactados). Chegam ao Google ativamente (já decidiram pesquisar). A conversão acontece após múltiplos pontos de contato.</w:t>
      </w:r>
    </w:p>
    <w:p>
      <w:r>
        <w:br w:type="page"/>
      </w:r>
    </w:p>
    <w:p>
      <w:pPr>
        <w:spacing w:before="80"/>
      </w:pPr>
      <w:r>
        <w:rPr>
          <w:b/>
          <w:color w:val="002E6E"/>
          <w:sz w:val="26"/>
        </w:rPr>
        <w:t>▌ SEÇÃO 2 — ESTRATÉGIA</w:t>
      </w:r>
    </w:p>
    <w:p/>
    <w:p>
      <w:pPr>
        <w:spacing w:before="80" w:after="0"/>
      </w:pPr>
      <w:r>
        <w:rPr>
          <w:b/>
          <w:color w:val="72BF45"/>
          <w:sz w:val="16"/>
        </w:rPr>
        <w:t>SLIDE 8</w:t>
      </w:r>
    </w:p>
    <w:p>
      <w:pPr>
        <w:spacing w:before="0" w:after="40"/>
      </w:pPr>
      <w:r>
        <w:rPr>
          <w:b/>
          <w:color w:val="72BF45"/>
          <w:sz w:val="18"/>
        </w:rPr>
        <w:t>NICHOS E REGIÕES</w:t>
      </w:r>
    </w:p>
    <w:p>
      <w:pPr>
        <w:spacing w:before="0" w:after="120"/>
      </w:pPr>
      <w:r>
        <w:rPr>
          <w:b/>
          <w:color w:val="002E6E"/>
          <w:sz w:val="36"/>
        </w:rPr>
        <w:t>Segmentação</w:t>
      </w:r>
    </w:p>
    <w:p>
      <w:pPr>
        <w:spacing w:before="120" w:after="120"/>
        <w:pBdr>
          <w:bottom w:val="single" w:sz="4" w:space="1" w:color="002E6E"/>
        </w:pBdr>
      </w:pPr>
    </w:p>
    <w:p>
      <w:pPr>
        <w:spacing w:before="160" w:after="40"/>
      </w:pPr>
      <w:r>
        <w:rPr>
          <w:b/>
          <w:color w:val="002E6E"/>
          <w:sz w:val="22"/>
        </w:rPr>
        <w:t>Nichos — Fase inicial (LP Facilities)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Nicho</w:t>
            </w:r>
          </w:p>
        </w:tc>
        <w:tc>
          <w:tcPr>
            <w:tcW w:type="dxa" w:w="5472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Por que priorizar</w:t>
            </w:r>
          </w:p>
        </w:tc>
      </w:tr>
      <w:tr>
        <w:tc>
          <w:tcPr>
            <w:tcW w:type="dxa" w:w="259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Instituições financeiras</w:t>
            </w:r>
          </w:p>
        </w:tc>
        <w:tc>
          <w:tcPr>
            <w:tcW w:type="dxa" w:w="547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Alto ticket, decisão corporativa, necessidade de compliance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20"/>
              </w:rPr>
              <w:t>Hospitais e clínicas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rPr>
                <w:sz w:val="20"/>
              </w:rPr>
              <w:t>Operação 24h, zero tolerância a falha, exige certificações</w:t>
            </w:r>
          </w:p>
        </w:tc>
      </w:tr>
      <w:tr>
        <w:tc>
          <w:tcPr>
            <w:tcW w:type="dxa" w:w="259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Instituições de ensino</w:t>
            </w:r>
          </w:p>
        </w:tc>
        <w:tc>
          <w:tcPr>
            <w:tcW w:type="dxa" w:w="547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Múltiplos prédios, gestão complexa, público recorrente</w:t>
            </w:r>
          </w:p>
        </w:tc>
      </w:tr>
    </w:tbl>
    <w:p/>
    <w:p>
      <w:pPr>
        <w:spacing w:before="160" w:after="40"/>
      </w:pPr>
      <w:r>
        <w:rPr>
          <w:b/>
          <w:color w:val="002E6E"/>
          <w:sz w:val="22"/>
        </w:rPr>
        <w:t>Regiões — PR e SC</w:t>
      </w:r>
    </w:p>
    <w:p>
      <w:pPr>
        <w:pStyle w:val="ListBullet"/>
        <w:spacing w:after="40"/>
      </w:pPr>
      <w:r>
        <w:rPr>
          <w:color w:val="444444"/>
          <w:sz w:val="21"/>
        </w:rPr>
        <w:t>SC (Always-on): Florianópolis, Joinville, Blumenau, Itajaí, Tubarão</w:t>
      </w:r>
    </w:p>
    <w:p>
      <w:pPr>
        <w:pStyle w:val="ListBullet"/>
        <w:spacing w:after="40"/>
      </w:pPr>
      <w:r>
        <w:rPr>
          <w:color w:val="444444"/>
          <w:sz w:val="21"/>
        </w:rPr>
        <w:t>PR (Branding ativo): Curitiba, Toledo, Londrina, Guarapuava</w:t>
      </w:r>
    </w:p>
    <w:p>
      <w:pPr>
        <w:spacing w:after="80"/>
      </w:pPr>
      <w:r>
        <w:rPr>
          <w:color w:val="444444"/>
          <w:sz w:val="21"/>
        </w:rPr>
        <w:t>Geo alinhado ao briefing: SC = mercado base consolidado / PR = expansão.</w:t>
      </w:r>
    </w:p>
    <w:p/>
    <w:p>
      <w:pPr>
        <w:spacing w:before="80" w:after="0"/>
      </w:pPr>
      <w:r>
        <w:rPr>
          <w:b/>
          <w:color w:val="72BF45"/>
          <w:sz w:val="16"/>
        </w:rPr>
        <w:t>SLIDE 9</w:t>
      </w:r>
    </w:p>
    <w:p>
      <w:pPr>
        <w:spacing w:before="0" w:after="40"/>
      </w:pPr>
      <w:r>
        <w:rPr>
          <w:b/>
          <w:color w:val="72BF45"/>
          <w:sz w:val="18"/>
        </w:rPr>
        <w:t>ALCANCE + RETARGETING</w:t>
      </w:r>
    </w:p>
    <w:p>
      <w:pPr>
        <w:spacing w:before="0" w:after="120"/>
      </w:pPr>
      <w:r>
        <w:rPr>
          <w:b/>
          <w:color w:val="002E6E"/>
          <w:sz w:val="36"/>
        </w:rPr>
        <w:t>Estratégia Meta</w:t>
      </w:r>
    </w:p>
    <w:p>
      <w:pPr>
        <w:spacing w:before="120" w:after="120"/>
        <w:pBdr>
          <w:bottom w:val="single" w:sz="4" w:space="1" w:color="002E6E"/>
        </w:pBdr>
      </w:pPr>
    </w:p>
    <w:p>
      <w:pPr>
        <w:spacing w:before="160" w:after="40"/>
      </w:pPr>
      <w:r>
        <w:rPr>
          <w:b/>
          <w:color w:val="002E6E"/>
          <w:sz w:val="22"/>
        </w:rPr>
        <w:t>Campanha 1 — Reconhecimento de marca</w:t>
      </w:r>
    </w:p>
    <w:p>
      <w:pPr>
        <w:pStyle w:val="ListBullet"/>
        <w:spacing w:after="40"/>
      </w:pPr>
      <w:r>
        <w:rPr>
          <w:color w:val="444444"/>
          <w:sz w:val="21"/>
        </w:rPr>
        <w:t>Objetivo: Alcance / Awareness</w:t>
      </w:r>
    </w:p>
    <w:p>
      <w:pPr>
        <w:pStyle w:val="ListBullet"/>
        <w:spacing w:after="40"/>
      </w:pPr>
      <w:r>
        <w:rPr>
          <w:color w:val="444444"/>
          <w:sz w:val="21"/>
        </w:rPr>
        <w:t>Público 1: Lookalike 1% da base de 2.966 clientes ativos</w:t>
      </w:r>
    </w:p>
    <w:p>
      <w:pPr>
        <w:pStyle w:val="ListBullet"/>
        <w:spacing w:after="40"/>
      </w:pPr>
      <w:r>
        <w:rPr>
          <w:color w:val="444444"/>
          <w:sz w:val="21"/>
        </w:rPr>
        <w:t>Público 2: Cargo (Gerente/Diretor Administrativo) + setor (saúde, educação, financeiro) + geo (SC/PR)</w:t>
      </w:r>
    </w:p>
    <w:p>
      <w:pPr>
        <w:pStyle w:val="ListBullet"/>
        <w:spacing w:after="40"/>
      </w:pPr>
      <w:r>
        <w:rPr>
          <w:color w:val="444444"/>
          <w:sz w:val="21"/>
        </w:rPr>
        <w:t>Criativos: institucionais, "operações que não podem parar", cases por nicho</w:t>
      </w:r>
    </w:p>
    <w:p>
      <w:pPr>
        <w:spacing w:before="160" w:after="40"/>
      </w:pPr>
      <w:r>
        <w:rPr>
          <w:b/>
          <w:color w:val="002E6E"/>
          <w:sz w:val="22"/>
        </w:rPr>
        <w:t>Campanha 2 — Retargeting</w:t>
      </w:r>
    </w:p>
    <w:p>
      <w:pPr>
        <w:pStyle w:val="ListBullet"/>
        <w:spacing w:after="40"/>
      </w:pPr>
      <w:r>
        <w:rPr>
          <w:color w:val="444444"/>
          <w:sz w:val="21"/>
        </w:rPr>
        <w:t>Público: visitantes da LP (Pixel) + engajamento Instagram</w:t>
      </w:r>
    </w:p>
    <w:p>
      <w:pPr>
        <w:pStyle w:val="ListBullet"/>
        <w:spacing w:after="40"/>
      </w:pPr>
      <w:r>
        <w:rPr>
          <w:color w:val="444444"/>
          <w:sz w:val="21"/>
        </w:rPr>
        <w:t>Objetivo: Geração de Leads / Conversão</w:t>
      </w:r>
    </w:p>
    <w:p>
      <w:pPr>
        <w:pStyle w:val="ListBullet"/>
        <w:spacing w:after="40"/>
      </w:pPr>
      <w:r>
        <w:rPr>
          <w:color w:val="444444"/>
          <w:sz w:val="21"/>
        </w:rPr>
        <w:t>Criativos: prova social por nicho, diferenciais Orcali (58 anos, 1.554 clientes, certificações)</w:t>
      </w:r>
    </w:p>
    <w:p>
      <w:pPr>
        <w:pStyle w:val="ListBullet"/>
        <w:spacing w:after="40"/>
      </w:pPr>
      <w:r>
        <w:rPr>
          <w:color w:val="444444"/>
          <w:sz w:val="21"/>
        </w:rPr>
        <w:t>Formato: carrossel com argumentos + CTA direto para o formulário</w:t>
      </w:r>
    </w:p>
    <w:p>
      <w:pPr>
        <w:spacing w:before="160" w:after="40"/>
      </w:pPr>
      <w:r>
        <w:rPr>
          <w:b/>
          <w:color w:val="002E6E"/>
          <w:sz w:val="22"/>
        </w:rPr>
        <w:t>Lookalike</w:t>
      </w:r>
    </w:p>
    <w:p>
      <w:pPr>
        <w:spacing w:after="80"/>
      </w:pPr>
      <w:r>
        <w:rPr>
          <w:color w:val="444444"/>
          <w:sz w:val="21"/>
        </w:rPr>
        <w:t>Base: LEADS ORCALI.ods — 2.966 contatos. Normalizar e-mail + telefone antes do upload. Semente ideal: clientes com contratos ativos há mais de 5 anos.</w:t>
      </w:r>
    </w:p>
    <w:p/>
    <w:p>
      <w:pPr>
        <w:spacing w:before="80" w:after="0"/>
      </w:pPr>
      <w:r>
        <w:rPr>
          <w:b/>
          <w:color w:val="72BF45"/>
          <w:sz w:val="16"/>
        </w:rPr>
        <w:t>SLIDE 10</w:t>
      </w:r>
    </w:p>
    <w:p>
      <w:pPr>
        <w:spacing w:before="0" w:after="40"/>
      </w:pPr>
      <w:r>
        <w:rPr>
          <w:b/>
          <w:color w:val="72BF45"/>
          <w:sz w:val="18"/>
        </w:rPr>
        <w:t>FUNDO DE FUNIL + DISPLAY</w:t>
      </w:r>
    </w:p>
    <w:p>
      <w:pPr>
        <w:spacing w:before="0" w:after="120"/>
      </w:pPr>
      <w:r>
        <w:rPr>
          <w:b/>
          <w:color w:val="002E6E"/>
          <w:sz w:val="36"/>
        </w:rPr>
        <w:t>Estratégia Google</w:t>
      </w:r>
    </w:p>
    <w:p>
      <w:pPr>
        <w:spacing w:before="120" w:after="120"/>
        <w:pBdr>
          <w:bottom w:val="single" w:sz="4" w:space="1" w:color="002E6E"/>
        </w:pBdr>
      </w:pPr>
    </w:p>
    <w:p>
      <w:pPr>
        <w:spacing w:before="160" w:after="40"/>
      </w:pPr>
      <w:r>
        <w:rPr>
          <w:b/>
          <w:color w:val="002E6E"/>
          <w:sz w:val="22"/>
        </w:rPr>
        <w:t>Search — Fundo de funil (prioridade)</w:t>
      </w:r>
    </w:p>
    <w:p>
      <w:pPr>
        <w:spacing w:after="80"/>
      </w:pPr>
      <w:r>
        <w:rPr>
          <w:color w:val="444444"/>
          <w:sz w:val="21"/>
        </w:rPr>
        <w:t>Grupo 1 — Saúde</w:t>
      </w:r>
    </w:p>
    <w:p>
      <w:pPr>
        <w:spacing w:after="80"/>
      </w:pPr>
      <w:r>
        <w:rPr>
          <w:color w:val="444444"/>
          <w:sz w:val="19"/>
        </w:rPr>
        <w:t>"empresa facilities hospital SC" · "terceirização limpeza hospitalar" · "segurança patrimonial hospital"</w:t>
      </w:r>
    </w:p>
    <w:p>
      <w:pPr>
        <w:spacing w:after="80"/>
      </w:pPr>
      <w:r>
        <w:rPr>
          <w:color w:val="444444"/>
          <w:sz w:val="21"/>
        </w:rPr>
        <w:t>Grupo 2 — Educação</w:t>
      </w:r>
    </w:p>
    <w:p>
      <w:pPr>
        <w:spacing w:after="80"/>
      </w:pPr>
      <w:r>
        <w:rPr>
          <w:color w:val="444444"/>
          <w:sz w:val="19"/>
        </w:rPr>
        <w:t>"facilities instituição de ensino" · "terceirização portaria escola" · "limpeza universidade SC"</w:t>
      </w:r>
    </w:p>
    <w:p>
      <w:pPr>
        <w:spacing w:after="80"/>
      </w:pPr>
      <w:r>
        <w:rPr>
          <w:color w:val="444444"/>
          <w:sz w:val="21"/>
        </w:rPr>
        <w:t>Grupo 3 — Financeiro</w:t>
      </w:r>
    </w:p>
    <w:p>
      <w:pPr>
        <w:spacing w:after="80"/>
      </w:pPr>
      <w:r>
        <w:rPr>
          <w:color w:val="444444"/>
          <w:sz w:val="19"/>
        </w:rPr>
        <w:t>"empresa facilities banco" · "terceirização serviços financeiro" · "segurança patrimonial Curitiba"</w:t>
      </w:r>
    </w:p>
    <w:p>
      <w:pPr>
        <w:spacing w:after="80"/>
      </w:pPr>
      <w:r>
        <w:rPr>
          <w:color w:val="444444"/>
          <w:sz w:val="21"/>
        </w:rPr>
        <w:t>Grupo 4 — Geral/Concorrente</w:t>
      </w:r>
    </w:p>
    <w:p>
      <w:pPr>
        <w:spacing w:after="80"/>
      </w:pPr>
      <w:r>
        <w:rPr>
          <w:color w:val="444444"/>
          <w:sz w:val="19"/>
        </w:rPr>
        <w:t>"Orcali facilities" · "alternativa Orbenk" · "empresa terceirização SC PR"</w:t>
      </w:r>
    </w:p>
    <w:p>
      <w:pPr>
        <w:spacing w:before="160" w:after="40"/>
      </w:pPr>
      <w:r>
        <w:rPr>
          <w:b/>
          <w:color w:val="002E6E"/>
          <w:sz w:val="22"/>
        </w:rPr>
        <w:t>Display — Topo de funil</w:t>
      </w:r>
    </w:p>
    <w:p>
      <w:pPr>
        <w:pStyle w:val="ListBullet"/>
        <w:spacing w:after="40"/>
      </w:pPr>
      <w:r>
        <w:rPr>
          <w:color w:val="444444"/>
          <w:sz w:val="21"/>
        </w:rPr>
        <w:t>Remarketing: visitantes da LP que não converteram</w:t>
      </w:r>
    </w:p>
    <w:p>
      <w:pPr>
        <w:pStyle w:val="ListBullet"/>
        <w:spacing w:after="40"/>
      </w:pPr>
      <w:r>
        <w:rPr>
          <w:color w:val="444444"/>
          <w:sz w:val="21"/>
        </w:rPr>
        <w:t>Contextual: portais de notícia B2B, sites do setor de saúde/educação</w:t>
      </w:r>
    </w:p>
    <w:p>
      <w:pPr>
        <w:pStyle w:val="ListBullet"/>
        <w:spacing w:after="40"/>
      </w:pPr>
      <w:r>
        <w:rPr>
          <w:color w:val="444444"/>
          <w:sz w:val="21"/>
        </w:rPr>
        <w:t>Criativo: banner com foco em continuidade operacional</w:t>
      </w:r>
    </w:p>
    <w:p/>
    <w:p>
      <w:pPr>
        <w:spacing w:before="80" w:after="0"/>
      </w:pPr>
      <w:r>
        <w:rPr>
          <w:b/>
          <w:color w:val="72BF45"/>
          <w:sz w:val="16"/>
        </w:rPr>
        <w:t>SLIDE 11</w:t>
      </w:r>
    </w:p>
    <w:p>
      <w:pPr>
        <w:spacing w:before="0" w:after="40"/>
      </w:pPr>
      <w:r>
        <w:rPr>
          <w:b/>
          <w:color w:val="72BF45"/>
          <w:sz w:val="18"/>
        </w:rPr>
        <w:t>R$ 8.000 / MÊS</w:t>
      </w:r>
    </w:p>
    <w:p>
      <w:pPr>
        <w:spacing w:before="0" w:after="120"/>
      </w:pPr>
      <w:r>
        <w:rPr>
          <w:b/>
          <w:color w:val="002E6E"/>
          <w:sz w:val="36"/>
        </w:rPr>
        <w:t>Distribuição de Verba</w:t>
      </w:r>
    </w:p>
    <w:p>
      <w:pPr>
        <w:spacing w:before="120" w:after="120"/>
        <w:pBdr>
          <w:bottom w:val="single" w:sz="4" w:space="1" w:color="002E6E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1872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Verba mensal</w:t>
            </w:r>
          </w:p>
        </w:tc>
        <w:tc>
          <w:tcPr>
            <w:tcW w:type="dxa" w:w="1008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%</w:t>
            </w:r>
          </w:p>
        </w:tc>
        <w:tc>
          <w:tcPr>
            <w:tcW w:type="dxa" w:w="2880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Objetivo</w:t>
            </w:r>
          </w:p>
        </w:tc>
      </w:tr>
      <w:tr>
        <w:tc>
          <w:tcPr>
            <w:tcW w:type="dxa" w:w="360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Google Ads (Search + Display)</w:t>
            </w:r>
          </w:p>
        </w:tc>
        <w:tc>
          <w:tcPr>
            <w:tcW w:type="dxa" w:w="187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R$ 5.500</w:t>
            </w:r>
          </w:p>
        </w:tc>
        <w:tc>
          <w:tcPr>
            <w:tcW w:type="dxa" w:w="1008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69%</w:t>
            </w:r>
          </w:p>
        </w:tc>
        <w:tc>
          <w:tcPr>
            <w:tcW w:type="dxa" w:w="288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Leads qualificados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20"/>
              </w:rPr>
              <w:t>Meta Ads (Alcance + Retargeting)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R$ 2.500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>
              <w:rPr>
                <w:sz w:val="20"/>
              </w:rPr>
              <w:t>31%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20"/>
              </w:rPr>
              <w:t>Awareness + Retargeting</w:t>
            </w:r>
          </w:p>
        </w:tc>
      </w:tr>
      <w:tr>
        <w:tc>
          <w:tcPr>
            <w:tcW w:type="dxa" w:w="360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TOTAL</w:t>
            </w:r>
          </w:p>
        </w:tc>
        <w:tc>
          <w:tcPr>
            <w:tcW w:type="dxa" w:w="187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R$ 8.000</w:t>
            </w:r>
          </w:p>
        </w:tc>
        <w:tc>
          <w:tcPr>
            <w:tcW w:type="dxa" w:w="1008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100%</w:t>
            </w:r>
          </w:p>
        </w:tc>
        <w:tc>
          <w:tcPr>
            <w:tcW w:type="dxa" w:w="288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—</w:t>
            </w:r>
          </w:p>
        </w:tc>
      </w:tr>
    </w:tbl>
    <w:p/>
    <w:p>
      <w:pPr>
        <w:spacing w:before="160" w:after="40"/>
      </w:pPr>
      <w:r>
        <w:rPr>
          <w:b/>
          <w:color w:val="002E6E"/>
          <w:sz w:val="22"/>
        </w:rPr>
        <w:t>Racional</w:t>
      </w:r>
    </w:p>
    <w:p>
      <w:pPr>
        <w:spacing w:after="80"/>
      </w:pPr>
      <w:r>
        <w:rPr>
          <w:color w:val="444444"/>
          <w:sz w:val="21"/>
        </w:rPr>
        <w:t>B2B de alto ticket prioriza intenção de busca: o Google recebe a maior fatia porque o decisor chega com a decisão semi-formada. O Meta complementa com presença de marca e cobre o retargeting de quem visitou mas não converteu.</w:t>
      </w:r>
    </w:p>
    <w:p>
      <w:pPr>
        <w:spacing w:after="80"/>
      </w:pPr>
      <w:r>
        <w:rPr>
          <w:color w:val="444444"/>
          <w:sz w:val="21"/>
        </w:rPr>
        <w:t>Referência: alocação padrão B2B 2026 é 46% Google / 8% Meta (sem LinkedIn). Na Orcali, o Meta recebe mais por causa do retargeting e da base lookalike forte.</w:t>
      </w:r>
    </w:p>
    <w:p>
      <w:r>
        <w:br w:type="page"/>
      </w:r>
    </w:p>
    <w:p>
      <w:pPr>
        <w:spacing w:before="80"/>
      </w:pPr>
      <w:r>
        <w:rPr>
          <w:b/>
          <w:color w:val="002E6E"/>
          <w:sz w:val="26"/>
        </w:rPr>
        <w:t>▌ SEÇÃO 3 — EXECUÇÃO</w:t>
      </w:r>
    </w:p>
    <w:p/>
    <w:p>
      <w:pPr>
        <w:spacing w:before="80" w:after="0"/>
      </w:pPr>
      <w:r>
        <w:rPr>
          <w:b/>
          <w:color w:val="72BF45"/>
          <w:sz w:val="16"/>
        </w:rPr>
        <w:t>SLIDE 12</w:t>
      </w:r>
    </w:p>
    <w:p>
      <w:pPr>
        <w:spacing w:before="0" w:after="40"/>
      </w:pPr>
      <w:r>
        <w:rPr>
          <w:b/>
          <w:color w:val="72BF45"/>
          <w:sz w:val="18"/>
        </w:rPr>
        <w:t>ESTRUTURA DE CAPTAÇÃO</w:t>
      </w:r>
    </w:p>
    <w:p>
      <w:pPr>
        <w:spacing w:before="0" w:after="120"/>
      </w:pPr>
      <w:r>
        <w:rPr>
          <w:b/>
          <w:color w:val="002E6E"/>
          <w:sz w:val="36"/>
        </w:rPr>
        <w:t>Landing Page + Formulário</w:t>
      </w:r>
    </w:p>
    <w:p>
      <w:pPr>
        <w:spacing w:before="120" w:after="120"/>
        <w:pBdr>
          <w:bottom w:val="single" w:sz="4" w:space="1" w:color="002E6E"/>
        </w:pBdr>
      </w:pPr>
    </w:p>
    <w:p>
      <w:pPr>
        <w:spacing w:before="160" w:after="40"/>
      </w:pPr>
      <w:r>
        <w:rPr>
          <w:b/>
          <w:color w:val="002E6E"/>
          <w:sz w:val="22"/>
        </w:rPr>
        <w:t>O que foi construído</w:t>
      </w:r>
    </w:p>
    <w:p>
      <w:pPr>
        <w:spacing w:after="80"/>
      </w:pPr>
      <w:r>
        <w:rPr>
          <w:color w:val="444444"/>
          <w:sz w:val="21"/>
        </w:rPr>
        <w:t>Landing page dedicada ao serviço de Facilities, desenvolvida especificamente para conversão:</w:t>
      </w:r>
    </w:p>
    <w:p>
      <w:pPr>
        <w:pStyle w:val="ListBullet"/>
        <w:spacing w:after="40"/>
      </w:pPr>
      <w:r>
        <w:rPr>
          <w:color w:val="444444"/>
          <w:sz w:val="21"/>
        </w:rPr>
        <w:t>URL: site-orcali.vercel.app</w:t>
      </w:r>
    </w:p>
    <w:p>
      <w:pPr>
        <w:pStyle w:val="ListBullet"/>
        <w:spacing w:after="40"/>
      </w:pPr>
      <w:r>
        <w:rPr>
          <w:color w:val="444444"/>
          <w:sz w:val="21"/>
        </w:rPr>
        <w:t>Estrutura: Hero → Diferenciais → Serviços → Prova social → Formulário</w:t>
      </w:r>
    </w:p>
    <w:p>
      <w:pPr>
        <w:pStyle w:val="ListBullet"/>
        <w:spacing w:after="40"/>
      </w:pPr>
      <w:r>
        <w:rPr>
          <w:color w:val="444444"/>
          <w:sz w:val="21"/>
        </w:rPr>
        <w:t>Formulário qualificador via Typebot (chatbot integrado na página)</w:t>
      </w:r>
    </w:p>
    <w:p>
      <w:pPr>
        <w:spacing w:before="160" w:after="40"/>
      </w:pPr>
      <w:r>
        <w:rPr>
          <w:b/>
          <w:color w:val="002E6E"/>
          <w:sz w:val="22"/>
        </w:rPr>
        <w:t>Campos do formulário</w:t>
      </w:r>
    </w:p>
    <w:p>
      <w:pPr>
        <w:spacing w:after="80"/>
      </w:pPr>
      <w:r>
        <w:rPr>
          <w:color w:val="444444"/>
          <w:sz w:val="21"/>
        </w:rPr>
        <w:t>Nome · E-mail corporativo · Telefone/WhatsApp · Empresa · Segmento · Estado · Cidade · Mensagem</w:t>
      </w:r>
    </w:p>
    <w:p>
      <w:pPr>
        <w:spacing w:before="160" w:after="40"/>
      </w:pPr>
      <w:r>
        <w:rPr>
          <w:b/>
          <w:color w:val="002E6E"/>
          <w:sz w:val="22"/>
        </w:rPr>
        <w:t>Por que Typebot (e não formulário estático)?</w:t>
      </w:r>
    </w:p>
    <w:p>
      <w:pPr>
        <w:pStyle w:val="ListBullet"/>
        <w:spacing w:after="40"/>
      </w:pPr>
      <w:r>
        <w:rPr>
          <w:color w:val="444444"/>
          <w:sz w:val="21"/>
        </w:rPr>
        <w:t>Taxa de conclusão maior (lógica conversacional)</w:t>
      </w:r>
    </w:p>
    <w:p>
      <w:pPr>
        <w:pStyle w:val="ListBullet"/>
        <w:spacing w:after="40"/>
      </w:pPr>
      <w:r>
        <w:rPr>
          <w:color w:val="444444"/>
          <w:sz w:val="21"/>
        </w:rPr>
        <w:t>Qualificação por nicho/segmento antes de chegar ao comercial</w:t>
      </w:r>
    </w:p>
    <w:p>
      <w:pPr>
        <w:pStyle w:val="ListBullet"/>
        <w:spacing w:after="40"/>
      </w:pPr>
      <w:r>
        <w:rPr>
          <w:color w:val="444444"/>
          <w:sz w:val="21"/>
        </w:rPr>
        <w:t>Rastreamento de UTMs automático desde o primeiro campo</w:t>
      </w:r>
    </w:p>
    <w:p>
      <w:pPr>
        <w:pStyle w:val="ListBullet"/>
        <w:spacing w:after="40"/>
      </w:pPr>
      <w:r>
        <w:rPr>
          <w:color w:val="444444"/>
          <w:sz w:val="21"/>
        </w:rPr>
        <w:t>Integração direta com Sheets e CAPI em tempo real</w:t>
      </w:r>
    </w:p>
    <w:p/>
    <w:p>
      <w:pPr>
        <w:spacing w:before="80" w:after="0"/>
      </w:pPr>
      <w:r>
        <w:rPr>
          <w:b/>
          <w:color w:val="72BF45"/>
          <w:sz w:val="16"/>
        </w:rPr>
        <w:t>SLIDE 13</w:t>
      </w:r>
    </w:p>
    <w:p>
      <w:pPr>
        <w:spacing w:before="0" w:after="40"/>
      </w:pPr>
      <w:r>
        <w:rPr>
          <w:b/>
          <w:color w:val="72BF45"/>
          <w:sz w:val="18"/>
        </w:rPr>
        <w:t>DE ONDE VEM O LEAD ATÉ O COMERCIAL</w:t>
      </w:r>
    </w:p>
    <w:p>
      <w:pPr>
        <w:spacing w:before="0" w:after="120"/>
      </w:pPr>
      <w:r>
        <w:rPr>
          <w:b/>
          <w:color w:val="002E6E"/>
          <w:sz w:val="36"/>
        </w:rPr>
        <w:t>Tracking + Integrações</w:t>
      </w:r>
    </w:p>
    <w:p>
      <w:pPr>
        <w:spacing w:before="120" w:after="120"/>
        <w:pBdr>
          <w:bottom w:val="single" w:sz="4" w:space="1" w:color="002E6E"/>
        </w:pBdr>
      </w:pPr>
    </w:p>
    <w:p>
      <w:pPr>
        <w:spacing w:before="160" w:after="40"/>
      </w:pPr>
      <w:r>
        <w:rPr>
          <w:b/>
          <w:color w:val="002E6E"/>
          <w:sz w:val="22"/>
        </w:rPr>
        <w:t>O fluxo completo</w:t>
      </w:r>
    </w:p>
    <w:p>
      <w:pPr>
        <w:spacing w:after="80"/>
      </w:pPr>
      <w:r>
        <w:rPr>
          <w:color w:val="444444"/>
          <w:sz w:val="21"/>
        </w:rPr>
        <w:t>Anúncio (Meta / Google)</w:t>
      </w:r>
    </w:p>
    <w:p>
      <w:pPr>
        <w:spacing w:after="80"/>
      </w:pPr>
      <w:r>
        <w:rPr>
          <w:color w:val="444444"/>
          <w:sz w:val="21"/>
        </w:rPr>
        <w:t xml:space="preserve">  ↓  LP — PageView → Meta CAPI + Google Tag</w:t>
      </w:r>
    </w:p>
    <w:p>
      <w:pPr>
        <w:spacing w:after="80"/>
      </w:pPr>
      <w:r>
        <w:rPr>
          <w:color w:val="444444"/>
          <w:sz w:val="21"/>
        </w:rPr>
        <w:t xml:space="preserve">  ↓  Typebot — form qualificador (UTMs + device + geo)</w:t>
      </w:r>
    </w:p>
    <w:p>
      <w:pPr>
        <w:spacing w:after="80"/>
      </w:pPr>
      <w:r>
        <w:rPr>
          <w:color w:val="444444"/>
          <w:sz w:val="21"/>
        </w:rPr>
        <w:t xml:space="preserve">  ↓  Edge Function (Vercel) — 38 campos gravados</w:t>
      </w:r>
    </w:p>
    <w:p>
      <w:pPr>
        <w:spacing w:after="80"/>
      </w:pPr>
      <w:r>
        <w:rPr>
          <w:color w:val="444444"/>
          <w:sz w:val="21"/>
        </w:rPr>
        <w:t xml:space="preserve">  ↓  Google Sheets — lead com origem, nicho, dispositivo, IP geo</w:t>
      </w:r>
    </w:p>
    <w:p>
      <w:pPr>
        <w:spacing w:after="80"/>
      </w:pPr>
      <w:r>
        <w:rPr>
          <w:color w:val="444444"/>
          <w:sz w:val="21"/>
        </w:rPr>
        <w:t xml:space="preserve">  ↓  Apps Script</w:t>
      </w:r>
    </w:p>
    <w:p>
      <w:pPr>
        <w:spacing w:after="80"/>
      </w:pPr>
      <w:r>
        <w:rPr>
          <w:color w:val="444444"/>
          <w:sz w:val="21"/>
        </w:rPr>
        <w:t xml:space="preserve">        ├── Meta CAPI (evento Lead — deduplica com Pixel)</w:t>
      </w:r>
    </w:p>
    <w:p>
      <w:pPr>
        <w:spacing w:after="80"/>
      </w:pPr>
      <w:r>
        <w:rPr>
          <w:color w:val="444444"/>
          <w:sz w:val="21"/>
        </w:rPr>
        <w:t xml:space="preserve">        └── RD Station (lead entra no funil de nutrição)</w:t>
      </w:r>
    </w:p>
    <w:p>
      <w:pPr>
        <w:spacing w:before="160" w:after="40"/>
      </w:pPr>
      <w:r>
        <w:rPr>
          <w:b/>
          <w:color w:val="002E6E"/>
          <w:sz w:val="22"/>
        </w:rPr>
        <w:t>O que isso resolve</w:t>
      </w:r>
    </w:p>
    <w:p>
      <w:pPr>
        <w:spacing w:after="80"/>
      </w:pPr>
      <w:r>
        <w:rPr>
          <w:color w:val="444444"/>
          <w:sz w:val="21"/>
        </w:rPr>
        <w:t>Todo lead tem origem rastreada: de qual campanha veio, qual anúncio, qual nicho, qual cidade. O comercial recebe o lead com contexto — sabe se é hospital de Florianópolis que veio do Google ou banco de Curitiba que veio do retargeting Meta.</w:t>
      </w:r>
    </w:p>
    <w:p/>
    <w:p>
      <w:pPr>
        <w:spacing w:before="80" w:after="0"/>
      </w:pPr>
      <w:r>
        <w:rPr>
          <w:b/>
          <w:color w:val="72BF45"/>
          <w:sz w:val="16"/>
        </w:rPr>
        <w:t>SLIDE 14</w:t>
      </w:r>
    </w:p>
    <w:p>
      <w:pPr>
        <w:spacing w:before="0" w:after="40"/>
      </w:pPr>
      <w:r>
        <w:rPr>
          <w:b/>
          <w:color w:val="72BF45"/>
          <w:sz w:val="18"/>
        </w:rPr>
        <w:t>COMO VAMOS MEDIR</w:t>
      </w:r>
    </w:p>
    <w:p>
      <w:pPr>
        <w:spacing w:before="0" w:after="120"/>
      </w:pPr>
      <w:r>
        <w:rPr>
          <w:b/>
          <w:color w:val="002E6E"/>
          <w:sz w:val="36"/>
        </w:rPr>
        <w:t>KPIs e Metas</w:t>
      </w:r>
    </w:p>
    <w:p>
      <w:pPr>
        <w:spacing w:before="120" w:after="120"/>
        <w:pBdr>
          <w:bottom w:val="single" w:sz="4" w:space="1" w:color="002E6E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0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592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Meta (mês 1–2)</w:t>
            </w:r>
          </w:p>
        </w:tc>
        <w:tc>
          <w:tcPr>
            <w:tcW w:type="dxa" w:w="2592"/>
            <w:shd w:val="clear" w:color="auto" w:fill="002E6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Meta (mês 4–6)</w:t>
            </w:r>
          </w:p>
        </w:tc>
      </w:tr>
      <w:tr>
        <w:tc>
          <w:tcPr>
            <w:tcW w:type="dxa" w:w="432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CPL Google</w:t>
            </w:r>
          </w:p>
        </w:tc>
        <w:tc>
          <w:tcPr>
            <w:tcW w:type="dxa" w:w="259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≤ R$ 150</w:t>
            </w:r>
          </w:p>
        </w:tc>
        <w:tc>
          <w:tcPr>
            <w:tcW w:type="dxa" w:w="259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≤ R$ 100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  <w:t>CPL Meta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20"/>
              </w:rPr>
              <w:t>≤ R$ 90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20"/>
              </w:rPr>
              <w:t>≤ R$ 60</w:t>
            </w:r>
          </w:p>
        </w:tc>
      </w:tr>
      <w:tr>
        <w:tc>
          <w:tcPr>
            <w:tcW w:type="dxa" w:w="432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Leads qualificados/mês (Google)</w:t>
            </w:r>
          </w:p>
        </w:tc>
        <w:tc>
          <w:tcPr>
            <w:tcW w:type="dxa" w:w="259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30–40</w:t>
            </w:r>
          </w:p>
        </w:tc>
        <w:tc>
          <w:tcPr>
            <w:tcW w:type="dxa" w:w="259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50–60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20"/>
              </w:rPr>
              <w:t>Taxa de conversão LP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20"/>
              </w:rPr>
              <w:t>&gt; 3%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20"/>
              </w:rPr>
              <w:t>&gt; 5%</w:t>
            </w:r>
          </w:p>
        </w:tc>
      </w:tr>
      <w:tr>
        <w:tc>
          <w:tcPr>
            <w:tcW w:type="dxa" w:w="4320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Taxa MQL (lead → oportunidade)</w:t>
            </w:r>
          </w:p>
        </w:tc>
        <w:tc>
          <w:tcPr>
            <w:tcW w:type="dxa" w:w="259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8%</w:t>
            </w:r>
          </w:p>
        </w:tc>
        <w:tc>
          <w:tcPr>
            <w:tcW w:type="dxa" w:w="2592"/>
            <w:shd w:val="clear" w:color="auto" w:fill="F0F4FB"/>
          </w:tcPr>
          <w:p>
            <w:pPr>
              <w:spacing w:before="40" w:after="40"/>
            </w:pPr>
            <w:r>
              <w:rPr>
                <w:sz w:val="20"/>
              </w:rPr>
              <w:t>12%</w:t>
            </w:r>
          </w:p>
        </w:tc>
      </w:tr>
    </w:tbl>
    <w:p/>
    <w:p>
      <w:pPr>
        <w:spacing w:before="160" w:after="40"/>
      </w:pPr>
      <w:r>
        <w:rPr>
          <w:b/>
          <w:color w:val="002E6E"/>
          <w:sz w:val="22"/>
        </w:rPr>
        <w:t>O que acompanhamos semanalmente</w:t>
      </w:r>
    </w:p>
    <w:p>
      <w:pPr>
        <w:pStyle w:val="ListBullet"/>
        <w:spacing w:after="40"/>
      </w:pPr>
      <w:r>
        <w:rPr>
          <w:color w:val="444444"/>
          <w:sz w:val="21"/>
        </w:rPr>
        <w:t>Volume de leads por canal e por nicho</w:t>
      </w:r>
    </w:p>
    <w:p>
      <w:pPr>
        <w:pStyle w:val="ListBullet"/>
        <w:spacing w:after="40"/>
      </w:pPr>
      <w:r>
        <w:rPr>
          <w:color w:val="444444"/>
          <w:sz w:val="21"/>
        </w:rPr>
        <w:t>CPL por campanha e por grupo de anúncio</w:t>
      </w:r>
    </w:p>
    <w:p>
      <w:pPr>
        <w:pStyle w:val="ListBullet"/>
        <w:spacing w:after="40"/>
      </w:pPr>
      <w:r>
        <w:rPr>
          <w:color w:val="444444"/>
          <w:sz w:val="21"/>
        </w:rPr>
        <w:t>Qualidade: quantos leads viraram reunião agendada</w:t>
      </w:r>
    </w:p>
    <w:p>
      <w:pPr>
        <w:pStyle w:val="ListBullet"/>
        <w:spacing w:after="40"/>
      </w:pPr>
      <w:r>
        <w:rPr>
          <w:color w:val="444444"/>
          <w:sz w:val="21"/>
        </w:rPr>
        <w:t>Score de qualidade dos anúncios (Google) e relevância (Meta)</w:t>
      </w:r>
    </w:p>
    <w:p>
      <w:pPr>
        <w:spacing w:before="160" w:after="40"/>
      </w:pPr>
      <w:r>
        <w:rPr>
          <w:b/>
          <w:color w:val="002E6E"/>
          <w:sz w:val="22"/>
        </w:rPr>
        <w:t>O que muda ao longo do tempo</w:t>
      </w:r>
    </w:p>
    <w:p>
      <w:pPr>
        <w:spacing w:after="80"/>
      </w:pPr>
      <w:r>
        <w:rPr>
          <w:color w:val="444444"/>
          <w:sz w:val="21"/>
        </w:rPr>
        <w:t>Primeiros 60 dias: fase de aprendizado — CPL mais alto, é normal. A partir do mês 3: otimização com base em dados reais. Após 6 meses: CPL tende a cair 30–50%.</w:t>
      </w:r>
    </w:p>
    <w:p/>
    <w:p>
      <w:pPr>
        <w:spacing w:before="80" w:after="0"/>
      </w:pPr>
      <w:r>
        <w:rPr>
          <w:b/>
          <w:color w:val="72BF45"/>
          <w:sz w:val="16"/>
        </w:rPr>
        <w:t>SLIDE 15</w:t>
      </w:r>
    </w:p>
    <w:p>
      <w:pPr>
        <w:spacing w:before="0" w:after="40"/>
      </w:pPr>
      <w:r>
        <w:rPr>
          <w:b/>
          <w:color w:val="72BF45"/>
          <w:sz w:val="18"/>
        </w:rPr>
        <w:t>O QUE ACONTECE AGORA</w:t>
      </w:r>
    </w:p>
    <w:p>
      <w:pPr>
        <w:spacing w:before="0" w:after="120"/>
      </w:pPr>
      <w:r>
        <w:rPr>
          <w:b/>
          <w:color w:val="002E6E"/>
          <w:sz w:val="36"/>
        </w:rPr>
        <w:t>Próximos Passos</w:t>
      </w:r>
    </w:p>
    <w:p>
      <w:pPr>
        <w:spacing w:before="120" w:after="120"/>
        <w:pBdr>
          <w:bottom w:val="single" w:sz="4" w:space="1" w:color="002E6E"/>
        </w:pBdr>
      </w:pPr>
    </w:p>
    <w:p>
      <w:pPr>
        <w:pStyle w:val="ListNumber"/>
        <w:spacing w:after="40"/>
      </w:pPr>
      <w:r>
        <w:rPr>
          <w:color w:val="444444"/>
          <w:sz w:val="21"/>
        </w:rPr>
        <w:t>Finalizar integração RD Station (esta semana)</w:t>
        <w:br/>
        <w:t>→ Gerar token API em app.rdstation.com.br → Configurações → Integrações → Acessos à API</w:t>
      </w:r>
    </w:p>
    <w:p>
      <w:pPr>
        <w:pStyle w:val="ListNumber"/>
        <w:spacing w:after="40"/>
      </w:pPr>
      <w:r>
        <w:rPr>
          <w:color w:val="444444"/>
          <w:sz w:val="21"/>
        </w:rPr>
        <w:t>Upload Lookalike Meta (semana 1)</w:t>
        <w:br/>
        <w:t>→ Normalizar base de 2.966 clientes (e-mail + telefone) → Custom Audience → Lookalike 1%</w:t>
      </w:r>
    </w:p>
    <w:p>
      <w:pPr>
        <w:pStyle w:val="ListNumber"/>
        <w:spacing w:after="40"/>
      </w:pPr>
      <w:r>
        <w:rPr>
          <w:color w:val="444444"/>
          <w:sz w:val="21"/>
        </w:rPr>
        <w:t>Criar campanhas Meta (semana 1–2)</w:t>
        <w:br/>
        <w:t>→ Campanha de Alcance (Lookalike + cargo/setor) + Retargeting (visitantes LP)</w:t>
      </w:r>
    </w:p>
    <w:p>
      <w:pPr>
        <w:pStyle w:val="ListNumber"/>
        <w:spacing w:after="40"/>
      </w:pPr>
      <w:r>
        <w:rPr>
          <w:color w:val="444444"/>
          <w:sz w:val="21"/>
        </w:rPr>
        <w:t>Criar campanhas Google (semana 1–2)</w:t>
        <w:br/>
        <w:t>→ Estrutura de grupos por nicho: saúde, ensino, financeiro + Display remarketing</w:t>
      </w:r>
    </w:p>
    <w:p>
      <w:pPr>
        <w:pStyle w:val="ListNumber"/>
        <w:spacing w:after="40"/>
      </w:pPr>
      <w:r>
        <w:rPr>
          <w:color w:val="444444"/>
          <w:sz w:val="21"/>
        </w:rPr>
        <w:t>Criar criativos iniciais (semana 2)</w:t>
        <w:br/>
        <w:t>→ 3–4 criativos institucionais por canal, adaptados por nicho</w:t>
      </w:r>
    </w:p>
    <w:p>
      <w:pPr>
        <w:pStyle w:val="ListNumber"/>
        <w:spacing w:after="40"/>
      </w:pPr>
      <w:r>
        <w:rPr>
          <w:color w:val="444444"/>
          <w:sz w:val="21"/>
        </w:rPr>
        <w:t>Primeiro relatório (dia 30)</w:t>
        <w:br/>
        <w:t>→ Análise de primeiros dados: CPL, volume, qualidade, ajustes</w:t>
      </w:r>
    </w:p>
    <w:p>
      <w:r>
        <w:br w:type="page"/>
      </w:r>
    </w:p>
    <w:p>
      <w:pPr>
        <w:spacing w:before="80" w:after="80"/>
      </w:pPr>
      <w:r>
        <w:rPr>
          <w:b/>
          <w:color w:val="444444"/>
          <w:sz w:val="24"/>
        </w:rPr>
        <w:t>Referências e Fontes</w:t>
      </w:r>
    </w:p>
    <w:p>
      <w:pPr>
        <w:spacing w:before="120" w:after="120"/>
        <w:pBdr>
          <w:bottom w:val="single" w:sz="4" w:space="1" w:color="002E6E"/>
        </w:pBdr>
      </w:pPr>
    </w:p>
    <w:p>
      <w:pPr>
        <w:spacing w:after="80"/>
      </w:pPr>
      <w:r>
        <w:rPr>
          <w:color w:val="444444"/>
          <w:sz w:val="18"/>
        </w:rPr>
        <w:t>Jornada do decisor B2B: Think with Google — thinkwithgoogle.com/intl/pt-br/tendencias-de-consumo/jornada-do-consumidor/b2b-jornada-pesquisa/</w:t>
      </w:r>
    </w:p>
    <w:p>
      <w:pPr>
        <w:spacing w:after="80"/>
      </w:pPr>
      <w:r>
        <w:rPr>
          <w:color w:val="444444"/>
          <w:sz w:val="18"/>
        </w:rPr>
        <w:t>Benchmarks Meta vs Google B2B: B2B PPC 2025 Report — thedigitalbloom.com | Meta ROAS: 51% / Google ROAS: 67%</w:t>
      </w:r>
    </w:p>
    <w:p>
      <w:pPr>
        <w:spacing w:after="80"/>
      </w:pPr>
      <w:r>
        <w:rPr>
          <w:color w:val="444444"/>
          <w:sz w:val="18"/>
        </w:rPr>
        <w:t>CPL Brasil serviços B2B: witu.digital/quanto-custa-google-ads — R$ 40–R$ 180 para serviços profissionais</w:t>
      </w:r>
    </w:p>
    <w:p>
      <w:pPr>
        <w:spacing w:after="80"/>
      </w:pPr>
      <w:r>
        <w:rPr>
          <w:color w:val="444444"/>
          <w:sz w:val="18"/>
        </w:rPr>
        <w:t>Concorrentes: grandesnomesdapropaganda.com.br (Orbenk) + gazetamercantil.digital</w:t>
      </w:r>
    </w:p>
    <w:p>
      <w:pPr>
        <w:spacing w:after="80"/>
      </w:pPr>
      <w:r>
        <w:rPr>
          <w:color w:val="444444"/>
          <w:sz w:val="18"/>
        </w:rPr>
        <w:t>Ad Library Meta: ads.facebook.com/ads/library — verificar manualmente: Orsegups, Orbenk, Khronos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