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2E6E"/>
          <w:sz w:val="52"/>
        </w:rPr>
        <w:t>Tráfego Pago — Orcali 2026</w:t>
      </w:r>
    </w:p>
    <w:p>
      <w:pPr>
        <w:spacing w:after="40"/>
        <w:jc w:val="center"/>
      </w:pPr>
      <w:r>
        <w:rPr>
          <w:b/>
          <w:color w:val="72BF45"/>
          <w:sz w:val="26"/>
        </w:rPr>
        <w:t>Para prospecções que não podem parar</w:t>
      </w:r>
    </w:p>
    <w:p>
      <w:pPr>
        <w:spacing w:after="320"/>
        <w:jc w:val="center"/>
      </w:pPr>
      <w:r>
        <w:rPr>
          <w:color w:val="444444"/>
          <w:sz w:val="20"/>
        </w:rPr>
        <w:t>Planejamento estratégico de mídia paga — Meta Ads + Google Ads</w:t>
        <w:br/>
        <w:t>Digitha para Orcali Segurança e Serviços · Junho 2026</w:t>
      </w:r>
    </w:p>
    <w:p/>
    <w:p>
      <w:pPr>
        <w:pStyle w:val="Heading1"/>
        <w:spacing w:before="360" w:after="120"/>
      </w:pPr>
      <w:r>
        <w:rPr>
          <w:color w:val="002E6E"/>
          <w:sz w:val="44"/>
        </w:rPr>
        <w:t>Análise</w:t>
      </w:r>
    </w:p>
    <w:p>
      <w:pPr>
        <w:pStyle w:val="Heading2"/>
        <w:spacing w:before="280" w:after="80"/>
      </w:pPr>
      <w:r>
        <w:rPr>
          <w:color w:val="002E6E"/>
          <w:sz w:val="32"/>
        </w:rPr>
        <w:t>Objetivos de Performance</w:t>
      </w:r>
    </w:p>
    <w:p>
      <w:pPr>
        <w:pStyle w:val="Heading3"/>
        <w:spacing w:before="160" w:after="40"/>
      </w:pPr>
      <w:r>
        <w:rPr>
          <w:color w:val="72BF45"/>
          <w:sz w:val="24"/>
        </w:rPr>
        <w:t>1. Reconhecimento de marca nos nichos-alvo</w:t>
      </w:r>
    </w:p>
    <w:p>
      <w:pPr>
        <w:spacing w:after="80"/>
      </w:pPr>
      <w:r>
        <w:rPr>
          <w:color w:val="444444"/>
          <w:sz w:val="22"/>
        </w:rPr>
        <w:t>Construir presença contínua da Orcali junto a decisores B2B em instituições de saúde, ensino e financeiras no PR e SC, antes que eles comecem a pesquisar ativamente por fornecedores.</w:t>
      </w:r>
    </w:p>
    <w:p>
      <w:pPr>
        <w:pStyle w:val="Heading3"/>
        <w:spacing w:before="160" w:after="40"/>
      </w:pPr>
      <w:r>
        <w:rPr>
          <w:color w:val="72BF45"/>
          <w:sz w:val="24"/>
        </w:rPr>
        <w:t>2. Geração de leads qualificados</w:t>
      </w:r>
    </w:p>
    <w:p>
      <w:pPr>
        <w:spacing w:after="80"/>
      </w:pPr>
      <w:r>
        <w:rPr>
          <w:color w:val="444444"/>
          <w:sz w:val="22"/>
        </w:rPr>
        <w:t>Atrair gerentes e diretores administrativos com intenção real de contratar serviços de facilities e segurança, com rastreamento de origem desde o primeiro clique.</w:t>
      </w:r>
    </w:p>
    <w:p>
      <w:pPr>
        <w:pStyle w:val="Heading3"/>
        <w:spacing w:before="160" w:after="40"/>
      </w:pPr>
      <w:r>
        <w:rPr>
          <w:color w:val="72BF45"/>
          <w:sz w:val="24"/>
        </w:rPr>
        <w:t>3. Estrutura de nutrição e acompanhamento</w:t>
      </w:r>
    </w:p>
    <w:p>
      <w:pPr>
        <w:spacing w:after="80"/>
      </w:pPr>
      <w:r>
        <w:rPr>
          <w:color w:val="444444"/>
          <w:sz w:val="22"/>
        </w:rPr>
        <w:t>Conectar cada lead capturado ao RD Station para rastreamento completo da jornada comercial — do primeiro contato ao fechamento de contrato.</w:t>
      </w:r>
    </w:p>
    <w:p>
      <w:pPr>
        <w:pStyle w:val="Heading2"/>
        <w:spacing w:before="280" w:after="80"/>
      </w:pPr>
      <w:r>
        <w:rPr>
          <w:color w:val="002E6E"/>
          <w:sz w:val="32"/>
        </w:rPr>
        <w:t>Diagnóstico — O que aconteceu em 2024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 investimento anterior</w:t>
      </w:r>
    </w:p>
    <w:p>
      <w:pPr>
        <w:spacing w:after="80"/>
      </w:pPr>
      <w:r>
        <w:rPr>
          <w:color w:val="444444"/>
          <w:sz w:val="22"/>
        </w:rPr>
        <w:t>A Orcali rodou aproximadamente R$ 6.000/mês em tráfego pago ao longo de 2024. O resultado foi descrito internamente como de baixo impacto comercial.</w:t>
      </w:r>
    </w:p>
    <w:p>
      <w:pPr>
        <w:pStyle w:val="Heading3"/>
        <w:spacing w:before="160" w:after="40"/>
      </w:pPr>
      <w:r>
        <w:rPr>
          <w:color w:val="72BF45"/>
          <w:sz w:val="24"/>
        </w:rPr>
        <w:t>Por que não funcionou</w:t>
      </w:r>
    </w:p>
    <w:p>
      <w:pPr>
        <w:pStyle w:val="ListBullet"/>
        <w:spacing w:after="60"/>
      </w:pPr>
      <w:r>
        <w:rPr>
          <w:color w:val="444444"/>
          <w:sz w:val="22"/>
        </w:rPr>
        <w:t>Sem landing page dedicada — o tráfego ia para o site institucional genérico</w:t>
      </w:r>
    </w:p>
    <w:p>
      <w:pPr>
        <w:pStyle w:val="ListBullet"/>
        <w:spacing w:after="60"/>
      </w:pPr>
      <w:r>
        <w:rPr>
          <w:color w:val="444444"/>
          <w:sz w:val="22"/>
        </w:rPr>
        <w:t>Sem rastreamento de origem — impossível saber qual campanha gerava resultado</w:t>
      </w:r>
    </w:p>
    <w:p>
      <w:pPr>
        <w:pStyle w:val="ListBullet"/>
        <w:spacing w:after="60"/>
      </w:pPr>
      <w:r>
        <w:rPr>
          <w:color w:val="444444"/>
          <w:sz w:val="22"/>
        </w:rPr>
        <w:t>Sem qualificação de lead — qualquer contato era tratado como igual</w:t>
      </w:r>
    </w:p>
    <w:p>
      <w:pPr>
        <w:pStyle w:val="ListBullet"/>
        <w:spacing w:after="60"/>
      </w:pPr>
      <w:r>
        <w:rPr>
          <w:color w:val="444444"/>
          <w:sz w:val="22"/>
        </w:rPr>
        <w:t>Sem integração com CRM — lead chegava por e-mail e se perdia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 que mudamos para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03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403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Agora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Site institucional genérico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Landing page dedicada por nicho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Sem rastreamento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Meta Pixel + CAPI + Google Tag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Formulário básico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Typebot com qualificação por segmento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Lead perdido no e-mail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Google Sheets + RD Station integrados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Sem atribuição de origem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UTM + 38 campos de dados por lead</w:t>
            </w:r>
          </w:p>
        </w:tc>
      </w:tr>
    </w:tbl>
    <w:p/>
    <w:p>
      <w:pPr>
        <w:pStyle w:val="Heading2"/>
        <w:spacing w:before="280" w:after="80"/>
      </w:pPr>
      <w:r>
        <w:rPr>
          <w:color w:val="002E6E"/>
          <w:sz w:val="32"/>
        </w:rPr>
        <w:t>Análise de Canais — Meta vs Google para B2B</w:t>
      </w:r>
    </w:p>
    <w:p>
      <w:pPr>
        <w:pStyle w:val="Heading3"/>
        <w:spacing w:before="160" w:after="40"/>
      </w:pPr>
      <w:r>
        <w:rPr>
          <w:color w:val="72BF45"/>
          <w:sz w:val="24"/>
        </w:rPr>
        <w:t>Por que Meta Ads</w:t>
      </w:r>
    </w:p>
    <w:p>
      <w:pPr>
        <w:spacing w:after="80"/>
      </w:pPr>
      <w:r>
        <w:rPr>
          <w:color w:val="444444"/>
          <w:sz w:val="22"/>
        </w:rPr>
        <w:t>O decisor B2B não levanta a mão facilmente. O Meta constrói reconhecimento antes da decisão de pesquisar — quando o gestor já conhece a Orcali, a busca no Google converte com muito mais facilidade.</w:t>
      </w:r>
    </w:p>
    <w:p>
      <w:pPr>
        <w:pStyle w:val="ListBullet"/>
        <w:spacing w:after="60"/>
      </w:pPr>
      <w:r>
        <w:rPr>
          <w:color w:val="444444"/>
          <w:sz w:val="22"/>
        </w:rPr>
        <w:t>Alcance segmentado por cargo, setor e região</w:t>
      </w:r>
    </w:p>
    <w:p>
      <w:pPr>
        <w:pStyle w:val="ListBullet"/>
        <w:spacing w:after="60"/>
      </w:pPr>
      <w:r>
        <w:rPr>
          <w:color w:val="444444"/>
          <w:sz w:val="22"/>
        </w:rPr>
        <w:t>Retargeting de visitantes da landing page</w:t>
      </w:r>
    </w:p>
    <w:p>
      <w:pPr>
        <w:pStyle w:val="ListBullet"/>
        <w:spacing w:after="60"/>
      </w:pPr>
      <w:r>
        <w:rPr>
          <w:color w:val="444444"/>
          <w:sz w:val="22"/>
        </w:rPr>
        <w:t>Lookalike da base de 2.966 clientes ativos da Orcali</w:t>
      </w:r>
    </w:p>
    <w:p>
      <w:pPr>
        <w:pStyle w:val="Heading3"/>
        <w:spacing w:before="160" w:after="40"/>
      </w:pPr>
      <w:r>
        <w:rPr>
          <w:color w:val="72BF45"/>
          <w:sz w:val="24"/>
        </w:rPr>
        <w:t>Por que Google Ads</w:t>
      </w:r>
    </w:p>
    <w:p>
      <w:pPr>
        <w:spacing w:after="80"/>
      </w:pPr>
      <w:r>
        <w:rPr>
          <w:color w:val="444444"/>
          <w:sz w:val="22"/>
        </w:rPr>
        <w:t>70% da jornada B2B é autodidata. Quando o decisor digita no Google, ele já está próximo da decisão — é o momento de capturar.</w:t>
      </w:r>
    </w:p>
    <w:p>
      <w:pPr>
        <w:pStyle w:val="ListBullet"/>
        <w:spacing w:after="60"/>
      </w:pPr>
      <w:r>
        <w:rPr>
          <w:color w:val="444444"/>
          <w:sz w:val="22"/>
        </w:rPr>
        <w:t>Captura intenção direta de compra no momento da busca</w:t>
      </w:r>
    </w:p>
    <w:p>
      <w:pPr>
        <w:pStyle w:val="ListBullet"/>
        <w:spacing w:after="60"/>
      </w:pPr>
      <w:r>
        <w:rPr>
          <w:color w:val="444444"/>
          <w:sz w:val="22"/>
        </w:rPr>
        <w:t>Keywords de fundo de funil segmentadas por nicho</w:t>
      </w:r>
    </w:p>
    <w:p>
      <w:pPr>
        <w:pStyle w:val="ListBullet"/>
        <w:spacing w:after="60"/>
      </w:pPr>
      <w:r>
        <w:rPr>
          <w:color w:val="444444"/>
          <w:sz w:val="22"/>
        </w:rPr>
        <w:t>Custo por lead mais alto, mas qualidade significativamente superior</w:t>
      </w:r>
    </w:p>
    <w:p>
      <w:pPr>
        <w:pStyle w:val="Heading3"/>
        <w:spacing w:before="160" w:after="40"/>
      </w:pPr>
      <w:r>
        <w:rPr>
          <w:color w:val="72BF45"/>
          <w:sz w:val="24"/>
        </w:rPr>
        <w:t>A lógica da combinação</w:t>
      </w:r>
    </w:p>
    <w:p>
      <w:pPr>
        <w:spacing w:after="80"/>
      </w:pPr>
      <w:r>
        <w:rPr>
          <w:color w:val="444444"/>
          <w:sz w:val="22"/>
        </w:rPr>
        <w:t>Meta constrói familiaridade → Google captura a decisão.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68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Ads</w:t>
            </w:r>
          </w:p>
        </w:tc>
        <w:tc>
          <w:tcPr>
            <w:tcW w:type="dxa" w:w="288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Google Search</w:t>
            </w:r>
          </w:p>
        </w:tc>
      </w:tr>
      <w:tr>
        <w:tc>
          <w:tcPr>
            <w:tcW w:type="dxa" w:w="316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Papel na estratégia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Alcance + Retargeting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Fundo de funil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20"/>
              </w:rPr>
              <w:t>Temperatura do lead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Mais frio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Mais quente</w:t>
            </w:r>
          </w:p>
        </w:tc>
      </w:tr>
      <w:tr>
        <w:tc>
          <w:tcPr>
            <w:tcW w:type="dxa" w:w="316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CPL estimado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R$ 50–90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R$ 80–150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20"/>
              </w:rPr>
              <w:t>Quando converte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Após múltiplos contatos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Na busca ativa</w:t>
            </w:r>
          </w:p>
        </w:tc>
      </w:tr>
      <w:tr>
        <w:tc>
          <w:tcPr>
            <w:tcW w:type="dxa" w:w="316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MQL → SQL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5–10%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7–12%</w:t>
            </w:r>
          </w:p>
        </w:tc>
      </w:tr>
    </w:tbl>
    <w:p/>
    <w:p>
      <w:pPr>
        <w:pStyle w:val="Heading2"/>
        <w:spacing w:before="280" w:after="80"/>
      </w:pPr>
      <w:r>
        <w:rPr>
          <w:color w:val="002E6E"/>
          <w:sz w:val="32"/>
        </w:rPr>
        <w:t>Jornada do Decisor Online</w:t>
      </w:r>
    </w:p>
    <w:p>
      <w:pPr>
        <w:pStyle w:val="Heading3"/>
        <w:spacing w:before="160" w:after="40"/>
      </w:pPr>
      <w:r>
        <w:rPr>
          <w:color w:val="72BF45"/>
          <w:sz w:val="24"/>
        </w:rPr>
        <w:t>Como o B2B decide — dados de mercado</w:t>
      </w:r>
    </w:p>
    <w:p>
      <w:pPr>
        <w:pStyle w:val="ListBullet"/>
        <w:spacing w:after="60"/>
      </w:pPr>
      <w:r>
        <w:rPr>
          <w:color w:val="444444"/>
          <w:sz w:val="22"/>
        </w:rPr>
        <w:t>70% da jornada de compra B2B é feita sem contato com vendedor (pesquisa autodidata)</w:t>
      </w:r>
    </w:p>
    <w:p>
      <w:pPr>
        <w:pStyle w:val="ListBullet"/>
        <w:spacing w:after="60"/>
      </w:pPr>
      <w:r>
        <w:rPr>
          <w:color w:val="444444"/>
          <w:sz w:val="22"/>
        </w:rPr>
        <w:t>94% dos decisores já estão informados antes de entrar em contato com uma empresa</w:t>
      </w:r>
    </w:p>
    <w:p>
      <w:pPr>
        <w:pStyle w:val="ListBullet"/>
        <w:spacing w:after="60"/>
      </w:pPr>
      <w:r>
        <w:rPr>
          <w:color w:val="444444"/>
          <w:sz w:val="22"/>
        </w:rPr>
        <w:t>56% usam o Google pelo menos uma vez por semana durante o processo de decisão</w:t>
      </w:r>
    </w:p>
    <w:p>
      <w:pPr>
        <w:pStyle w:val="ListBullet"/>
        <w:spacing w:after="60"/>
      </w:pPr>
      <w:r>
        <w:rPr>
          <w:color w:val="444444"/>
          <w:sz w:val="22"/>
        </w:rPr>
        <w:t>86% já têm fornecedores em mente quando começam a jornada de compra</w:t>
      </w:r>
    </w:p>
    <w:p>
      <w:pPr>
        <w:pStyle w:val="ListBullet"/>
        <w:spacing w:after="60"/>
      </w:pPr>
      <w:r>
        <w:rPr>
          <w:color w:val="444444"/>
          <w:sz w:val="22"/>
        </w:rPr>
        <w:t>43% buscam novos fornecedores quando há insatisfação com o atual</w:t>
      </w:r>
    </w:p>
    <w:p>
      <w:pPr>
        <w:pStyle w:val="ListBullet"/>
        <w:spacing w:after="60"/>
      </w:pPr>
      <w:r>
        <w:rPr>
          <w:color w:val="444444"/>
          <w:sz w:val="22"/>
        </w:rPr>
        <w:t>31% apontam confiança na marca como fator número 1 na contratação B2B</w:t>
      </w:r>
    </w:p>
    <w:p>
      <w:pPr>
        <w:spacing w:after="80"/>
      </w:pPr>
      <w:r>
        <w:rPr>
          <w:color w:val="444444"/>
          <w:sz w:val="22"/>
        </w:rPr>
        <w:t>Fontes: Think with Google — Jornada de Compra B2B | Pesquisa B2B Brasil 2025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 que isso significa para a Orcali</w:t>
      </w:r>
    </w:p>
    <w:p>
      <w:pPr>
        <w:spacing w:after="80"/>
      </w:pPr>
      <w:r>
        <w:rPr>
          <w:color w:val="444444"/>
          <w:sz w:val="22"/>
        </w:rPr>
        <w:t>O gestor hospitalar ou diretor escolar não clica no primeiro anúncio e fecha contrato. Ele pesquisa passivamente, compara, volta ao Google semanas depois, visita o site, vê referências — e aí decide. A presença contínua no Meta constrói o terreno para a conversão no Google.</w:t>
      </w:r>
    </w:p>
    <w:p>
      <w:pPr>
        <w:pStyle w:val="Heading2"/>
        <w:spacing w:before="280" w:after="80"/>
      </w:pPr>
      <w:r>
        <w:rPr>
          <w:color w:val="002E6E"/>
          <w:sz w:val="32"/>
        </w:rPr>
        <w:t>Benchmarket Digital — Concorrentes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Orsegups</w:t>
      </w:r>
    </w:p>
    <w:p>
      <w:pPr>
        <w:pStyle w:val="ListBullet"/>
        <w:spacing w:after="60"/>
      </w:pPr>
      <w:r>
        <w:rPr>
          <w:color w:val="444444"/>
          <w:sz w:val="22"/>
        </w:rPr>
        <w:t>Posicionamento forte em tecnologia e inovação em segurança</w:t>
      </w:r>
    </w:p>
    <w:p>
      <w:pPr>
        <w:pStyle w:val="ListBullet"/>
        <w:spacing w:after="60"/>
      </w:pPr>
      <w:r>
        <w:rPr>
          <w:color w:val="444444"/>
          <w:sz w:val="22"/>
        </w:rPr>
        <w:t>Comunicação agressiva: IA, monitoramento inteligente, plataforma própria, menor tempo de resposta</w:t>
      </w:r>
    </w:p>
    <w:p>
      <w:pPr>
        <w:pStyle w:val="ListBullet"/>
        <w:spacing w:after="60"/>
      </w:pPr>
      <w:r>
        <w:rPr>
          <w:color w:val="444444"/>
          <w:sz w:val="22"/>
        </w:rPr>
        <w:t>Certificações de segurança da informação: ISO 27001 e ISO 27701</w:t>
      </w:r>
    </w:p>
    <w:p>
      <w:pPr>
        <w:pStyle w:val="ListBullet"/>
        <w:spacing w:after="60"/>
      </w:pPr>
      <w:r>
        <w:rPr>
          <w:color w:val="444444"/>
          <w:sz w:val="22"/>
        </w:rPr>
        <w:t>Escala nacional muito evidente na comunicação</w:t>
      </w:r>
    </w:p>
    <w:p>
      <w:pPr>
        <w:pStyle w:val="ListBullet"/>
        <w:spacing w:after="60"/>
      </w:pPr>
      <w:r>
        <w:rPr>
          <w:color w:val="444444"/>
          <w:sz w:val="22"/>
        </w:rPr>
        <w:t>Presença consolidada em busca orgânica — palavra 'segurança' associada à marca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Orbenk</w:t>
      </w:r>
    </w:p>
    <w:p>
      <w:pPr>
        <w:pStyle w:val="ListBullet"/>
        <w:spacing w:after="60"/>
      </w:pPr>
      <w:r>
        <w:rPr>
          <w:color w:val="444444"/>
          <w:sz w:val="22"/>
        </w:rPr>
        <w:t>Campanha institucional ativa em SC — TV, rádio e portais digitais</w:t>
      </w:r>
    </w:p>
    <w:p>
      <w:pPr>
        <w:pStyle w:val="ListBullet"/>
        <w:spacing w:after="60"/>
      </w:pPr>
      <w:r>
        <w:rPr>
          <w:color w:val="444444"/>
          <w:sz w:val="22"/>
        </w:rPr>
        <w:t>Posicionamento: bem-estar, cuidado, transformação, ESG</w:t>
      </w:r>
    </w:p>
    <w:p>
      <w:pPr>
        <w:pStyle w:val="ListBullet"/>
        <w:spacing w:after="60"/>
      </w:pPr>
      <w:r>
        <w:rPr>
          <w:color w:val="444444"/>
          <w:sz w:val="22"/>
        </w:rPr>
        <w:t>Tecnologia como inovação: robôs de limpeza, drones, análise de dados</w:t>
      </w:r>
    </w:p>
    <w:p>
      <w:pPr>
        <w:pStyle w:val="ListBullet"/>
        <w:spacing w:after="60"/>
      </w:pPr>
      <w:r>
        <w:rPr>
          <w:color w:val="444444"/>
          <w:sz w:val="22"/>
        </w:rPr>
        <w:t>420 cidades, 33.000 colaboradores — escala como argumento de credibilidade</w:t>
      </w:r>
    </w:p>
    <w:p>
      <w:pPr>
        <w:pStyle w:val="Heading3"/>
        <w:spacing w:before="160" w:after="40"/>
      </w:pPr>
      <w:r>
        <w:rPr>
          <w:color w:val="72BF45"/>
          <w:sz w:val="24"/>
        </w:rPr>
        <w:t>Khronos</w:t>
      </w:r>
    </w:p>
    <w:p>
      <w:pPr>
        <w:pStyle w:val="ListBullet"/>
        <w:spacing w:after="60"/>
      </w:pPr>
      <w:r>
        <w:rPr>
          <w:color w:val="444444"/>
          <w:sz w:val="22"/>
        </w:rPr>
        <w:t>Especialização em monitoramento eletrônico</w:t>
      </w:r>
    </w:p>
    <w:p>
      <w:pPr>
        <w:pStyle w:val="ListBullet"/>
        <w:spacing w:after="60"/>
      </w:pPr>
      <w:r>
        <w:rPr>
          <w:color w:val="444444"/>
          <w:sz w:val="22"/>
        </w:rPr>
        <w:t>Comunicação técnica focada em soluções integradas de segurança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Oportunidade para a Orcali</w:t>
      </w:r>
    </w:p>
    <w:p>
      <w:pPr>
        <w:spacing w:after="80"/>
      </w:pPr>
      <w:r>
        <w:rPr>
          <w:color w:val="444444"/>
          <w:sz w:val="22"/>
        </w:rPr>
        <w:t>Enquanto os concorrentes comunicam escala e tecnologia, a Orcali tem um argumento que eles não têm: 58 anos de continuidade, confiabilidade comprovada e presença regional profunda. Para o decisor B2B que teme trocar de fornecedor e se arrepender, esse é o argumento mais relevante.</w:t>
      </w:r>
    </w:p>
    <w:p>
      <w:pPr>
        <w:pStyle w:val="Heading2"/>
        <w:spacing w:before="280" w:after="80"/>
      </w:pPr>
      <w:r>
        <w:rPr>
          <w:color w:val="002E6E"/>
          <w:sz w:val="32"/>
        </w:rPr>
        <w:t>Personas no Digital</w:t>
      </w:r>
    </w:p>
    <w:p>
      <w:pPr>
        <w:pStyle w:val="Heading3"/>
        <w:spacing w:before="160" w:after="40"/>
      </w:pPr>
      <w:r>
        <w:rPr>
          <w:color w:val="72BF45"/>
          <w:sz w:val="24"/>
        </w:rPr>
        <w:t>Mariana Costa — Gerente Administrativa (Saúde, 42 anos)</w:t>
      </w:r>
    </w:p>
    <w:p>
      <w:pPr>
        <w:spacing w:after="80"/>
      </w:pPr>
      <w:r>
        <w:rPr>
          <w:color w:val="444444"/>
          <w:sz w:val="22"/>
        </w:rPr>
        <w:t>"Preciso garantir um ambiente seguro, limpo e eficiente para que as equipes médicas possam focar no atendimento."</w:t>
      </w:r>
    </w:p>
    <w:p>
      <w:pPr>
        <w:pStyle w:val="ListBullet"/>
        <w:spacing w:after="60"/>
      </w:pPr>
      <w:r>
        <w:rPr>
          <w:color w:val="444444"/>
          <w:sz w:val="22"/>
        </w:rPr>
        <w:t>Busca no Google: empresa facilities hospital SC, terceirização limpeza hospitalar, segurança patrimonial hospital Florianópolis</w:t>
      </w:r>
    </w:p>
    <w:p>
      <w:pPr>
        <w:pStyle w:val="ListBullet"/>
        <w:spacing w:after="60"/>
      </w:pPr>
      <w:r>
        <w:rPr>
          <w:color w:val="444444"/>
          <w:sz w:val="22"/>
        </w:rPr>
        <w:t>Consulta LinkedIn e portais setoriais antes de entrar em contato</w:t>
      </w:r>
    </w:p>
    <w:p>
      <w:pPr>
        <w:pStyle w:val="ListBullet"/>
        <w:spacing w:after="60"/>
      </w:pPr>
      <w:r>
        <w:rPr>
          <w:color w:val="444444"/>
          <w:sz w:val="22"/>
        </w:rPr>
        <w:t>Exige prova de certificações e conformidade regulatória</w:t>
      </w:r>
    </w:p>
    <w:p>
      <w:pPr>
        <w:pStyle w:val="ListBullet"/>
        <w:spacing w:after="60"/>
      </w:pPr>
      <w:r>
        <w:rPr>
          <w:color w:val="444444"/>
          <w:sz w:val="22"/>
        </w:rPr>
        <w:t>Responde diretamente à diretoria executiva — precisa de dados para justificar a escolha</w:t>
      </w:r>
    </w:p>
    <w:p>
      <w:pPr>
        <w:pStyle w:val="Heading3"/>
        <w:spacing w:before="160" w:after="40"/>
      </w:pPr>
      <w:r>
        <w:rPr>
          <w:color w:val="72BF45"/>
          <w:sz w:val="24"/>
        </w:rPr>
        <w:t>Ricardo Almeida — Diretor Administrativo (Ensino, 42 anos)</w:t>
      </w:r>
    </w:p>
    <w:p>
      <w:pPr>
        <w:spacing w:after="80"/>
      </w:pPr>
      <w:r>
        <w:rPr>
          <w:color w:val="444444"/>
          <w:sz w:val="22"/>
        </w:rPr>
        <w:t>"Quero que a operação funcione sem interferir na atividade educacional."</w:t>
      </w:r>
    </w:p>
    <w:p>
      <w:pPr>
        <w:pStyle w:val="ListBullet"/>
        <w:spacing w:after="60"/>
      </w:pPr>
      <w:r>
        <w:rPr>
          <w:color w:val="444444"/>
          <w:sz w:val="22"/>
        </w:rPr>
        <w:t>Busca: facilities instituição de ensino, terceirização portaria escola, empresa limpeza universidade</w:t>
      </w:r>
    </w:p>
    <w:p>
      <w:pPr>
        <w:pStyle w:val="ListBullet"/>
        <w:spacing w:after="60"/>
      </w:pPr>
      <w:r>
        <w:rPr>
          <w:color w:val="444444"/>
          <w:sz w:val="22"/>
        </w:rPr>
        <w:t>Pesquisa por cases e referências de outras instituições semelhantes</w:t>
      </w:r>
    </w:p>
    <w:p>
      <w:pPr>
        <w:pStyle w:val="ListBullet"/>
        <w:spacing w:after="60"/>
      </w:pPr>
      <w:r>
        <w:rPr>
          <w:color w:val="444444"/>
          <w:sz w:val="22"/>
        </w:rPr>
        <w:t>Precisa convencer a diretoria — o argumento de custo-benefício é central</w:t>
      </w:r>
    </w:p>
    <w:p>
      <w:pPr>
        <w:pStyle w:val="ListBullet"/>
        <w:spacing w:after="60"/>
      </w:pPr>
      <w:r>
        <w:rPr>
          <w:color w:val="444444"/>
          <w:sz w:val="22"/>
        </w:rPr>
        <w:t>Sensível a reputação da instituição e experiência de alunos e visitantes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Comportamento digital em comum</w:t>
      </w:r>
    </w:p>
    <w:p>
      <w:pPr>
        <w:spacing w:after="80"/>
      </w:pPr>
      <w:r>
        <w:rPr>
          <w:color w:val="444444"/>
          <w:sz w:val="22"/>
        </w:rPr>
        <w:t>Chegam ao Meta passivamente — não estão procurando, mas são impactados pela Orcali enquanto navegam. Chegam ao Google ativamente — já tomaram a decisão de pesquisar. A conversão acontece após múltiplos pontos de contato entre as duas plataformas.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2E6E"/>
          <w:sz w:val="44"/>
        </w:rPr>
        <w:t>Estratégia</w:t>
      </w:r>
    </w:p>
    <w:p>
      <w:pPr>
        <w:pStyle w:val="Heading2"/>
        <w:spacing w:before="280" w:after="80"/>
      </w:pPr>
      <w:r>
        <w:rPr>
          <w:color w:val="002E6E"/>
          <w:sz w:val="32"/>
        </w:rPr>
        <w:t>Segmentação — Nichos e Regiões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Nichos prioritários — fase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Nicho</w:t>
            </w:r>
          </w:p>
        </w:tc>
        <w:tc>
          <w:tcPr>
            <w:tcW w:type="dxa" w:w="4896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Por que priorizar</w:t>
            </w:r>
          </w:p>
        </w:tc>
      </w:tr>
      <w:tr>
        <w:tc>
          <w:tcPr>
            <w:tcW w:type="dxa" w:w="316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Instituições financeiras</w:t>
            </w:r>
          </w:p>
        </w:tc>
        <w:tc>
          <w:tcPr>
            <w:tcW w:type="dxa" w:w="4896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Alto ticket, decisão corporativa, compliance obrigatório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20"/>
              </w:rPr>
              <w:t>Hospitais e clínicas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20"/>
              </w:rPr>
              <w:t>Operação 24h, zero tolerância a falha, exige ISO e certificações</w:t>
            </w:r>
          </w:p>
        </w:tc>
      </w:tr>
      <w:tr>
        <w:tc>
          <w:tcPr>
            <w:tcW w:type="dxa" w:w="316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Instituições de ensino</w:t>
            </w:r>
          </w:p>
        </w:tc>
        <w:tc>
          <w:tcPr>
            <w:tcW w:type="dxa" w:w="4896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Múltiplos prédios, gestão complexa, ciclo de renovação previsível</w:t>
            </w:r>
          </w:p>
        </w:tc>
      </w:tr>
    </w:tbl>
    <w:p/>
    <w:p>
      <w:pPr>
        <w:pStyle w:val="Heading3"/>
        <w:spacing w:before="160" w:after="40"/>
      </w:pPr>
      <w:r>
        <w:rPr>
          <w:color w:val="72BF45"/>
          <w:sz w:val="24"/>
        </w:rPr>
        <w:t>Regiões de atuação</w:t>
      </w:r>
    </w:p>
    <w:p>
      <w:pPr>
        <w:pStyle w:val="ListBullet"/>
        <w:spacing w:after="60"/>
      </w:pPr>
      <w:r>
        <w:rPr>
          <w:color w:val="444444"/>
          <w:sz w:val="22"/>
        </w:rPr>
        <w:t>Santa Catarina (always-on): Florianópolis, Joinville, Blumenau, Itajaí, Tubarão</w:t>
      </w:r>
    </w:p>
    <w:p>
      <w:pPr>
        <w:pStyle w:val="ListBullet"/>
        <w:spacing w:after="60"/>
      </w:pPr>
      <w:r>
        <w:rPr>
          <w:color w:val="444444"/>
          <w:sz w:val="22"/>
        </w:rPr>
        <w:t>Paraná (expansão ativa): Curitiba, Toledo, Londrina, Guarapuava</w:t>
      </w:r>
    </w:p>
    <w:p>
      <w:pPr>
        <w:spacing w:after="80"/>
      </w:pPr>
      <w:r>
        <w:rPr>
          <w:color w:val="444444"/>
          <w:sz w:val="22"/>
        </w:rPr>
        <w:t>Lógica geográfica: SC é o mercado base consolidado onde a Orcali já tem presença e pode converter mais rápido. PR é expansão onde o awareness precisa ser construído primeiro.</w:t>
      </w:r>
    </w:p>
    <w:p>
      <w:pPr>
        <w:pStyle w:val="Heading2"/>
        <w:spacing w:before="280" w:after="80"/>
      </w:pPr>
      <w:r>
        <w:rPr>
          <w:color w:val="002E6E"/>
          <w:sz w:val="32"/>
        </w:rPr>
        <w:t>Estratégia Meta Ads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Campanha 1 — Reconhecimento de Marca</w:t>
      </w:r>
    </w:p>
    <w:p>
      <w:pPr>
        <w:pStyle w:val="ListBullet"/>
        <w:spacing w:after="60"/>
      </w:pPr>
      <w:r>
        <w:rPr>
          <w:color w:val="444444"/>
          <w:sz w:val="22"/>
        </w:rPr>
        <w:t>Objetivo de campanha: Alcance / Awareness</w:t>
      </w:r>
    </w:p>
    <w:p>
      <w:pPr>
        <w:pStyle w:val="ListBullet"/>
        <w:spacing w:after="60"/>
      </w:pPr>
      <w:r>
        <w:rPr>
          <w:color w:val="444444"/>
          <w:sz w:val="22"/>
        </w:rPr>
        <w:t>Público A: Lookalike 1% gerado a partir da base de 2.966 clientes ativos da Orcali</w:t>
      </w:r>
    </w:p>
    <w:p>
      <w:pPr>
        <w:pStyle w:val="ListBullet"/>
        <w:spacing w:after="60"/>
      </w:pPr>
      <w:r>
        <w:rPr>
          <w:color w:val="444444"/>
          <w:sz w:val="22"/>
        </w:rPr>
        <w:t>Público B: Segmentação por cargo (Gerente/Diretor Administrativo) + setor (saúde, educação, financeiro) + geo PR e SC</w:t>
      </w:r>
    </w:p>
    <w:p>
      <w:pPr>
        <w:pStyle w:val="ListBullet"/>
        <w:spacing w:after="60"/>
      </w:pPr>
      <w:r>
        <w:rPr>
          <w:color w:val="444444"/>
          <w:sz w:val="22"/>
        </w:rPr>
        <w:t>Criativos: institucionais, diferenciais da Orcali, cases por nicho, tom consultivo e confiável</w:t>
      </w:r>
    </w:p>
    <w:p>
      <w:pPr>
        <w:pStyle w:val="Heading3"/>
        <w:spacing w:before="160" w:after="40"/>
      </w:pPr>
      <w:r>
        <w:rPr>
          <w:color w:val="72BF45"/>
          <w:sz w:val="24"/>
        </w:rPr>
        <w:t>Campanha 2 — Retargeting</w:t>
      </w:r>
    </w:p>
    <w:p>
      <w:pPr>
        <w:pStyle w:val="ListBullet"/>
        <w:spacing w:after="60"/>
      </w:pPr>
      <w:r>
        <w:rPr>
          <w:color w:val="444444"/>
          <w:sz w:val="22"/>
        </w:rPr>
        <w:t>Público: visitantes da landing page rastreados pelo Pixel + engajamento no Instagram</w:t>
      </w:r>
    </w:p>
    <w:p>
      <w:pPr>
        <w:pStyle w:val="ListBullet"/>
        <w:spacing w:after="60"/>
      </w:pPr>
      <w:r>
        <w:rPr>
          <w:color w:val="444444"/>
          <w:sz w:val="22"/>
        </w:rPr>
        <w:t>Objetivo de campanha: Geração de Leads / Conversão</w:t>
      </w:r>
    </w:p>
    <w:p>
      <w:pPr>
        <w:pStyle w:val="ListBullet"/>
        <w:spacing w:after="60"/>
      </w:pPr>
      <w:r>
        <w:rPr>
          <w:color w:val="444444"/>
          <w:sz w:val="22"/>
        </w:rPr>
        <w:t>Criativos: prova social por nicho, diferenciais específicos (58 anos, 1.554 clientes, certificações)</w:t>
      </w:r>
    </w:p>
    <w:p>
      <w:pPr>
        <w:pStyle w:val="ListBullet"/>
        <w:spacing w:after="60"/>
      </w:pPr>
      <w:r>
        <w:rPr>
          <w:color w:val="444444"/>
          <w:sz w:val="22"/>
        </w:rPr>
        <w:t>Formato principal: carrossel com argumentos por dor + CTA direto para formulário</w:t>
      </w:r>
    </w:p>
    <w:p>
      <w:pPr>
        <w:pStyle w:val="Heading3"/>
        <w:spacing w:before="160" w:after="40"/>
      </w:pPr>
      <w:r>
        <w:rPr>
          <w:color w:val="72BF45"/>
          <w:sz w:val="24"/>
        </w:rPr>
        <w:t>Lookalike — base de clientes Orcali</w:t>
      </w:r>
    </w:p>
    <w:p>
      <w:pPr>
        <w:spacing w:after="80"/>
      </w:pPr>
      <w:r>
        <w:rPr>
          <w:color w:val="444444"/>
          <w:sz w:val="22"/>
        </w:rPr>
        <w:t>A Orcali tem uma base de 2.966 clientes cadastrados com e-mail e telefone. Essa base será carregada no Meta como Custom Audience para gerar um Lookalike 1% — o público mais semelhante aos clientes reais da Orcali dentro das regiões de SC e PR.</w:t>
      </w:r>
    </w:p>
    <w:p>
      <w:pPr>
        <w:pStyle w:val="Heading2"/>
        <w:spacing w:before="280" w:after="80"/>
      </w:pPr>
      <w:r>
        <w:rPr>
          <w:color w:val="002E6E"/>
          <w:sz w:val="32"/>
        </w:rPr>
        <w:t>Estratégia Google Ads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Search — Fundo de funil (prioridade principal)</w:t>
      </w:r>
    </w:p>
    <w:p>
      <w:pPr>
        <w:spacing w:after="80"/>
      </w:pPr>
      <w:r>
        <w:rPr>
          <w:color w:val="444444"/>
          <w:sz w:val="22"/>
        </w:rPr>
        <w:t>Estrutura por grupos de anúncio, segmentados por nicho: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5904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Palavras-chave principais</w:t>
            </w:r>
          </w:p>
        </w:tc>
      </w:tr>
      <w:tr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Saúde</w:t>
            </w:r>
          </w:p>
        </w:tc>
        <w:tc>
          <w:tcPr>
            <w:tcW w:type="dxa" w:w="5904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empresa facilities hospital SC, terceirização limpeza hospitalar, segurança patrimonial hospital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Educação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20"/>
              </w:rPr>
              <w:t>facilities instituição de ensino, terceirização portaria escola, limpeza universidade SC</w:t>
            </w:r>
          </w:p>
        </w:tc>
      </w:tr>
      <w:tr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Financeiro</w:t>
            </w:r>
          </w:p>
        </w:tc>
        <w:tc>
          <w:tcPr>
            <w:tcW w:type="dxa" w:w="5904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empresa facilities banco, terceirização serviços financeiro, segurança patrimonial Curitiba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Geral / Concorrente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20"/>
              </w:rPr>
              <w:t>Orcali facilities, alternativa Orbenk, empresa terceirização SC PR</w:t>
            </w:r>
          </w:p>
        </w:tc>
      </w:tr>
    </w:tbl>
    <w:p/>
    <w:p>
      <w:pPr>
        <w:pStyle w:val="Heading3"/>
        <w:spacing w:before="160" w:after="40"/>
      </w:pPr>
      <w:r>
        <w:rPr>
          <w:color w:val="72BF45"/>
          <w:sz w:val="24"/>
        </w:rPr>
        <w:t>Display — Topo de funil</w:t>
      </w:r>
    </w:p>
    <w:p>
      <w:pPr>
        <w:pStyle w:val="ListBullet"/>
        <w:spacing w:after="60"/>
      </w:pPr>
      <w:r>
        <w:rPr>
          <w:color w:val="444444"/>
          <w:sz w:val="22"/>
        </w:rPr>
        <w:t>Remarketing: visitantes da landing page que não converteram no formulário</w:t>
      </w:r>
    </w:p>
    <w:p>
      <w:pPr>
        <w:pStyle w:val="ListBullet"/>
        <w:spacing w:after="60"/>
      </w:pPr>
      <w:r>
        <w:rPr>
          <w:color w:val="444444"/>
          <w:sz w:val="22"/>
        </w:rPr>
        <w:t>Contextual: portais de notícias B2B, sites do setor de saúde e educação</w:t>
      </w:r>
    </w:p>
    <w:p>
      <w:pPr>
        <w:pStyle w:val="ListBullet"/>
        <w:spacing w:after="60"/>
      </w:pPr>
      <w:r>
        <w:rPr>
          <w:color w:val="444444"/>
          <w:sz w:val="22"/>
        </w:rPr>
        <w:t>Criativo: banners com foco em continuidade operacional e confiabilidade</w:t>
      </w:r>
    </w:p>
    <w:p>
      <w:pPr>
        <w:pStyle w:val="Heading2"/>
        <w:spacing w:before="280" w:after="80"/>
      </w:pPr>
      <w:r>
        <w:rPr>
          <w:color w:val="002E6E"/>
          <w:sz w:val="32"/>
        </w:rPr>
        <w:t>Distribuição de Verba — R$ 8.000/mês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3456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728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Verba mensal</w:t>
            </w:r>
          </w:p>
        </w:tc>
        <w:tc>
          <w:tcPr>
            <w:tcW w:type="dxa" w:w="1584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Participação</w:t>
            </w:r>
          </w:p>
        </w:tc>
        <w:tc>
          <w:tcPr>
            <w:tcW w:type="dxa" w:w="288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Objetivo principal</w:t>
            </w:r>
          </w:p>
        </w:tc>
      </w:tr>
      <w:tr>
        <w:tc>
          <w:tcPr>
            <w:tcW w:type="dxa" w:w="3456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Google Ads (Search + Display)</w:t>
            </w:r>
          </w:p>
        </w:tc>
        <w:tc>
          <w:tcPr>
            <w:tcW w:type="dxa" w:w="172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R$ 5.500</w:t>
            </w:r>
          </w:p>
        </w:tc>
        <w:tc>
          <w:tcPr>
            <w:tcW w:type="dxa" w:w="1584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69%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Leads qualificados — fundo de funil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20"/>
              </w:rPr>
              <w:t>Meta Ads (Alcance + Retargeting)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  <w:t>R$ 2.500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20"/>
              </w:rPr>
              <w:t>31%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Awareness + Retargeting</w:t>
            </w:r>
          </w:p>
        </w:tc>
      </w:tr>
      <w:tr>
        <w:tc>
          <w:tcPr>
            <w:tcW w:type="dxa" w:w="3456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Total</w:t>
            </w:r>
          </w:p>
        </w:tc>
        <w:tc>
          <w:tcPr>
            <w:tcW w:type="dxa" w:w="172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R$ 8.000</w:t>
            </w:r>
          </w:p>
        </w:tc>
        <w:tc>
          <w:tcPr>
            <w:tcW w:type="dxa" w:w="1584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100%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40"/>
      </w:pPr>
      <w:r>
        <w:rPr>
          <w:color w:val="72BF45"/>
          <w:sz w:val="24"/>
        </w:rPr>
        <w:t>Racional da distribuição</w:t>
      </w:r>
    </w:p>
    <w:p>
      <w:pPr>
        <w:spacing w:after="80"/>
      </w:pPr>
      <w:r>
        <w:rPr>
          <w:color w:val="444444"/>
          <w:sz w:val="22"/>
        </w:rPr>
        <w:t>B2B de alto ticket e ciclo de venda longo prioriza intenção de busca. O Google recebe a maior fatia porque o decisor chega com a decisão quase formada — o custo por lead é maior, mas a taxa de conversão compensa. O Meta complementa com presença de marca antes da busca e cobre o retargeting de quem visitou mas não converteu.</w:t>
      </w:r>
    </w:p>
    <w:p>
      <w:pPr>
        <w:spacing w:after="80"/>
      </w:pPr>
      <w:r>
        <w:rPr>
          <w:color w:val="444444"/>
          <w:sz w:val="22"/>
        </w:rPr>
        <w:t>Referência de mercado: a alocação padrão para B2B em 2026 é 46% Google + 8% Meta (sem LinkedIn). Na Orcali, o Meta recebe proporção maior por causa da base lookalike forte e da necessidade de construção de marca regional.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2E6E"/>
          <w:sz w:val="44"/>
        </w:rPr>
        <w:t>Execução</w:t>
      </w:r>
    </w:p>
    <w:p>
      <w:pPr>
        <w:pStyle w:val="Heading2"/>
        <w:spacing w:before="280" w:after="80"/>
      </w:pPr>
      <w:r>
        <w:rPr>
          <w:color w:val="002E6E"/>
          <w:sz w:val="32"/>
        </w:rPr>
        <w:t>Landing Page e Formulário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 que foi construído</w:t>
      </w:r>
    </w:p>
    <w:p>
      <w:pPr>
        <w:spacing w:after="80"/>
      </w:pPr>
      <w:r>
        <w:rPr>
          <w:color w:val="444444"/>
          <w:sz w:val="22"/>
        </w:rPr>
        <w:t>Desenvolvemos uma landing page dedicada ao serviço de Facilities, projetada especificamente para conversão — sem o ruído do site institucional. A página usa o posicionamento estratégico da Orcali e direciona o visitante direto para o formulário qualificador.</w:t>
      </w:r>
    </w:p>
    <w:p>
      <w:pPr>
        <w:pStyle w:val="ListBullet"/>
        <w:spacing w:after="60"/>
      </w:pPr>
      <w:r>
        <w:rPr>
          <w:color w:val="444444"/>
          <w:sz w:val="22"/>
        </w:rPr>
        <w:t>URL: site-orcali.vercel.app</w:t>
      </w:r>
    </w:p>
    <w:p>
      <w:pPr>
        <w:pStyle w:val="ListBullet"/>
        <w:spacing w:after="60"/>
      </w:pPr>
      <w:r>
        <w:rPr>
          <w:color w:val="444444"/>
          <w:sz w:val="22"/>
        </w:rPr>
        <w:t>Estrutura: Hero → Diferenciais → Serviços → Prova social → Formulário</w:t>
      </w:r>
    </w:p>
    <w:p>
      <w:pPr>
        <w:pStyle w:val="ListBullet"/>
        <w:spacing w:after="60"/>
      </w:pPr>
      <w:r>
        <w:rPr>
          <w:color w:val="444444"/>
          <w:sz w:val="22"/>
        </w:rPr>
        <w:t>Formulário conversacional via Typebot (chatbot embutido na página)</w:t>
      </w:r>
    </w:p>
    <w:p>
      <w:pPr>
        <w:pStyle w:val="Heading3"/>
        <w:spacing w:before="160" w:after="40"/>
      </w:pPr>
      <w:r>
        <w:rPr>
          <w:color w:val="72BF45"/>
          <w:sz w:val="24"/>
        </w:rPr>
        <w:t>Campos do formulário</w:t>
      </w:r>
    </w:p>
    <w:p>
      <w:pPr>
        <w:spacing w:after="80"/>
      </w:pPr>
      <w:r>
        <w:rPr>
          <w:color w:val="444444"/>
          <w:sz w:val="22"/>
        </w:rPr>
        <w:t>Nome · E-mail corporativo · Telefone/WhatsApp · Empresa · Segmento (saúde, ensino, financeiro, outros) · Estado · Cidade · Mensagem</w:t>
      </w:r>
    </w:p>
    <w:p>
      <w:pPr>
        <w:pStyle w:val="Heading3"/>
        <w:spacing w:before="160" w:after="40"/>
      </w:pPr>
      <w:r>
        <w:rPr>
          <w:color w:val="72BF45"/>
          <w:sz w:val="24"/>
        </w:rPr>
        <w:t>Por que Typebot em vez de formulário estático</w:t>
      </w:r>
    </w:p>
    <w:p>
      <w:pPr>
        <w:pStyle w:val="ListBullet"/>
        <w:spacing w:after="60"/>
      </w:pPr>
      <w:r>
        <w:rPr>
          <w:color w:val="444444"/>
          <w:sz w:val="22"/>
        </w:rPr>
        <w:t>Taxa de conclusão maior — a lógica conversacional reduz abandono</w:t>
      </w:r>
    </w:p>
    <w:p>
      <w:pPr>
        <w:pStyle w:val="ListBullet"/>
        <w:spacing w:after="60"/>
      </w:pPr>
      <w:r>
        <w:rPr>
          <w:color w:val="444444"/>
          <w:sz w:val="22"/>
        </w:rPr>
        <w:t>Qualificação automática por nicho/segmento antes de chegar ao comercial</w:t>
      </w:r>
    </w:p>
    <w:p>
      <w:pPr>
        <w:pStyle w:val="ListBullet"/>
        <w:spacing w:after="60"/>
      </w:pPr>
      <w:r>
        <w:rPr>
          <w:color w:val="444444"/>
          <w:sz w:val="22"/>
        </w:rPr>
        <w:t>Captura de UTMs desde o primeiro campo — origem rastreada sem falha</w:t>
      </w:r>
    </w:p>
    <w:p>
      <w:pPr>
        <w:pStyle w:val="ListBullet"/>
        <w:spacing w:after="60"/>
      </w:pPr>
      <w:r>
        <w:rPr>
          <w:color w:val="444444"/>
          <w:sz w:val="22"/>
        </w:rPr>
        <w:t>Integração em tempo real com Google Sheets e Meta CAPI</w:t>
      </w:r>
    </w:p>
    <w:p>
      <w:pPr>
        <w:pStyle w:val="Heading2"/>
        <w:spacing w:before="280" w:after="80"/>
      </w:pPr>
      <w:r>
        <w:rPr>
          <w:color w:val="002E6E"/>
          <w:sz w:val="32"/>
        </w:rPr>
        <w:t>Tracking e Integrações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Fluxo completo do lead</w:t>
      </w:r>
    </w:p>
    <w:p>
      <w:pPr>
        <w:pStyle w:val="ListNumber"/>
        <w:spacing w:after="60"/>
      </w:pPr>
      <w:r>
        <w:rPr>
          <w:color w:val="444444"/>
          <w:sz w:val="22"/>
        </w:rPr>
        <w:t>Usuário clica no anúncio (Meta ou Google) — UTMs registradas</w:t>
      </w:r>
    </w:p>
    <w:p>
      <w:pPr>
        <w:pStyle w:val="ListNumber"/>
        <w:spacing w:after="60"/>
      </w:pPr>
      <w:r>
        <w:rPr>
          <w:color w:val="444444"/>
          <w:sz w:val="22"/>
        </w:rPr>
        <w:t>Landing page carrega — PageView enviado ao Meta CAPI e Google Tag</w:t>
      </w:r>
    </w:p>
    <w:p>
      <w:pPr>
        <w:pStyle w:val="ListNumber"/>
        <w:spacing w:after="60"/>
      </w:pPr>
      <w:r>
        <w:rPr>
          <w:color w:val="444444"/>
          <w:sz w:val="22"/>
        </w:rPr>
        <w:t>Usuário preenche o Typebot — device, geo, IP, UTMs e dados do form capturados</w:t>
      </w:r>
    </w:p>
    <w:p>
      <w:pPr>
        <w:pStyle w:val="ListNumber"/>
        <w:spacing w:after="60"/>
      </w:pPr>
      <w:r>
        <w:rPr>
          <w:color w:val="444444"/>
          <w:sz w:val="22"/>
        </w:rPr>
        <w:t>Edge function (Vercel) grava 38 campos no Google Sheets em tempo real</w:t>
      </w:r>
    </w:p>
    <w:p>
      <w:pPr>
        <w:pStyle w:val="ListNumber"/>
        <w:spacing w:after="60"/>
      </w:pPr>
      <w:r>
        <w:rPr>
          <w:color w:val="444444"/>
          <w:sz w:val="22"/>
        </w:rPr>
        <w:t>Apps Script dispara: evento Lead ao Meta CAPI + lead criado no RD Station</w:t>
      </w:r>
    </w:p>
    <w:p>
      <w:pPr>
        <w:pStyle w:val="ListNumber"/>
        <w:spacing w:after="60"/>
      </w:pPr>
      <w:r>
        <w:rPr>
          <w:color w:val="444444"/>
          <w:sz w:val="22"/>
        </w:rPr>
        <w:t>Comercial recebe lead com origem completa — campanha, nicho, cidade, dispositivo</w:t>
      </w:r>
    </w:p>
    <w:p>
      <w:pPr>
        <w:pStyle w:val="Heading3"/>
        <w:spacing w:before="160" w:after="40"/>
      </w:pPr>
      <w:r>
        <w:rPr>
          <w:color w:val="72BF45"/>
          <w:sz w:val="24"/>
        </w:rPr>
        <w:t>O que isso resolve na prática</w:t>
      </w:r>
    </w:p>
    <w:p>
      <w:pPr>
        <w:spacing w:after="80"/>
      </w:pPr>
      <w:r>
        <w:rPr>
          <w:color w:val="444444"/>
          <w:sz w:val="22"/>
        </w:rPr>
        <w:t>Todo lead chega ao comercial com contexto: veio do Google buscando 'facilities hospital SC' ou do retargeting Meta após visitar a página? É gerente de hospital em Florianópolis ou diretor de escola em Curitiba? O comercial aborda com informação, não no escuro.</w:t>
      </w:r>
    </w:p>
    <w:p>
      <w:pPr>
        <w:pStyle w:val="Heading3"/>
        <w:spacing w:before="160" w:after="40"/>
      </w:pPr>
      <w:r>
        <w:rPr>
          <w:color w:val="72BF45"/>
          <w:sz w:val="24"/>
        </w:rPr>
        <w:t>Stack técnica implantada</w:t>
      </w:r>
    </w:p>
    <w:p>
      <w:pPr>
        <w:pStyle w:val="ListBullet"/>
        <w:spacing w:after="60"/>
      </w:pPr>
      <w:r>
        <w:rPr>
          <w:color w:val="444444"/>
          <w:sz w:val="22"/>
        </w:rPr>
        <w:t>Meta Pixel ID: 1650240729249255 — eventos PageView e Lead</w:t>
      </w:r>
    </w:p>
    <w:p>
      <w:pPr>
        <w:pStyle w:val="ListBullet"/>
        <w:spacing w:after="60"/>
      </w:pPr>
      <w:r>
        <w:rPr>
          <w:color w:val="444444"/>
          <w:sz w:val="22"/>
        </w:rPr>
        <w:t>Meta CAPI — deduplicação automática com o Pixel</w:t>
      </w:r>
    </w:p>
    <w:p>
      <w:pPr>
        <w:pStyle w:val="ListBullet"/>
        <w:spacing w:after="60"/>
      </w:pPr>
      <w:r>
        <w:rPr>
          <w:color w:val="444444"/>
          <w:sz w:val="22"/>
        </w:rPr>
        <w:t>Google Tag — rastreamento de conversão</w:t>
      </w:r>
    </w:p>
    <w:p>
      <w:pPr>
        <w:pStyle w:val="ListBullet"/>
        <w:spacing w:after="60"/>
      </w:pPr>
      <w:r>
        <w:rPr>
          <w:color w:val="444444"/>
          <w:sz w:val="22"/>
        </w:rPr>
        <w:t>RD Station — pendente token API do cliente</w:t>
      </w:r>
    </w:p>
    <w:p>
      <w:pPr>
        <w:pStyle w:val="Heading2"/>
        <w:spacing w:before="280" w:after="80"/>
      </w:pPr>
      <w:r>
        <w:rPr>
          <w:color w:val="002E6E"/>
          <w:sz w:val="32"/>
        </w:rPr>
        <w:t>KPIs e Metas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Indicadores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03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6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mês 1–2</w:t>
            </w:r>
          </w:p>
        </w:tc>
        <w:tc>
          <w:tcPr>
            <w:tcW w:type="dxa" w:w="216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mês 4–6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CPL Google Ads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≤ R$ 150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≤ R$ 100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CPL Meta Ads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≤ R$ 90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≤ R$ 60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Leads qualificados/mês — Google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30–40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50–60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Taxa de conversão da landing page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&gt; 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&gt; 5%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Taxa MQL (lead → oportunidade)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8%</w:t>
            </w:r>
          </w:p>
        </w:tc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12%</w:t>
            </w:r>
          </w:p>
        </w:tc>
      </w:tr>
    </w:tbl>
    <w:p/>
    <w:p>
      <w:pPr>
        <w:pStyle w:val="Heading3"/>
        <w:spacing w:before="160" w:after="40"/>
      </w:pPr>
      <w:r>
        <w:rPr>
          <w:color w:val="72BF45"/>
          <w:sz w:val="24"/>
        </w:rPr>
        <w:t>Referências de mercado usadas</w:t>
      </w:r>
    </w:p>
    <w:p>
      <w:pPr>
        <w:pStyle w:val="ListBullet"/>
        <w:spacing w:after="60"/>
      </w:pPr>
      <w:r>
        <w:rPr>
          <w:color w:val="444444"/>
          <w:sz w:val="22"/>
        </w:rPr>
        <w:t>Google Ads — serviços profissionais B2B Brasil: R$ 40–R$ 180 por lead</w:t>
      </w:r>
    </w:p>
    <w:p>
      <w:pPr>
        <w:pStyle w:val="ListBullet"/>
        <w:spacing w:after="60"/>
      </w:pPr>
      <w:r>
        <w:rPr>
          <w:color w:val="444444"/>
          <w:sz w:val="22"/>
        </w:rPr>
        <w:t>Meta Ads — B2B: CPL menor, taxa de qualificação de 5–10% MQL para SQL</w:t>
      </w:r>
    </w:p>
    <w:p>
      <w:pPr>
        <w:pStyle w:val="ListBullet"/>
        <w:spacing w:after="60"/>
      </w:pPr>
      <w:r>
        <w:rPr>
          <w:color w:val="444444"/>
          <w:sz w:val="22"/>
        </w:rPr>
        <w:t>Google Search — B2B: taxa de qualificação de 7–12% MQL para SQL</w:t>
      </w:r>
    </w:p>
    <w:p>
      <w:pPr>
        <w:pStyle w:val="ListBullet"/>
        <w:spacing w:after="60"/>
      </w:pPr>
      <w:r>
        <w:rPr>
          <w:color w:val="444444"/>
          <w:sz w:val="22"/>
        </w:rPr>
        <w:t>Após 6 meses de otimização contínua: CPL tende a cair 30–50%</w:t>
      </w:r>
    </w:p>
    <w:p>
      <w:pPr>
        <w:pStyle w:val="Heading3"/>
        <w:spacing w:before="160" w:after="40"/>
      </w:pPr>
      <w:r>
        <w:rPr>
          <w:color w:val="72BF45"/>
          <w:sz w:val="24"/>
        </w:rPr>
        <w:t>Acompanhamento semanal</w:t>
      </w:r>
    </w:p>
    <w:p>
      <w:pPr>
        <w:pStyle w:val="ListBullet"/>
        <w:spacing w:after="60"/>
      </w:pPr>
      <w:r>
        <w:rPr>
          <w:color w:val="444444"/>
          <w:sz w:val="22"/>
        </w:rPr>
        <w:t>Volume de leads por canal e por nicho</w:t>
      </w:r>
    </w:p>
    <w:p>
      <w:pPr>
        <w:pStyle w:val="ListBullet"/>
        <w:spacing w:after="60"/>
      </w:pPr>
      <w:r>
        <w:rPr>
          <w:color w:val="444444"/>
          <w:sz w:val="22"/>
        </w:rPr>
        <w:t>CPL por campanha e por grupo de anúncio</w:t>
      </w:r>
    </w:p>
    <w:p>
      <w:pPr>
        <w:pStyle w:val="ListBullet"/>
        <w:spacing w:after="60"/>
      </w:pPr>
      <w:r>
        <w:rPr>
          <w:color w:val="444444"/>
          <w:sz w:val="22"/>
        </w:rPr>
        <w:t>Qualidade: leads que viraram reunião agendada</w:t>
      </w:r>
    </w:p>
    <w:p>
      <w:pPr>
        <w:pStyle w:val="ListBullet"/>
        <w:spacing w:after="60"/>
      </w:pPr>
      <w:r>
        <w:rPr>
          <w:color w:val="444444"/>
          <w:sz w:val="22"/>
        </w:rPr>
        <w:t>Score de qualidade (Google) e relevância (Meta)</w:t>
      </w:r>
    </w:p>
    <w:p>
      <w:pPr>
        <w:pStyle w:val="Heading2"/>
        <w:spacing w:before="280" w:after="80"/>
      </w:pPr>
      <w:r>
        <w:rPr>
          <w:color w:val="002E6E"/>
          <w:sz w:val="32"/>
        </w:rPr>
        <w:t>Próximos Passos</w:t>
      </w:r>
    </w:p>
    <w:p>
      <w:pPr>
        <w:pStyle w:val="Heading3"/>
        <w:spacing w:before="160" w:after="40"/>
      </w:pPr>
      <w:r>
        <w:rPr>
          <w:color w:val="72BF45"/>
          <w:sz w:val="24"/>
        </w:rPr>
        <w:t>Semana 1</w:t>
      </w:r>
    </w:p>
    <w:p>
      <w:pPr>
        <w:pStyle w:val="ListNumber"/>
        <w:spacing w:after="60"/>
      </w:pPr>
      <w:r>
        <w:rPr>
          <w:color w:val="444444"/>
          <w:sz w:val="22"/>
        </w:rPr>
        <w:t>Finalizar integração RD Station — cliente gera token em app.rdstation.com.br → Configurações → Integrações → Acessos à API</w:t>
      </w:r>
    </w:p>
    <w:p>
      <w:pPr>
        <w:pStyle w:val="ListNumber"/>
        <w:spacing w:after="60"/>
      </w:pPr>
      <w:r>
        <w:rPr>
          <w:color w:val="444444"/>
          <w:sz w:val="22"/>
        </w:rPr>
        <w:t>Normalizar base de 2.966 clientes (e-mail + telefone) e fazer upload no Meta para criar Custom Audience e Lookalike 1%</w:t>
      </w:r>
    </w:p>
    <w:p>
      <w:pPr>
        <w:pStyle w:val="Heading3"/>
        <w:spacing w:before="160" w:after="40"/>
      </w:pPr>
      <w:r>
        <w:rPr>
          <w:color w:val="72BF45"/>
          <w:sz w:val="24"/>
        </w:rPr>
        <w:t>Semanas 1–2</w:t>
      </w:r>
    </w:p>
    <w:p>
      <w:pPr>
        <w:pStyle w:val="ListNumber"/>
        <w:spacing w:after="60"/>
      </w:pPr>
      <w:r>
        <w:rPr>
          <w:color w:val="444444"/>
          <w:sz w:val="22"/>
        </w:rPr>
        <w:t>Criar campanhas Meta: Alcance (Lookalike + cargo/setor/geo) + Retargeting (visitantes da LP)</w:t>
      </w:r>
    </w:p>
    <w:p>
      <w:pPr>
        <w:pStyle w:val="ListNumber"/>
        <w:spacing w:after="60"/>
      </w:pPr>
      <w:r>
        <w:rPr>
          <w:color w:val="444444"/>
          <w:sz w:val="22"/>
        </w:rPr>
        <w:t>Criar campanhas Google: grupos por nicho (saúde, ensino, financeiro) + Display remarketing</w:t>
      </w:r>
    </w:p>
    <w:p>
      <w:pPr>
        <w:pStyle w:val="ListNumber"/>
        <w:spacing w:after="60"/>
      </w:pPr>
      <w:r>
        <w:rPr>
          <w:color w:val="444444"/>
          <w:sz w:val="22"/>
        </w:rPr>
        <w:t>Produzir criativos iniciais — 3 a 4 peças por canal, adaptadas por nicho</w:t>
      </w:r>
    </w:p>
    <w:p>
      <w:pPr>
        <w:pStyle w:val="Heading3"/>
        <w:spacing w:before="160" w:after="40"/>
      </w:pPr>
      <w:r>
        <w:rPr>
          <w:color w:val="72BF45"/>
          <w:sz w:val="24"/>
        </w:rPr>
        <w:t>Dia 30 — Primeiro relatório</w:t>
      </w:r>
    </w:p>
    <w:p>
      <w:pPr>
        <w:pStyle w:val="ListNumber"/>
        <w:spacing w:after="60"/>
      </w:pPr>
      <w:r>
        <w:rPr>
          <w:color w:val="444444"/>
          <w:sz w:val="22"/>
        </w:rPr>
        <w:t>Análise de primeiros dados: CPL real por canal, volume de leads, qualidade, ajustes de segmentação e criativos</w:t>
      </w:r>
    </w:p>
    <w:p>
      <w:r>
        <w:br w:type="page"/>
      </w:r>
    </w:p>
    <w:p>
      <w:pPr>
        <w:pStyle w:val="Heading2"/>
        <w:spacing w:before="280" w:after="80"/>
      </w:pPr>
      <w:r>
        <w:rPr>
          <w:color w:val="002E6E"/>
          <w:sz w:val="32"/>
        </w:rPr>
        <w:t>Referências e Fontes</w:t>
      </w:r>
    </w:p>
    <w:p>
      <w:pPr>
        <w:spacing w:after="80"/>
      </w:pPr>
      <w:r>
        <w:rPr>
          <w:color w:val="444444"/>
          <w:sz w:val="22"/>
        </w:rPr>
        <w:t>Jornada do decisor B2B: Think with Google — thinkwithgoogle.com/intl/pt-br/tendencias-de-consumo/jornada-do-consumidor/b2b-jornada-pesquisa/</w:t>
      </w:r>
    </w:p>
    <w:p>
      <w:pPr>
        <w:spacing w:after="80"/>
      </w:pPr>
      <w:r>
        <w:rPr>
          <w:color w:val="444444"/>
          <w:sz w:val="22"/>
        </w:rPr>
        <w:t>Benchmarks plataformas B2B: B2B PPC 2025 Report — thedigitalbloom.com</w:t>
      </w:r>
    </w:p>
    <w:p>
      <w:pPr>
        <w:spacing w:after="80"/>
      </w:pPr>
      <w:r>
        <w:rPr>
          <w:color w:val="444444"/>
          <w:sz w:val="22"/>
        </w:rPr>
        <w:t>Meta B2B ROAS 51% / Google Search ROAS 67% — Lever Digital, 2026</w:t>
      </w:r>
    </w:p>
    <w:p>
      <w:pPr>
        <w:spacing w:after="80"/>
      </w:pPr>
      <w:r>
        <w:rPr>
          <w:color w:val="444444"/>
          <w:sz w:val="22"/>
        </w:rPr>
        <w:t>CPL Brasil serviços profissionais B2B: witu.digital/quanto-custa-google-ads</w:t>
      </w:r>
    </w:p>
    <w:p>
      <w:pPr>
        <w:spacing w:after="80"/>
      </w:pPr>
      <w:r>
        <w:rPr>
          <w:color w:val="444444"/>
          <w:sz w:val="22"/>
        </w:rPr>
        <w:t>Concorrentes: grandesnomesdapropaganda.com.br (Orbenk) | gazetamercantil.digital</w:t>
      </w:r>
    </w:p>
    <w:p>
      <w:pPr>
        <w:spacing w:after="80"/>
      </w:pPr>
      <w:r>
        <w:rPr>
          <w:color w:val="444444"/>
          <w:sz w:val="22"/>
        </w:rPr>
        <w:t>Ad Library Meta — verificar manualmente: ads.facebook.com/ads/library (buscar: Orsegups, Orbenk, Khronos)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