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4" w:name="X245e38ca7a3acbe1d4896265a1e7f84d1fccdb7"/>
    <w:p>
      <w:pPr>
        <w:pStyle w:val="Heading1"/>
      </w:pPr>
      <w:r>
        <w:t xml:space="preserve">MKD Slidea — Technical Documentation &amp; Investment Proposal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Alibaba Cloud — Investment, Cloud Infrastructure &amp; Strategic Partnership</w:t>
      </w:r>
      <w:r>
        <w:t xml:space="preserve"> </w:t>
      </w:r>
      <w:r>
        <w:rPr>
          <w:b/>
          <w:bCs/>
        </w:rPr>
        <w:t xml:space="preserve">Company:</w:t>
      </w:r>
      <w:r>
        <w:t xml:space="preserve"> </w:t>
      </w:r>
      <w:r>
        <w:t xml:space="preserve">MKD Slidea (slidea.mismath.net) — Skopje, North Macedonia</w:t>
      </w:r>
      <w:r>
        <w:t xml:space="preserve"> </w:t>
      </w:r>
      <w:r>
        <w:rPr>
          <w:b/>
          <w:bCs/>
        </w:rPr>
        <w:t xml:space="preserve">Founder:</w:t>
      </w:r>
      <w:r>
        <w:t xml:space="preserve"> </w:t>
      </w:r>
      <w:r>
        <w:t xml:space="preserve">Igor Bogdanoski (full-stack engineer &amp; product owner)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2026</w:t>
      </w:r>
      <w:r>
        <w:t xml:space="preserve"> </w:t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MKD Slidea</w:t>
      </w:r>
      <w:r>
        <w:t xml:space="preserve"> </w:t>
      </w:r>
      <w:r>
        <w:t xml:space="preserve">is a production-ready, Macedonian-language interactive presentation and audience-response platform — a localized alternative to Mentimeter, Kahoot! and Slido, purpose-built for the North Macedonia education system and aligned with the national</w:t>
      </w:r>
      <w:r>
        <w:t xml:space="preserve"> </w:t>
      </w:r>
      <w:r>
        <w:rPr>
          <w:b/>
          <w:bCs/>
        </w:rPr>
        <w:t xml:space="preserve">BRO curriculum</w:t>
      </w:r>
      <w:r>
        <w:t xml:space="preserve">. It lets teachers, trainers and event hosts run live polls, quizzes, word clouds, Q&amp;A and surveys where audiences respond in real time from any phone, with results projected live.</w:t>
      </w:r>
    </w:p>
    <w:p>
      <w:pPr>
        <w:pStyle w:val="BodyText"/>
      </w:pPr>
      <w:r>
        <w:t xml:space="preserve">The product is</w:t>
      </w:r>
      <w:r>
        <w:t xml:space="preserve"> </w:t>
      </w:r>
      <w:r>
        <w:rPr>
          <w:b/>
          <w:bCs/>
        </w:rPr>
        <w:t xml:space="preserve">live in production</w:t>
      </w:r>
      <w:r>
        <w:t xml:space="preserve">, technically mature, and operating at a fraction of the cost of Western competitors because it runs on a</w:t>
      </w:r>
      <w:r>
        <w:t xml:space="preserve"> </w:t>
      </w:r>
      <w:r>
        <w:rPr>
          <w:b/>
          <w:bCs/>
        </w:rPr>
        <w:t xml:space="preserve">self-hosted open-source stack</w:t>
      </w:r>
      <w:r>
        <w:t xml:space="preserve"> </w:t>
      </w:r>
      <w:r>
        <w:t xml:space="preserve">(Supabase on a single VPS) with</w:t>
      </w:r>
      <w:r>
        <w:t xml:space="preserve"> </w:t>
      </w:r>
      <w:r>
        <w:rPr>
          <w:b/>
          <w:bCs/>
        </w:rPr>
        <w:t xml:space="preserve">Google Gemini AI</w:t>
      </w:r>
      <w:r>
        <w:t xml:space="preserve"> </w:t>
      </w:r>
      <w:r>
        <w:t xml:space="preserve">powering question generation, auto-grading and curriculum-aware semantic search.</w:t>
      </w:r>
    </w:p>
    <w:p>
      <w:pPr>
        <w:pStyle w:val="BodyText"/>
      </w:pPr>
      <w:r>
        <w:rPr>
          <w:b/>
          <w:bCs/>
        </w:rPr>
        <w:t xml:space="preserve">The opportunity:</w:t>
      </w:r>
      <w:r>
        <w:t xml:space="preserve"> </w:t>
      </w:r>
      <w:r>
        <w:t xml:space="preserve">the Western Balkans (North Macedonia, Albania, Serbia, Kosovo, Bulgaria, Croatia — ~20M people, ~5M students) has no dominant localized audience-response platform. Global tools (Mentimeter, Kahoot!) are English-first, expensive, and not aligned with local curricula. MKD Slidea has the technical foundation, the curriculum data, and the multilingual architecture to capture this market.</w:t>
      </w:r>
    </w:p>
    <w:p>
      <w:pPr>
        <w:pStyle w:val="BodyText"/>
      </w:pPr>
      <w:r>
        <w:rPr>
          <w:b/>
          <w:bCs/>
        </w:rPr>
        <w:t xml:space="preserve">The ask (combined, investor-selectable):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Cloud infrastructure support</w:t>
      </w:r>
      <w:r>
        <w:t xml:space="preserve"> </w:t>
      </w:r>
      <w:r>
        <w:t xml:space="preserve">— Alibaba Cloud credits / sponsored infrastructure to scale from a single VPS to a regional, highly-available deployment.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Direct seed investment</w:t>
      </w:r>
      <w:r>
        <w:t xml:space="preserve"> </w:t>
      </w:r>
      <w:r>
        <w:t xml:space="preserve">— €25,000–€100,000 to fund regional expansion, i18n completion and enterprise features.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Strategic partnership</w:t>
      </w:r>
      <w:r>
        <w:t xml:space="preserve"> </w:t>
      </w:r>
      <w:r>
        <w:t xml:space="preserve">— integration with Alibaba Cloud AI (Qwen / Model Studio), listing on the Alibaba Cloud Marketplace, and joint go-to-market for the CEE/Balkans education and enterprise segments.</w:t>
      </w:r>
    </w:p>
    <w:p>
      <w:r>
        <w:pict>
          <v:rect style="width:0;height:1.5pt" o:hralign="center" o:hrstd="t" o:hr="t"/>
        </w:pict>
      </w:r>
    </w:p>
    <w:bookmarkEnd w:id="9"/>
    <w:bookmarkStart w:id="13" w:name="problem-market"/>
    <w:p>
      <w:pPr>
        <w:pStyle w:val="Heading2"/>
      </w:pPr>
      <w:r>
        <w:t xml:space="preserve">2. Problem &amp; Market</w:t>
      </w:r>
    </w:p>
    <w:bookmarkStart w:id="10" w:name="the-problem"/>
    <w:p>
      <w:pPr>
        <w:pStyle w:val="Heading3"/>
      </w:pPr>
      <w:r>
        <w:t xml:space="preserve">2.1 The problem</w:t>
      </w:r>
    </w:p>
    <w:p>
      <w:pPr>
        <w:pStyle w:val="Compact"/>
        <w:numPr>
          <w:ilvl w:val="0"/>
          <w:numId w:val="1001"/>
        </w:numPr>
      </w:pPr>
      <w:r>
        <w:t xml:space="preserve">Teachers and trainers in North Macedonia and the wider Balkans lack an affordable,</w:t>
      </w:r>
      <w:r>
        <w:t xml:space="preserve"> </w:t>
      </w:r>
      <w:r>
        <w:rPr>
          <w:b/>
          <w:bCs/>
        </w:rPr>
        <w:t xml:space="preserve">native-language</w:t>
      </w:r>
      <w:r>
        <w:t xml:space="preserve"> </w:t>
      </w:r>
      <w:r>
        <w:t xml:space="preserve">tool for interactive, real-time classroom engagement.</w:t>
      </w:r>
    </w:p>
    <w:p>
      <w:pPr>
        <w:pStyle w:val="Compact"/>
        <w:numPr>
          <w:ilvl w:val="0"/>
          <w:numId w:val="1001"/>
        </w:numPr>
      </w:pPr>
      <w:r>
        <w:t xml:space="preserve">Global alternatives (Mentimeter ~€100+/yr, Kahoot! Pro, Slido) are priced in EUR/USD for Western markets, English-first, and</w:t>
      </w:r>
      <w:r>
        <w:t xml:space="preserve"> </w:t>
      </w:r>
      <w:r>
        <w:rPr>
          <w:b/>
          <w:bCs/>
        </w:rPr>
        <w:t xml:space="preserve">not aligned with the local BRO curriculum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Institutional procurement (schools, universities, NGOs, corporate training) needs local invoicing, GDPR compliance, and curriculum relevance — none of which global tools provide out of the box.</w:t>
      </w:r>
    </w:p>
    <w:bookmarkEnd w:id="10"/>
    <w:bookmarkStart w:id="11" w:name="target-market"/>
    <w:p>
      <w:pPr>
        <w:pStyle w:val="Heading3"/>
      </w:pPr>
      <w:r>
        <w:t xml:space="preserve">2.2 Target market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Willingness to pay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K-12 teachers</w:t>
            </w:r>
          </w:p>
        </w:tc>
        <w:tc>
          <w:tcPr/>
          <w:p>
            <w:pPr>
              <w:pStyle w:val="Compact"/>
            </w:pPr>
            <w:r>
              <w:t xml:space="preserve">~25,000 in North Macedonia; ~500,000 across the Balkans</w:t>
            </w:r>
          </w:p>
        </w:tc>
        <w:tc>
          <w:tcPr/>
          <w:p>
            <w:pPr>
              <w:pStyle w:val="Compact"/>
            </w:pPr>
            <w:r>
              <w:t xml:space="preserve">Low (freemium → Pro)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Universities &amp; faculties</w:t>
            </w:r>
          </w:p>
        </w:tc>
        <w:tc>
          <w:tcPr/>
          <w:p>
            <w:pPr>
              <w:pStyle w:val="Compact"/>
            </w:pPr>
            <w:r>
              <w:t xml:space="preserve">UKIM, DUI, FINKI, regional universities</w:t>
            </w:r>
          </w:p>
        </w:tc>
        <w:tc>
          <w:tcPr/>
          <w:p>
            <w:pPr>
              <w:pStyle w:val="Compact"/>
            </w:pPr>
            <w:r>
              <w:t xml:space="preserve">Medium (departmental licenses)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Corporate trainers / NGOs</w:t>
            </w:r>
          </w:p>
        </w:tc>
        <w:tc>
          <w:tcPr/>
          <w:p>
            <w:pPr>
              <w:pStyle w:val="Compact"/>
            </w:pPr>
            <w:r>
              <w:t xml:space="preserve">Team workshops, trainings, conferences</w:t>
            </w:r>
          </w:p>
        </w:tc>
        <w:tc>
          <w:tcPr/>
          <w:p>
            <w:pPr>
              <w:pStyle w:val="Compact"/>
            </w:pPr>
            <w:r>
              <w:t xml:space="preserve">Medium-High (event &amp; seat licenses)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Schools &amp; institutions</w:t>
            </w:r>
          </w:p>
        </w:tc>
        <w:tc>
          <w:tcPr/>
          <w:p>
            <w:pPr>
              <w:pStyle w:val="Compact"/>
            </w:pPr>
            <w:r>
              <w:t xml:space="preserve">Centralized procurement, branding, admin control</w:t>
            </w:r>
          </w:p>
        </w:tc>
        <w:tc>
          <w:tcPr/>
          <w:p>
            <w:pPr>
              <w:pStyle w:val="Compact"/>
            </w:pPr>
            <w:r>
              <w:t xml:space="preserve">High (institutional licenses)</w:t>
            </w:r>
          </w:p>
        </w:tc>
      </w:tr>
    </w:tbl>
    <w:bookmarkEnd w:id="11"/>
    <w:bookmarkStart w:id="12" w:name="competitive-positioning"/>
    <w:p>
      <w:pPr>
        <w:pStyle w:val="Heading3"/>
      </w:pPr>
      <w:r>
        <w:t xml:space="preserve">2.3 Competitive positioning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MKD Slidea</w:t>
            </w:r>
          </w:p>
        </w:tc>
        <w:tc>
          <w:tcPr/>
          <w:p>
            <w:pPr>
              <w:pStyle w:val="Compact"/>
            </w:pPr>
            <w:r>
              <w:t xml:space="preserve">Mentimeter</w:t>
            </w:r>
          </w:p>
        </w:tc>
        <w:tc>
          <w:tcPr/>
          <w:p>
            <w:pPr>
              <w:pStyle w:val="Compact"/>
            </w:pPr>
            <w:r>
              <w:t xml:space="preserve">Kahoot!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Macedonian + Balkan languages</w:t>
            </w:r>
          </w:p>
        </w:tc>
        <w:tc>
          <w:tcPr/>
          <w:p>
            <w:pPr>
              <w:pStyle w:val="Compact"/>
            </w:pPr>
            <w:r>
              <w:t xml:space="preserve">✅ (7 locales architected)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 curriculum alignment + AI generation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Self-hosted / data sovereignty option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activity types (incl. ranking, scale, survey)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tier (200 participants)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€20/year</w:t>
            </w:r>
          </w:p>
        </w:tc>
        <w:tc>
          <w:tcPr/>
          <w:p>
            <w:pPr>
              <w:pStyle w:val="Compact"/>
            </w:pPr>
            <w:r>
              <w:t xml:space="preserve">~€100+/year</w:t>
            </w:r>
          </w:p>
        </w:tc>
        <w:tc>
          <w:tcPr/>
          <w:p>
            <w:pPr>
              <w:pStyle w:val="Compact"/>
            </w:pPr>
            <w:r>
              <w:t xml:space="preserve">~€60+/year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6" w:name="product-overview"/>
    <w:p>
      <w:pPr>
        <w:pStyle w:val="Heading2"/>
      </w:pPr>
      <w:r>
        <w:t xml:space="preserve">3. Product Overview</w:t>
      </w:r>
    </w:p>
    <w:bookmarkStart w:id="14" w:name="core-capabilities-all-live-in-production"/>
    <w:p>
      <w:pPr>
        <w:pStyle w:val="Heading3"/>
      </w:pPr>
      <w:r>
        <w:t xml:space="preserve">3.1 Core capabilities (all live in production)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 interactive activity types:</w:t>
      </w:r>
      <w:r>
        <w:t xml:space="preserve"> </w:t>
      </w:r>
      <w:r>
        <w:t xml:space="preserve">multiple-choice poll, quiz (with leaderboard &amp; instant feedback), word cloud, open text, star rating, ranking (Borda-count scoring), 1–10 scale, and multi-question survey forms.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 Presenter view:</w:t>
      </w:r>
      <w:r>
        <w:t xml:space="preserve"> </w:t>
      </w:r>
      <w:r>
        <w:t xml:space="preserve">real-time animated results (bars / donut / podium / numbers), projected to the audience; live participant counter via presence tracking; flying emoji reactions; Q&amp;A panel with upvoting, moderation and pinning.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Phone-as-remote-control:</w:t>
      </w:r>
      <w:r>
        <w:t xml:space="preserve"> </w:t>
      </w:r>
      <w:r>
        <w:t xml:space="preserve">the host drives the presentation from their phone (next/previous, lock voting, reset) while it projects on screen — verified end-to-end.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AI-powered authoring (Google Gemini):</w:t>
      </w:r>
      <w:r>
        <w:t xml:space="preserve"> </w:t>
      </w:r>
      <w:r>
        <w:t xml:space="preserve">curriculum-aligned question generation using Bloom’s taxonomy, image/PPTX import (OCR + analysis), AI auto-grading of open answers, AI insights per session, and AI session-recap emails.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RAG semantic search:</w:t>
      </w:r>
      <w:r>
        <w:t xml:space="preserve"> </w:t>
      </w:r>
      <w:r>
        <w:t xml:space="preserve">228 Macedonian curriculum chunks embedded (gemini-embedding-2, 768-dim) for curriculum-aware suggestions.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Templates:</w:t>
      </w:r>
      <w:r>
        <w:t xml:space="preserve"> </w:t>
      </w:r>
      <w:r>
        <w:t xml:space="preserve">39 curated starter templates across 13 subjects (Math, Physics, Chemistry, Biology, Geography, History, Macedonian, English, CS, Art, Music, PE, Business) + a public</w:t>
      </w:r>
      <w:r>
        <w:t xml:space="preserve"> </w:t>
      </w:r>
      <w:r>
        <w:rPr>
          <w:b/>
          <w:bCs/>
        </w:rPr>
        <w:t xml:space="preserve">community template gallery</w:t>
      </w:r>
      <w:r>
        <w:t xml:space="preserve"> </w:t>
      </w:r>
      <w:r>
        <w:t xml:space="preserve">with SEO-optimized detail pages.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Multilingual:</w:t>
      </w:r>
      <w:r>
        <w:t xml:space="preserve"> </w:t>
      </w:r>
      <w:r>
        <w:t xml:space="preserve">Macedonian (full) + architecture for Albanian, Serbian, Croatian, Bulgarian, Romanian, English (hreflang + locale files).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SEO:</w:t>
      </w:r>
      <w:r>
        <w:t xml:space="preserve"> </w:t>
      </w:r>
      <w:r>
        <w:t xml:space="preserve">build-time prerendering, sitemap generation, JSON-LD structured data (Course, FAQPage, EducationalApplication), per-template OG images (satori), 7-language hreflang alternates.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Operations:</w:t>
      </w:r>
      <w:r>
        <w:t xml:space="preserve"> </w:t>
      </w:r>
      <w:r>
        <w:t xml:space="preserve">event scheduling &amp; async mode, co-host access, custom branding (color/font/logo), public results pages, CSV/PDF/Markdown export, web push notifications (VAPID), transactional email (Resend).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Legal:</w:t>
      </w:r>
      <w:r>
        <w:t xml:space="preserve"> </w:t>
      </w:r>
      <w:r>
        <w:t xml:space="preserve">GDPR-compliant Privacy Policy and Terms of Service (North Macedonia law).</w:t>
      </w:r>
    </w:p>
    <w:bookmarkEnd w:id="14"/>
    <w:bookmarkStart w:id="15" w:name="Xba1d4611d9182bbb78bba0bab8a3aa97264167d"/>
    <w:p>
      <w:pPr>
        <w:pStyle w:val="Heading3"/>
      </w:pPr>
      <w:r>
        <w:t xml:space="preserve">3.2 Product maturity scores (internal audit, June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</w:pPr>
            <w:r>
              <w:t xml:space="preserve">92/100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88/100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features</w:t>
            </w:r>
          </w:p>
        </w:tc>
        <w:tc>
          <w:tcPr/>
          <w:p>
            <w:pPr>
              <w:pStyle w:val="Compact"/>
            </w:pPr>
            <w:r>
              <w:t xml:space="preserve">78/100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78/100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 coverage</w:t>
            </w:r>
          </w:p>
        </w:tc>
        <w:tc>
          <w:tcPr/>
          <w:p>
            <w:pPr>
              <w:pStyle w:val="Compact"/>
            </w:pPr>
            <w:r>
              <w:t xml:space="preserve">35/100 (next expansion lever)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application is at commercial grade for the Macedonian market.</w:t>
      </w:r>
      <w:r>
        <w:t xml:space="preserve"> </w:t>
      </w:r>
      <w:r>
        <w:t xml:space="preserve">The next major milestone for regional expansion is completing i18n (Albanian, Serbian).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technical-architecture"/>
    <w:p>
      <w:pPr>
        <w:pStyle w:val="Heading2"/>
      </w:pPr>
      <w:r>
        <w:t xml:space="preserve">4. Technical Architecture</w:t>
      </w:r>
    </w:p>
    <w:bookmarkStart w:id="17" w:name="stack-overview"/>
    <w:p>
      <w:pPr>
        <w:pStyle w:val="Heading3"/>
      </w:pPr>
      <w:r>
        <w:t xml:space="preserve">4.1 Stack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FRONTEND (Vercel edge CDN)                                   │</w:t>
      </w:r>
      <w:r>
        <w:br/>
      </w:r>
      <w:r>
        <w:rPr>
          <w:rStyle w:val="VerbatimChar"/>
        </w:rPr>
        <w:t xml:space="preserve">│  React 18 + Vite · TailwindCSS · Framer Motion · Zustand      │</w:t>
      </w:r>
      <w:r>
        <w:br/>
      </w:r>
      <w:r>
        <w:rPr>
          <w:rStyle w:val="VerbatimChar"/>
        </w:rPr>
        <w:t xml:space="preserve">│  React Router 7 · Recharts · d3-cloud · qrcode.react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│ HTTPS / WSS                  │ serverless</w:t>
      </w:r>
      <w:r>
        <w:br/>
      </w:r>
      <w:r>
        <w:rPr>
          <w:rStyle w:val="VerbatimChar"/>
        </w:rPr>
        <w:t xml:space="preserve">┌───────────────▼──────────────┐  ┌────────────▼────────────────┐</w:t>
      </w:r>
      <w:r>
        <w:br/>
      </w:r>
      <w:r>
        <w:rPr>
          <w:rStyle w:val="VerbatimChar"/>
        </w:rPr>
        <w:t xml:space="preserve">│  SELF-HOSTED SUPABASE         │  │  VERCEL EDGE FUNCTIONS       │</w:t>
      </w:r>
      <w:r>
        <w:br/>
      </w:r>
      <w:r>
        <w:rPr>
          <w:rStyle w:val="VerbatimChar"/>
        </w:rPr>
        <w:t xml:space="preserve">│  (Hostinger KVM2 VPS, Docker) │  │  /api/generate (Gemini)      │</w:t>
      </w:r>
      <w:r>
        <w:br/>
      </w:r>
      <w:r>
        <w:rPr>
          <w:rStyle w:val="VerbatimChar"/>
        </w:rPr>
        <w:t xml:space="preserve">│  PostgreSQL 16 + pgvector     │  │  /api/grade · /api/insights  │</w:t>
      </w:r>
      <w:r>
        <w:br/>
      </w:r>
      <w:r>
        <w:rPr>
          <w:rStyle w:val="VerbatimChar"/>
        </w:rPr>
        <w:t xml:space="preserve">│  Auth · Realtime · Storage    │  │  /api/vote-text · /api/og    │</w:t>
      </w:r>
      <w:r>
        <w:br/>
      </w:r>
      <w:r>
        <w:rPr>
          <w:rStyle w:val="VerbatimChar"/>
        </w:rPr>
        <w:t xml:space="preserve">│  Kong API gateway · nginx TLS │  │  /api/embed-batch (cron)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└───────────────┬──────────────┘  └────────────┬────────────────┘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│                               │</w:t>
      </w:r>
      <w:r>
        <w:br/>
      </w:r>
      <w:r>
        <w:rPr>
          <w:rStyle w:val="VerbatimChar"/>
        </w:rPr>
        <w:t xml:space="preserve">        ┌───────▼───────────────────────────────▼────────┐</w:t>
      </w:r>
      <w:r>
        <w:br/>
      </w:r>
      <w:r>
        <w:rPr>
          <w:rStyle w:val="VerbatimChar"/>
        </w:rPr>
        <w:t xml:space="preserve">        │  GOOGLE GEMINI AI (Tier 1 paid key)             │</w:t>
      </w:r>
      <w:r>
        <w:br/>
      </w:r>
      <w:r>
        <w:rPr>
          <w:rStyle w:val="VerbatimChar"/>
        </w:rPr>
        <w:t xml:space="preserve">        │  gemini-3.6-flash (generation/grading/insights) │</w:t>
      </w:r>
      <w:r>
        <w:br/>
      </w:r>
      <w:r>
        <w:rPr>
          <w:rStyle w:val="VerbatimChar"/>
        </w:rPr>
        <w:t xml:space="preserve">        │  gemini-3.1-pro-preview (advanced reasoning)    │</w:t>
      </w:r>
      <w:r>
        <w:br/>
      </w:r>
      <w:r>
        <w:rPr>
          <w:rStyle w:val="VerbatimChar"/>
        </w:rPr>
        <w:t xml:space="preserve">        │  gemini-embedding-2 (RAG, 768-dim Matryoshka)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└─────────────────────────────────────────────────┘</w:t>
      </w:r>
    </w:p>
    <w:bookmarkEnd w:id="17"/>
    <w:bookmarkStart w:id="18" w:name="key-technical-decisions"/>
    <w:p>
      <w:pPr>
        <w:pStyle w:val="Heading3"/>
      </w:pPr>
      <w:r>
        <w:t xml:space="preserve">4.2 Key technical decisions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Self-hosted Supabase (open source)</w:t>
      </w:r>
      <w:r>
        <w:t xml:space="preserve"> </w:t>
      </w:r>
      <w:r>
        <w:t xml:space="preserve">on a Hostinger KVM2 VPS (2 vCPU, 7.8 GB RAM, Docker) instead of paid Supabase Cloud —</w:t>
      </w:r>
      <w:r>
        <w:t xml:space="preserve"> </w:t>
      </w:r>
      <w:r>
        <w:rPr>
          <w:b/>
          <w:bCs/>
        </w:rPr>
        <w:t xml:space="preserve">data sovereignty</w:t>
      </w:r>
      <w:r>
        <w:t xml:space="preserve"> </w:t>
      </w:r>
      <w:r>
        <w:t xml:space="preserve">(all data in the EU/region) and near-zero marginal database cost. PostgreSQL 16 with the</w:t>
      </w:r>
      <w:r>
        <w:t xml:space="preserve"> </w:t>
      </w:r>
      <w:r>
        <w:rPr>
          <w:b/>
          <w:bCs/>
        </w:rPr>
        <w:t xml:space="preserve">pgvector</w:t>
      </w:r>
      <w:r>
        <w:t xml:space="preserve"> </w:t>
      </w:r>
      <w:r>
        <w:t xml:space="preserve">extension powers RAG semantic search. All 11 Supabase containers run Docker-isolated behind an nginx reverse proxy with Let’s Encrypt TLS; Postgres/Auth/Realtime are bound to localhost (only the Kong API gateway is public).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Real-time engine:</w:t>
      </w:r>
      <w:r>
        <w:t xml:space="preserve"> </w:t>
      </w:r>
      <w:r>
        <w:t xml:space="preserve">Supabase Realtime (WebSockets) for live vote broadcasting and presence (</w:t>
      </w:r>
      <w:r>
        <w:t xml:space="preserve">“N live”</w:t>
      </w:r>
      <w:r>
        <w:t xml:space="preserve">,</w:t>
      </w:r>
      <w:r>
        <w:t xml:space="preserve"> </w:t>
      </w:r>
      <w:r>
        <w:t xml:space="preserve">“X/Y answered”</w:t>
      </w:r>
      <w:r>
        <w:t xml:space="preserve">), with an HTTP polling fallback for resilience. Load-tested to</w:t>
      </w:r>
      <w:r>
        <w:t xml:space="preserve"> </w:t>
      </w:r>
      <w:r>
        <w:rPr>
          <w:b/>
          <w:bCs/>
        </w:rPr>
        <w:t xml:space="preserve">300 concurrent participants at 100% success (~1.6 s latency)</w:t>
      </w:r>
      <w:r>
        <w:t xml:space="preserve">; 500 concurrent under extreme synthetic synchronized load reaches 85–94% (real events with natural jitter perform better).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layer:</w:t>
      </w:r>
      <w:r>
        <w:t xml:space="preserve"> </w:t>
      </w:r>
      <w:r>
        <w:t xml:space="preserve">Google Gemini via Vercel edge functions. As of July 2026 the platform runs the</w:t>
      </w:r>
      <w:r>
        <w:t xml:space="preserve"> </w:t>
      </w:r>
      <w:r>
        <w:rPr>
          <w:b/>
          <w:bCs/>
        </w:rPr>
        <w:t xml:space="preserve">latest Gemini 3 family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 </w:t>
      </w:r>
      <w:r>
        <w:t xml:space="preserve">(the newest stable flash model) for high-volume generation/grading/insights,</w:t>
      </w:r>
      <w:r>
        <w:t xml:space="preserve"> </w:t>
      </w:r>
      <w:r>
        <w:rPr>
          <w:rStyle w:val="VerbatimChar"/>
        </w:rPr>
        <w:t xml:space="preserve">gemini-3.1-pro-preview</w:t>
      </w:r>
      <w:r>
        <w:t xml:space="preserve"> </w:t>
      </w:r>
      <w:r>
        <w:t xml:space="preserve">for advanced reasoning, and</w:t>
      </w:r>
      <w:r>
        <w:t xml:space="preserve"> </w:t>
      </w:r>
      <w:r>
        <w:rPr>
          <w:rStyle w:val="VerbatimChar"/>
        </w:rPr>
        <w:t xml:space="preserve">gemini-embedding-2</w:t>
      </w:r>
      <w:r>
        <w:t xml:space="preserve"> </w:t>
      </w:r>
      <w:r>
        <w:t xml:space="preserve">(multimodal, 768-dim Matryoshka) for RAG. A daily AI budget guard and per-IP rate limiting protect cost and abuse.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SEO as a growth channel:</w:t>
      </w:r>
      <w:r>
        <w:t xml:space="preserve"> </w:t>
      </w:r>
      <w:r>
        <w:t xml:space="preserve">build-time prerendering + sitemap + structured data make every template and page indexable without client JS — critical for organic discovery in a small-language market.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Clean, maintainable codebase:</w:t>
      </w:r>
      <w:r>
        <w:t xml:space="preserve"> </w:t>
      </w:r>
      <w:r>
        <w:t xml:space="preserve">the two largest views (Presenter, Landing) were refactored from ~1,100 lines each to ~300/240 lines via well-scoped sub-components; the live-critical Presenter render path is covered by an end-to-end Playwright suite spanning all 8 activity types.</w:t>
      </w:r>
    </w:p>
    <w:bookmarkEnd w:id="18"/>
    <w:bookmarkStart w:id="19" w:name="data-model-postgresql"/>
    <w:p>
      <w:pPr>
        <w:pStyle w:val="Heading3"/>
      </w:pPr>
      <w:r>
        <w:t xml:space="preserve">4.3 Data model (PostgreSQL)</w:t>
      </w:r>
    </w:p>
    <w:p>
      <w:pPr>
        <w:pStyle w:val="FirstParagraph"/>
      </w:pPr>
      <w:r>
        <w:t xml:space="preserve">Core tables: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polls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votes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survey_responses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community_templates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curriculum_chunks</w:t>
      </w:r>
      <w:r>
        <w:t xml:space="preserve"> </w:t>
      </w:r>
      <w:r>
        <w:t xml:space="preserve">(pgvector),</w:t>
      </w:r>
      <w:r>
        <w:t xml:space="preserve"> </w:t>
      </w:r>
      <w:r>
        <w:rPr>
          <w:rStyle w:val="VerbatimChar"/>
        </w:rPr>
        <w:t xml:space="preserve">organizations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org_members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org_invites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reactions</w:t>
      </w:r>
      <w:r>
        <w:t xml:space="preserve">. Row-Level Security policies enforce per-event and per-organization isolation; anonymous participants vote via session-scoped identifiers.</w:t>
      </w:r>
    </w:p>
    <w:bookmarkEnd w:id="19"/>
    <w:bookmarkStart w:id="20" w:name="testing-quality"/>
    <w:p>
      <w:pPr>
        <w:pStyle w:val="Heading3"/>
      </w:pPr>
      <w:r>
        <w:t xml:space="preserve">4.4 Testing &amp; quality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End-to-end (Playwright):</w:t>
      </w:r>
      <w:r>
        <w:t xml:space="preserve"> </w:t>
      </w:r>
      <w:r>
        <w:t xml:space="preserve">live create → vote → Presenter-results flows for all 8 activity types + remote control + landing/join flows.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Unit (node:test):</w:t>
      </w:r>
      <w:r>
        <w:t xml:space="preserve"> </w:t>
      </w:r>
      <w:r>
        <w:t xml:space="preserve">embeddings, SEO helpers, questions core logic.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Production verification:</w:t>
      </w:r>
      <w:r>
        <w:t xml:space="preserve"> </w:t>
      </w:r>
      <w:r>
        <w:t xml:space="preserve">automated build (Vite + sitemap + prerender) on every push via GitHub → Vercel.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traction-metrics"/>
    <w:p>
      <w:pPr>
        <w:pStyle w:val="Heading2"/>
      </w:pPr>
      <w:r>
        <w:t xml:space="preserve">5. Traction &amp; Metrics</w:t>
      </w:r>
    </w:p>
    <w:bookmarkStart w:id="22" w:name="verified-production-data-july-2026"/>
    <w:p>
      <w:pPr>
        <w:pStyle w:val="Heading3"/>
      </w:pPr>
      <w:r>
        <w:t xml:space="preserve">5.1 Verified production data (July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 users (auth)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 created</w:t>
            </w:r>
          </w:p>
        </w:tc>
        <w:tc>
          <w:tcPr/>
          <w:p>
            <w:pPr>
              <w:pStyle w:val="Compact"/>
            </w:pPr>
            <w:r>
              <w:t xml:space="preserve">138+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Polls / activities created</w:t>
            </w:r>
          </w:p>
        </w:tc>
        <w:tc>
          <w:tcPr/>
          <w:p>
            <w:pPr>
              <w:pStyle w:val="Compact"/>
            </w:pPr>
            <w:r>
              <w:t xml:space="preserve">249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Curriculum chunks (RAG)</w:t>
            </w:r>
          </w:p>
        </w:tc>
        <w:tc>
          <w:tcPr/>
          <w:p>
            <w:pPr>
              <w:pStyle w:val="Compact"/>
            </w:pPr>
            <w:r>
              <w:t xml:space="preserve">228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 templates</w:t>
            </w:r>
          </w:p>
        </w:tc>
        <w:tc>
          <w:tcPr/>
          <w:p>
            <w:pPr>
              <w:pStyle w:val="Compact"/>
            </w:pPr>
            <w:r>
              <w:t xml:space="preserve">39 (13 subjects)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templates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Supported activity types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load proven</w:t>
            </w:r>
          </w:p>
        </w:tc>
        <w:tc>
          <w:tcPr/>
          <w:p>
            <w:pPr>
              <w:pStyle w:val="Compact"/>
            </w:pPr>
            <w:r>
              <w:t xml:space="preserve">300 @ 100% success</w:t>
            </w:r>
          </w:p>
        </w:tc>
      </w:tr>
    </w:tbl>
    <w:bookmarkEnd w:id="22"/>
    <w:bookmarkStart w:id="23" w:name="X39a8d774f7965d3e98fcd6b8a111a650931037a"/>
    <w:p>
      <w:pPr>
        <w:pStyle w:val="Heading3"/>
      </w:pPr>
      <w:r>
        <w:t xml:space="preserve">5.2 Marketing reach (landing page, to be validated with analytics)</w:t>
      </w:r>
    </w:p>
    <w:p>
      <w:pPr>
        <w:pStyle w:val="Compact"/>
        <w:numPr>
          <w:ilvl w:val="0"/>
          <w:numId w:val="1005"/>
        </w:numPr>
      </w:pPr>
      <w:r>
        <w:t xml:space="preserve">800+ teachers reached, 12,000+ participant responses, 98% reported satisfaction.</w:t>
      </w:r>
    </w:p>
    <w:p>
      <w:pPr>
        <w:pStyle w:val="Compact"/>
        <w:numPr>
          <w:ilvl w:val="0"/>
          <w:numId w:val="1005"/>
        </w:numPr>
      </w:pPr>
      <w:r>
        <w:t xml:space="preserve">“Trusted by”</w:t>
      </w:r>
      <w:r>
        <w:t xml:space="preserve"> </w:t>
      </w:r>
      <w:r>
        <w:t xml:space="preserve">strip: UKIM, DUI, FINKI, Gymnasium</w:t>
      </w:r>
      <w:r>
        <w:t xml:space="preserve"> </w:t>
      </w:r>
      <w:r>
        <w:t xml:space="preserve">“Skopje”</w:t>
      </w:r>
      <w:r>
        <w:t xml:space="preserve">, MON trainings, corporate trainings.</w:t>
      </w:r>
    </w:p>
    <w:p>
      <w:pPr>
        <w:pStyle w:val="BlockText"/>
      </w:pPr>
      <w:r>
        <w:rPr>
          <w:b/>
          <w:bCs/>
        </w:rPr>
        <w:t xml:space="preserve">Honest framing:</w:t>
      </w:r>
      <w:r>
        <w:t xml:space="preserve"> </w:t>
      </w:r>
      <w:r>
        <w:t xml:space="preserve">MKD Slidea is an</w:t>
      </w:r>
      <w:r>
        <w:t xml:space="preserve"> </w:t>
      </w:r>
      <w:r>
        <w:rPr>
          <w:b/>
          <w:bCs/>
        </w:rPr>
        <w:t xml:space="preserve">early-stage, solo-founder product with strong technical foundations and early organic traction</w:t>
      </w:r>
      <w:r>
        <w:t xml:space="preserve">, not yet a scaled business. The investment thesis is the regional expansion enabled by completing i18n and enterprise features on top of an already-production-grade platform.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business-model"/>
    <w:p>
      <w:pPr>
        <w:pStyle w:val="Heading2"/>
      </w:pPr>
      <w:r>
        <w:t xml:space="preserve">6. Business Model</w:t>
      </w:r>
    </w:p>
    <w:bookmarkStart w:id="25" w:name="pricing-live"/>
    <w:p>
      <w:pPr>
        <w:pStyle w:val="Heading3"/>
      </w:pPr>
      <w:r>
        <w:t xml:space="preserve">6.1 Pricing (live)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Includes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€0</w:t>
            </w:r>
          </w:p>
        </w:tc>
        <w:tc>
          <w:tcPr/>
          <w:p>
            <w:pPr>
              <w:pStyle w:val="Compact"/>
            </w:pPr>
            <w:r>
              <w:t xml:space="preserve">Up to 200 participants/event, all 8 activity types,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 Monthly</w:t>
            </w:r>
          </w:p>
        </w:tc>
        <w:tc>
          <w:tcPr/>
          <w:p>
            <w:pPr>
              <w:pStyle w:val="Compact"/>
            </w:pPr>
            <w:r>
              <w:t xml:space="preserve">€5 / month</w:t>
            </w:r>
          </w:p>
        </w:tc>
        <w:tc>
          <w:tcPr/>
          <w:p>
            <w:pPr>
              <w:pStyle w:val="Compact"/>
            </w:pPr>
            <w:r>
              <w:t xml:space="preserve">Unlimited participants, branding, exports, AI insights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 Yearly</w:t>
            </w:r>
          </w:p>
        </w:tc>
        <w:tc>
          <w:tcPr/>
          <w:p>
            <w:pPr>
              <w:pStyle w:val="Compact"/>
            </w:pPr>
            <w:r>
              <w:t xml:space="preserve">€20 / year</w:t>
            </w:r>
          </w:p>
        </w:tc>
        <w:tc>
          <w:tcPr/>
          <w:p>
            <w:pPr>
              <w:pStyle w:val="Compact"/>
            </w:pPr>
            <w:r>
              <w:t xml:space="preserve">Same as Pro, best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Institutional</w:t>
            </w:r>
          </w:p>
        </w:tc>
        <w:tc>
          <w:tcPr/>
          <w:p>
            <w:pPr>
              <w:pStyle w:val="Compact"/>
            </w:pPr>
            <w:r>
              <w:t xml:space="preserve">Custom (€200–€2,000+/yr)</w:t>
            </w:r>
          </w:p>
        </w:tc>
        <w:tc>
          <w:tcPr/>
          <w:p>
            <w:pPr>
              <w:pStyle w:val="Compact"/>
            </w:pPr>
            <w:r>
              <w:t xml:space="preserve">Multi-teacher orgs, admin control, centralized billing, white-label option</w:t>
            </w:r>
          </w:p>
        </w:tc>
      </w:tr>
    </w:tbl>
    <w:p>
      <w:pPr>
        <w:pStyle w:val="BodyText"/>
      </w:pPr>
      <w:r>
        <w:t xml:space="preserve">Billing is currently manual (PayPal, IBAN, MKD bank transfer) with Resend email notifications — a deliberate early-stage choice; automated Stripe/Paddle billing is on the roadmap.</w:t>
      </w:r>
    </w:p>
    <w:bookmarkEnd w:id="25"/>
    <w:bookmarkStart w:id="26" w:name="revenue-streams"/>
    <w:p>
      <w:pPr>
        <w:pStyle w:val="Heading3"/>
      </w:pPr>
      <w:r>
        <w:t xml:space="preserve">6.2 Revenue streams</w:t>
      </w:r>
    </w:p>
    <w:p>
      <w:pPr>
        <w:pStyle w:val="Compact"/>
        <w:numPr>
          <w:ilvl w:val="0"/>
          <w:numId w:val="1006"/>
        </w:numPr>
      </w:pPr>
      <w:r>
        <w:t xml:space="preserve">Pro subscriptions (teachers, trainers).</w:t>
      </w:r>
    </w:p>
    <w:p>
      <w:pPr>
        <w:pStyle w:val="Compact"/>
        <w:numPr>
          <w:ilvl w:val="0"/>
          <w:numId w:val="1006"/>
        </w:numPr>
      </w:pPr>
      <w:r>
        <w:t xml:space="preserve">Institutional / school / university licenses (highest value).</w:t>
      </w:r>
    </w:p>
    <w:p>
      <w:pPr>
        <w:pStyle w:val="Compact"/>
        <w:numPr>
          <w:ilvl w:val="0"/>
          <w:numId w:val="1006"/>
        </w:numPr>
      </w:pPr>
      <w:r>
        <w:t xml:space="preserve">Future: template marketplace revenue share, API access for LMS integrations, white-label enterprise.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financial-plan-3-year-projection"/>
    <w:p>
      <w:pPr>
        <w:pStyle w:val="Heading2"/>
      </w:pPr>
      <w:r>
        <w:t xml:space="preserve">7. Financial Plan (3-Year Projection)</w:t>
      </w:r>
    </w:p>
    <w:p>
      <w:pPr>
        <w:pStyle w:val="BlockText"/>
      </w:pPr>
      <w:r>
        <w:rPr>
          <w:b/>
          <w:bCs/>
        </w:rPr>
        <w:t xml:space="preserve">The figures below are illustrative projections based on stated assumptions, not guarantees.</w:t>
      </w:r>
      <w:r>
        <w:t xml:space="preserve"> </w:t>
      </w:r>
      <w:r>
        <w:t xml:space="preserve">They model a conservative regional expansion. All amounts in EUR.</w:t>
      </w:r>
    </w:p>
    <w:bookmarkStart w:id="28" w:name="current-cost-structure-lean-monthly"/>
    <w:p>
      <w:pPr>
        <w:pStyle w:val="Heading3"/>
      </w:pPr>
      <w:r>
        <w:t xml:space="preserve">7.1 Current cost structure (lean, monthly)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Hostinger VPS (self-hosted Supabase)</w:t>
            </w:r>
          </w:p>
        </w:tc>
        <w:tc>
          <w:tcPr/>
          <w:p>
            <w:pPr>
              <w:pStyle w:val="Compact"/>
            </w:pPr>
            <w:r>
              <w:t xml:space="preserve">~€10 (existing)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Pro</w:t>
            </w:r>
          </w:p>
        </w:tc>
        <w:tc>
          <w:tcPr/>
          <w:p>
            <w:pPr>
              <w:pStyle w:val="Compact"/>
            </w:pPr>
            <w:r>
              <w:t xml:space="preserve">~€20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API (Tier 1, low volume)</w:t>
            </w:r>
          </w:p>
        </w:tc>
        <w:tc>
          <w:tcPr/>
          <w:p>
            <w:pPr>
              <w:pStyle w:val="Compact"/>
            </w:pPr>
            <w:r>
              <w:t xml:space="preserve">~€0–20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+ email (Resend)</w:t>
            </w:r>
          </w:p>
        </w:tc>
        <w:tc>
          <w:tcPr/>
          <w:p>
            <w:pPr>
              <w:pStyle w:val="Compact"/>
            </w:pPr>
            <w:r>
              <w:t xml:space="preserve">~€5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~€35–55 / month</w:t>
            </w:r>
          </w:p>
        </w:tc>
      </w:tr>
    </w:tbl>
    <w:p>
      <w:pPr>
        <w:pStyle w:val="BodyText"/>
      </w:pPr>
      <w:r>
        <w:t xml:space="preserve">The self-hosted architecture keeps infrastructure cost near-flat as the user base grows initially — a structural margin advantage versus competitors paying per-seat SaaS infrastructure.</w:t>
      </w:r>
    </w:p>
    <w:bookmarkEnd w:id="28"/>
    <w:bookmarkStart w:id="29" w:name="revenue-projection-illustrative"/>
    <w:p>
      <w:pPr>
        <w:pStyle w:val="Heading3"/>
      </w:pPr>
      <w:r>
        <w:t xml:space="preserve">7.2 Revenue projection (illustrative)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Year 1</w:t>
            </w:r>
          </w:p>
        </w:tc>
        <w:tc>
          <w:tcPr/>
          <w:p>
            <w:pPr>
              <w:pStyle w:val="Compact"/>
            </w:pPr>
            <w:r>
              <w:t xml:space="preserve">Year 2</w:t>
            </w:r>
          </w:p>
        </w:tc>
        <w:tc>
          <w:tcPr/>
          <w:p>
            <w:pPr>
              <w:pStyle w:val="Compact"/>
            </w:pPr>
            <w:r>
              <w:t xml:space="preserve">Year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subscribers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revenue (€20/yr avg)</w:t>
            </w:r>
          </w:p>
        </w:tc>
        <w:tc>
          <w:tcPr/>
          <w:p>
            <w:pPr>
              <w:pStyle w:val="Compact"/>
            </w:pPr>
            <w:r>
              <w:t xml:space="preserve">€2,000</w:t>
            </w:r>
          </w:p>
        </w:tc>
        <w:tc>
          <w:tcPr/>
          <w:p>
            <w:pPr>
              <w:pStyle w:val="Compact"/>
            </w:pPr>
            <w:r>
              <w:t xml:space="preserve">€10,000</w:t>
            </w:r>
          </w:p>
        </w:tc>
        <w:tc>
          <w:tcPr/>
          <w:p>
            <w:pPr>
              <w:pStyle w:val="Compact"/>
            </w:pPr>
            <w:r>
              <w:t xml:space="preserve">€40,000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Institutional licenses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Institutional revenue (€500 avg)</w:t>
            </w:r>
          </w:p>
        </w:tc>
        <w:tc>
          <w:tcPr/>
          <w:p>
            <w:pPr>
              <w:pStyle w:val="Compact"/>
            </w:pPr>
            <w:r>
              <w:t xml:space="preserve">€5,000</w:t>
            </w:r>
          </w:p>
        </w:tc>
        <w:tc>
          <w:tcPr/>
          <w:p>
            <w:pPr>
              <w:pStyle w:val="Compact"/>
            </w:pPr>
            <w:r>
              <w:t xml:space="preserve">€25,000</w:t>
            </w:r>
          </w:p>
        </w:tc>
        <w:tc>
          <w:tcPr/>
          <w:p>
            <w:pPr>
              <w:pStyle w:val="Compact"/>
            </w:pPr>
            <w:r>
              <w:t xml:space="preserve">€100,000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ARR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€7,000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€35,000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€140,000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+ ops cost</w:t>
            </w:r>
          </w:p>
        </w:tc>
        <w:tc>
          <w:tcPr/>
          <w:p>
            <w:pPr>
              <w:pStyle w:val="Compact"/>
            </w:pPr>
            <w:r>
              <w:t xml:space="preserve">€1,500</w:t>
            </w:r>
          </w:p>
        </w:tc>
        <w:tc>
          <w:tcPr/>
          <w:p>
            <w:pPr>
              <w:pStyle w:val="Compact"/>
            </w:pPr>
            <w:r>
              <w:t xml:space="preserve">€6,000</w:t>
            </w:r>
          </w:p>
        </w:tc>
        <w:tc>
          <w:tcPr/>
          <w:p>
            <w:pPr>
              <w:pStyle w:val="Compact"/>
            </w:pPr>
            <w:r>
              <w:t xml:space="preserve">€20,000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&amp; sales</w:t>
            </w:r>
          </w:p>
        </w:tc>
        <w:tc>
          <w:tcPr/>
          <w:p>
            <w:pPr>
              <w:pStyle w:val="Compact"/>
            </w:pPr>
            <w:r>
              <w:t xml:space="preserve">€3,000</w:t>
            </w:r>
          </w:p>
        </w:tc>
        <w:tc>
          <w:tcPr/>
          <w:p>
            <w:pPr>
              <w:pStyle w:val="Compact"/>
            </w:pPr>
            <w:r>
              <w:t xml:space="preserve">€15,000</w:t>
            </w:r>
          </w:p>
        </w:tc>
        <w:tc>
          <w:tcPr/>
          <w:p>
            <w:pPr>
              <w:pStyle w:val="Compact"/>
            </w:pPr>
            <w:r>
              <w:t xml:space="preserve">€45,000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Contribution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€2,500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€14,000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€75,000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Assumptions:</w:t>
      </w:r>
      <w:r>
        <w:t xml:space="preserve"> </w:t>
      </w:r>
      <w:r>
        <w:t xml:space="preserve">freemium → Pro conversion ~3–5%; institutional sales driven by direct outreach to schools/universities/NGOs; Year 2–3 growth unlocked by Albanian &amp; Serbian localization (regional TAM expansion ~10×) and enterprise features (SSO, white-label).</w:t>
      </w:r>
    </w:p>
    <w:bookmarkEnd w:id="29"/>
    <w:bookmarkStart w:id="30" w:name="use-of-funds-on-a-50000-raise"/>
    <w:p>
      <w:pPr>
        <w:pStyle w:val="Heading3"/>
      </w:pPr>
      <w:r>
        <w:t xml:space="preserve">7.3 Use of funds (on a €50,000 raise)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i18n &amp; localization</w:t>
            </w:r>
          </w:p>
        </w:tc>
        <w:tc>
          <w:tcPr/>
          <w:p>
            <w:pPr>
              <w:pStyle w:val="Compact"/>
            </w:pPr>
            <w:r>
              <w:t xml:space="preserve">€15,000</w:t>
            </w:r>
          </w:p>
        </w:tc>
        <w:tc>
          <w:tcPr/>
          <w:p>
            <w:pPr>
              <w:pStyle w:val="Compact"/>
            </w:pPr>
            <w:r>
              <w:t xml:space="preserve">Complete Albanian, Serbian, Croatian, Bulgarian, Romanian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infrastructure (scale-out)</w:t>
            </w:r>
          </w:p>
        </w:tc>
        <w:tc>
          <w:tcPr/>
          <w:p>
            <w:pPr>
              <w:pStyle w:val="Compact"/>
            </w:pPr>
            <w:r>
              <w:t xml:space="preserve">€12,000</w:t>
            </w:r>
          </w:p>
        </w:tc>
        <w:tc>
          <w:tcPr/>
          <w:p>
            <w:pPr>
              <w:pStyle w:val="Compact"/>
            </w:pPr>
            <w:r>
              <w:t xml:space="preserve">Highly-available Postgres, Redis cache, CDN, object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 features</w:t>
            </w:r>
          </w:p>
        </w:tc>
        <w:tc>
          <w:tcPr/>
          <w:p>
            <w:pPr>
              <w:pStyle w:val="Compact"/>
            </w:pPr>
            <w:r>
              <w:t xml:space="preserve">€10,000</w:t>
            </w:r>
          </w:p>
        </w:tc>
        <w:tc>
          <w:tcPr/>
          <w:p>
            <w:pPr>
              <w:pStyle w:val="Compact"/>
            </w:pPr>
            <w:r>
              <w:t xml:space="preserve">SSO (SAML), white-label/custom domain, automated billing,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&amp; sales</w:t>
            </w:r>
          </w:p>
        </w:tc>
        <w:tc>
          <w:tcPr/>
          <w:p>
            <w:pPr>
              <w:pStyle w:val="Compact"/>
            </w:pPr>
            <w:r>
              <w:t xml:space="preserve">€10,000</w:t>
            </w:r>
          </w:p>
        </w:tc>
        <w:tc>
          <w:tcPr/>
          <w:p>
            <w:pPr>
              <w:pStyle w:val="Compact"/>
            </w:pPr>
            <w:r>
              <w:t xml:space="preserve">Content, comparison SEO, school outreach, demos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</w:t>
            </w:r>
          </w:p>
        </w:tc>
        <w:tc>
          <w:tcPr/>
          <w:p>
            <w:pPr>
              <w:pStyle w:val="Compact"/>
            </w:pPr>
            <w:r>
              <w:t xml:space="preserve">€3,000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the-ask-alibaba-cloud-combined-proposal"/>
    <w:p>
      <w:pPr>
        <w:pStyle w:val="Heading2"/>
      </w:pPr>
      <w:r>
        <w:t xml:space="preserve">8. The Ask — Alibaba Cloud (Combined Proposal)</w:t>
      </w:r>
    </w:p>
    <w:p>
      <w:pPr>
        <w:pStyle w:val="FirstParagraph"/>
      </w:pPr>
      <w:r>
        <w:t xml:space="preserve">We propose a</w:t>
      </w:r>
      <w:r>
        <w:t xml:space="preserve"> </w:t>
      </w:r>
      <w:r>
        <w:rPr>
          <w:b/>
          <w:bCs/>
        </w:rPr>
        <w:t xml:space="preserve">flexible, tiered partnership</w:t>
      </w:r>
      <w:r>
        <w:t xml:space="preserve"> </w:t>
      </w:r>
      <w:r>
        <w:t xml:space="preserve">— Alibaba Cloud may choose any combination:</w:t>
      </w:r>
    </w:p>
    <w:bookmarkStart w:id="32" w:name="Xe115d547dfe5f529fc5792df230ed3f881cb2ad"/>
    <w:p>
      <w:pPr>
        <w:pStyle w:val="Heading3"/>
      </w:pPr>
      <w:r>
        <w:t xml:space="preserve">Option A — Cloud Infrastructure Support (donation / credits)</w:t>
      </w:r>
    </w:p>
    <w:p>
      <w:pPr>
        <w:pStyle w:val="FirstParagraph"/>
      </w:pPr>
      <w:r>
        <w:t xml:space="preserve">As MKD Slidea scales from a single VPS to a regional, highly-available deployment, infrastructure becomes the primary cost and risk. We seek</w:t>
      </w:r>
      <w:r>
        <w:t xml:space="preserve"> </w:t>
      </w:r>
      <w:r>
        <w:rPr>
          <w:b/>
          <w:bCs/>
        </w:rPr>
        <w:t xml:space="preserve">Alibaba Cloud credits or sponsored infrastructure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ApsaraDB for PostgreSQL</w:t>
      </w:r>
      <w:r>
        <w:t xml:space="preserve"> </w:t>
      </w:r>
      <w:r>
        <w:t xml:space="preserve">(managed, with vector search) or ECS-hosted Supabase for high availability and automated backups.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Tair/Redis</w:t>
      </w:r>
      <w:r>
        <w:t xml:space="preserve"> </w:t>
      </w:r>
      <w:r>
        <w:t xml:space="preserve">for caching and rate limiting;</w:t>
      </w:r>
      <w:r>
        <w:t xml:space="preserve"> </w:t>
      </w:r>
      <w:r>
        <w:rPr>
          <w:b/>
          <w:bCs/>
        </w:rPr>
        <w:t xml:space="preserve">OSS</w:t>
      </w:r>
      <w:r>
        <w:t xml:space="preserve"> </w:t>
      </w:r>
      <w:r>
        <w:t xml:space="preserve">for media/template storage;</w:t>
      </w:r>
      <w:r>
        <w:t xml:space="preserve"> </w:t>
      </w:r>
      <w:r>
        <w:rPr>
          <w:b/>
          <w:bCs/>
        </w:rPr>
        <w:t xml:space="preserve">CDN</w:t>
      </w:r>
      <w:r>
        <w:t xml:space="preserve"> </w:t>
      </w:r>
      <w:r>
        <w:t xml:space="preserve">for low-latency delivery across the Balkans.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Studio / Qwen API credits</w:t>
      </w:r>
      <w:r>
        <w:t xml:space="preserve"> </w:t>
      </w:r>
      <w:r>
        <w:t xml:space="preserve">to diversify the AI layer (see Option C).</w:t>
      </w:r>
    </w:p>
    <w:p>
      <w:pPr>
        <w:pStyle w:val="BodyText"/>
      </w:pPr>
      <w:r>
        <w:t xml:space="preserve">This removes the single-point-of-failure of the current self-hosted VPS and positions the platform for enterprise-grade SLAs.</w:t>
      </w:r>
    </w:p>
    <w:bookmarkEnd w:id="32"/>
    <w:bookmarkStart w:id="33" w:name="option-b-direct-seed-investment"/>
    <w:p>
      <w:pPr>
        <w:pStyle w:val="Heading3"/>
      </w:pPr>
      <w:r>
        <w:t xml:space="preserve">Option B — Direct Seed Investment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€25,000–€100,000</w:t>
      </w:r>
      <w:r>
        <w:t xml:space="preserve"> </w:t>
      </w:r>
      <w:r>
        <w:t xml:space="preserve">seed round to execute the 3-year plan (Section 7), in exchange for equity (terms negotiable). Funds allocated per Section 7.3. The investment thesis: a production-grade, low-burn platform with a clear, underserved regional market and a 10× TAM expansion unlocked by localization.</w:t>
      </w:r>
    </w:p>
    <w:bookmarkEnd w:id="33"/>
    <w:bookmarkStart w:id="34" w:name="option-c-strategic-partnership"/>
    <w:p>
      <w:pPr>
        <w:pStyle w:val="Heading3"/>
      </w:pPr>
      <w:r>
        <w:t xml:space="preserve">Option C — Strategic Partnership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integration:</w:t>
      </w:r>
      <w:r>
        <w:t xml:space="preserve"> </w:t>
      </w:r>
      <w:r>
        <w:t xml:space="preserve">adopt</w:t>
      </w:r>
      <w:r>
        <w:t xml:space="preserve"> </w:t>
      </w:r>
      <w:r>
        <w:rPr>
          <w:b/>
          <w:bCs/>
        </w:rPr>
        <w:t xml:space="preserve">Alibaba Cloud Qwen / Model Studio</w:t>
      </w:r>
      <w:r>
        <w:t xml:space="preserve"> </w:t>
      </w:r>
      <w:r>
        <w:t xml:space="preserve">as a complementary (or alternative) LLM provider alongside Google Gemini — reducing vendor concentration, lowering inference cost, and aligning with the Alibaba ecosystem. The architecture is already provider-agnostic at the edge-function layer.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Marketplace distribution:</w:t>
      </w:r>
      <w:r>
        <w:t xml:space="preserve"> </w:t>
      </w:r>
      <w:r>
        <w:t xml:space="preserve">list MKD Slidea on the</w:t>
      </w:r>
      <w:r>
        <w:t xml:space="preserve"> </w:t>
      </w:r>
      <w:r>
        <w:rPr>
          <w:b/>
          <w:bCs/>
        </w:rPr>
        <w:t xml:space="preserve">Alibaba Cloud Marketplace</w:t>
      </w:r>
      <w:r>
        <w:t xml:space="preserve"> </w:t>
      </w:r>
      <w:r>
        <w:t xml:space="preserve">to reach Alibaba Cloud’s education and enterprise customers in CEE/Balkans.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Joint go-to-market:</w:t>
      </w:r>
      <w:r>
        <w:t xml:space="preserve"> </w:t>
      </w:r>
      <w:r>
        <w:t xml:space="preserve">co-marketing to Alibaba Cloud’s regional partners; MKD Slidea as a localized edtech reference customer for Alibaba Cloud in Southeast Europe.</w:t>
      </w:r>
    </w:p>
    <w:bookmarkEnd w:id="34"/>
    <w:bookmarkStart w:id="35" w:name="strategic-fit-for-alibaba-cloud"/>
    <w:p>
      <w:pPr>
        <w:pStyle w:val="Heading3"/>
      </w:pPr>
      <w:r>
        <w:t xml:space="preserve">Strategic fit for Alibaba Cloud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localized, production-grade edtech entry point</w:t>
      </w:r>
      <w:r>
        <w:t xml:space="preserve"> </w:t>
      </w:r>
      <w:r>
        <w:t xml:space="preserve">into the Western Balkans — a market global cloud providers serve but rarely localize for.</w:t>
      </w:r>
    </w:p>
    <w:p>
      <w:pPr>
        <w:pStyle w:val="Compact"/>
        <w:numPr>
          <w:ilvl w:val="0"/>
          <w:numId w:val="1008"/>
        </w:numPr>
      </w:pPr>
      <w:r>
        <w:t xml:space="preserve">A real-world</w:t>
      </w:r>
      <w:r>
        <w:t xml:space="preserve"> </w:t>
      </w:r>
      <w:r>
        <w:rPr>
          <w:b/>
          <w:bCs/>
        </w:rPr>
        <w:t xml:space="preserve">Qwen / Model Studio reference deployment</w:t>
      </w:r>
      <w:r>
        <w:t xml:space="preserve"> </w:t>
      </w:r>
      <w:r>
        <w:t xml:space="preserve">in education.</w:t>
      </w:r>
    </w:p>
    <w:p>
      <w:pPr>
        <w:pStyle w:val="Compact"/>
        <w:numPr>
          <w:ilvl w:val="0"/>
          <w:numId w:val="1008"/>
        </w:numPr>
      </w:pPr>
      <w:r>
        <w:t xml:space="preserve">Alignment with Alibaba Cloud’s EMEA expansion and its open-source / developer-ecosystem strategy.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oadmap-next-12-months"/>
    <w:p>
      <w:pPr>
        <w:pStyle w:val="Heading2"/>
      </w:pPr>
      <w:r>
        <w:t xml:space="preserve">9. Roadmap (next 12 months)</w:t>
      </w:r>
    </w:p>
    <w:p>
      <w:pPr>
        <w:pStyle w:val="FirstParagraph"/>
      </w:pPr>
      <w:r>
        <w:rPr>
          <w:b/>
          <w:bCs/>
        </w:rPr>
        <w:t xml:space="preserve">Critical (pre-scale):</w:t>
      </w:r>
      <w:r>
        <w:t xml:space="preserve"> </w:t>
      </w:r>
      <w:r>
        <w:t xml:space="preserve">- GDPR cookie-consent banner.</w:t>
      </w:r>
      <w:r>
        <w:t xml:space="preserve"> </w:t>
      </w:r>
      <w:r>
        <w:t xml:space="preserve">- Complete i18n: Albanian (sq) → Serbian (sr) → Croatian/Bulgarian/Romanian.</w:t>
      </w:r>
      <w:r>
        <w:t xml:space="preserve"> </w:t>
      </w:r>
      <w:r>
        <w:t xml:space="preserve">- Join-flow validation &amp; error UX.</w:t>
      </w:r>
    </w:p>
    <w:p>
      <w:pPr>
        <w:pStyle w:val="BodyText"/>
      </w:pPr>
      <w:r>
        <w:rPr>
          <w:b/>
          <w:bCs/>
        </w:rPr>
        <w:t xml:space="preserve">Q3 2026:</w:t>
      </w:r>
      <w:r>
        <w:t xml:space="preserve"> </w:t>
      </w:r>
      <w:r>
        <w:t xml:space="preserve">- Custom branding UI (color picker + logo upload).</w:t>
      </w:r>
      <w:r>
        <w:t xml:space="preserve"> </w:t>
      </w:r>
      <w:r>
        <w:t xml:space="preserve">- Co-host management UI.</w:t>
      </w:r>
      <w:r>
        <w:t xml:space="preserve"> </w:t>
      </w:r>
      <w:r>
        <w:t xml:space="preserve">- Rate limiting on email/auth endpoints.</w:t>
      </w:r>
      <w:r>
        <w:t xml:space="preserve"> </w:t>
      </w:r>
      <w:r>
        <w:t xml:space="preserve">- Server-side branded PDF export; CSV export button.</w:t>
      </w:r>
    </w:p>
    <w:p>
      <w:pPr>
        <w:pStyle w:val="BodyText"/>
      </w:pPr>
      <w:r>
        <w:rPr>
          <w:b/>
          <w:bCs/>
        </w:rPr>
        <w:t xml:space="preserve">Q4 2026 / 2027:</w:t>
      </w:r>
      <w:r>
        <w:t xml:space="preserve"> </w:t>
      </w:r>
      <w:r>
        <w:t xml:space="preserve">- Public REST API + OpenAPI docs (for Moodle, Google Classroom, Microsoft Teams integrations).</w:t>
      </w:r>
      <w:r>
        <w:t xml:space="preserve"> </w:t>
      </w:r>
      <w:r>
        <w:t xml:space="preserve">- Comparison SEO landing pages (vs Mentimeter / Kahoot! / Slido).</w:t>
      </w:r>
      <w:r>
        <w:t xml:space="preserve"> </w:t>
      </w:r>
      <w:r>
        <w:t xml:space="preserve">- Template marketplace advanced filtering.</w:t>
      </w:r>
      <w:r>
        <w:t xml:space="preserve"> </w:t>
      </w:r>
      <w:r>
        <w:t xml:space="preserve">- Enterprise SSO (SAML/OpenID) and white-label / custom domain.</w:t>
      </w:r>
      <w:r>
        <w:t xml:space="preserve"> </w:t>
      </w:r>
      <w:r>
        <w:t xml:space="preserve">- Per-participant analytics; session recording/replay.</w:t>
      </w:r>
    </w:p>
    <w:p>
      <w:r>
        <w:pict>
          <v:rect style="width:0;height:1.5pt" o:hralign="center" o:hrstd="t" o:hr="t"/>
        </w:pict>
      </w:r>
    </w:p>
    <w:bookmarkEnd w:id="37"/>
    <w:bookmarkStart w:id="38" w:name="risks-mitigation"/>
    <w:p>
      <w:pPr>
        <w:pStyle w:val="Heading2"/>
      </w:pPr>
      <w:r>
        <w:t xml:space="preserve">10. Risks &amp;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Solo-founder key-person risk</w:t>
            </w:r>
          </w:p>
        </w:tc>
        <w:tc>
          <w:tcPr/>
          <w:p>
            <w:pPr>
              <w:pStyle w:val="Compact"/>
            </w:pPr>
            <w:r>
              <w:t xml:space="preserve">Documented codebase, automated tests, AI-assisted development; investment enables first hires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Self-hosted single point of failure</w:t>
            </w:r>
          </w:p>
        </w:tc>
        <w:tc>
          <w:tcPr/>
          <w:p>
            <w:pPr>
              <w:pStyle w:val="Compact"/>
            </w:pPr>
            <w:r>
              <w:t xml:space="preserve">Option A cloud migration → managed HA Postgres + automated backups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vendor concentration (Google)</w:t>
            </w:r>
          </w:p>
        </w:tc>
        <w:tc>
          <w:tcPr/>
          <w:p>
            <w:pPr>
              <w:pStyle w:val="Compact"/>
            </w:pPr>
            <w:r>
              <w:t xml:space="preserve">Provider-agnostic AI layer; Option C adds Alibaba Qwen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institutional sales cycle</w:t>
            </w:r>
          </w:p>
        </w:tc>
        <w:tc>
          <w:tcPr/>
          <w:p>
            <w:pPr>
              <w:pStyle w:val="Compact"/>
            </w:pPr>
            <w:r>
              <w:t xml:space="preserve">Freemium bottom-up adoption + direct institutional outreach; local invoicing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domestic market</w:t>
            </w:r>
          </w:p>
        </w:tc>
        <w:tc>
          <w:tcPr/>
          <w:p>
            <w:pPr>
              <w:pStyle w:val="Compact"/>
            </w:pPr>
            <w:r>
              <w:t xml:space="preserve">Regional (Balkan) expansion via i18n — 10× 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Preview-model deprecation (Gemini 3.1 Pro)</w:t>
            </w:r>
          </w:p>
        </w:tc>
        <w:tc>
          <w:tcPr/>
          <w:p>
            <w:pPr>
              <w:pStyle w:val="Compact"/>
            </w:pPr>
            <w:r>
              <w:t xml:space="preserve">Env-driven model config; stable fallbacks; easy model swaps (proven this session)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team"/>
    <w:p>
      <w:pPr>
        <w:pStyle w:val="Heading2"/>
      </w:pPr>
      <w:r>
        <w:t xml:space="preserve">11. Team</w:t>
      </w:r>
    </w:p>
    <w:p>
      <w:pPr>
        <w:pStyle w:val="FirstParagraph"/>
      </w:pPr>
      <w:r>
        <w:rPr>
          <w:b/>
          <w:bCs/>
        </w:rPr>
        <w:t xml:space="preserve">Igor Bogdanoski</w:t>
      </w:r>
      <w:r>
        <w:t xml:space="preserve"> </w:t>
      </w:r>
      <w:r>
        <w:t xml:space="preserve">— Founder &amp; full-stack engineer. Sole developer and product owner; built the entire platform (frontend, self-hosted infrastructure, AI integration, SEO, legal) with AI-assisted engineering. Based in Prilep, North Macedonia. Contact: igorbogdanoski@mismath.net · +389 70 246 814.</w:t>
      </w:r>
    </w:p>
    <w:p>
      <w:r>
        <w:pict>
          <v:rect style="width:0;height:1.5pt" o:hralign="center" o:hrstd="t" o:hr="t"/>
        </w:pict>
      </w:r>
    </w:p>
    <w:bookmarkEnd w:id="39"/>
    <w:bookmarkStart w:id="43" w:name="appendix"/>
    <w:p>
      <w:pPr>
        <w:pStyle w:val="Heading2"/>
      </w:pPr>
      <w:r>
        <w:t xml:space="preserve">12. Appendix</w:t>
      </w:r>
    </w:p>
    <w:bookmarkStart w:id="40" w:name="live-urls"/>
    <w:p>
      <w:pPr>
        <w:pStyle w:val="Heading3"/>
      </w:pPr>
      <w:r>
        <w:t xml:space="preserve">12.1 Live URLs</w:t>
      </w:r>
    </w:p>
    <w:p>
      <w:pPr>
        <w:pStyle w:val="Compact"/>
        <w:numPr>
          <w:ilvl w:val="0"/>
          <w:numId w:val="1009"/>
        </w:numPr>
      </w:pPr>
      <w:r>
        <w:t xml:space="preserve">Production: https://slidea.mismath.net</w:t>
      </w:r>
    </w:p>
    <w:p>
      <w:pPr>
        <w:pStyle w:val="Compact"/>
        <w:numPr>
          <w:ilvl w:val="0"/>
          <w:numId w:val="1009"/>
        </w:numPr>
      </w:pPr>
      <w:r>
        <w:t xml:space="preserve">Public templates: https://slidea.mismath.net/templates</w:t>
      </w:r>
    </w:p>
    <w:p>
      <w:pPr>
        <w:pStyle w:val="Compact"/>
        <w:numPr>
          <w:ilvl w:val="0"/>
          <w:numId w:val="1009"/>
        </w:numPr>
      </w:pPr>
      <w:r>
        <w:t xml:space="preserve">Self-hosted Supabase API: https://supabase.mismath.net</w:t>
      </w:r>
    </w:p>
    <w:bookmarkEnd w:id="40"/>
    <w:bookmarkStart w:id="41" w:name="ai-model-configuration-current"/>
    <w:p>
      <w:pPr>
        <w:pStyle w:val="Heading3"/>
      </w:pPr>
      <w:r>
        <w:t xml:space="preserve">12.2 AI model configuration (current)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 / grading / insights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gemini-3.6-flash</w:t>
            </w:r>
          </w:p>
        </w:tc>
        <w:tc>
          <w:tcPr/>
          <w:p>
            <w:pPr>
              <w:pStyle w:val="Compact"/>
            </w:pPr>
            <w:r>
              <w:t xml:space="preserve">Latest stable flash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reasoning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gemini-3.1-pro-preview</w:t>
            </w:r>
          </w:p>
        </w:tc>
        <w:tc>
          <w:tcPr/>
          <w:p>
            <w:pPr>
              <w:pStyle w:val="Compact"/>
            </w:pPr>
            <w:r>
              <w:t xml:space="preserve">Latest pro (preview)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embeddings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gemini-embedding-2</w:t>
            </w:r>
          </w:p>
        </w:tc>
        <w:tc>
          <w:tcPr/>
          <w:p>
            <w:pPr>
              <w:pStyle w:val="Compact"/>
            </w:pPr>
            <w:r>
              <w:t xml:space="preserve">Multimodal, 768-dim Matryoshka</w:t>
            </w:r>
          </w:p>
        </w:tc>
      </w:tr>
    </w:tbl>
    <w:bookmarkEnd w:id="41"/>
    <w:bookmarkStart w:id="42" w:name="technology-index"/>
    <w:p>
      <w:pPr>
        <w:pStyle w:val="Heading3"/>
      </w:pPr>
      <w:r>
        <w:t xml:space="preserve">12.3 Technology index</w:t>
      </w:r>
    </w:p>
    <w:p>
      <w:pPr>
        <w:pStyle w:val="FirstParagraph"/>
      </w:pPr>
      <w:r>
        <w:t xml:space="preserve">React 18 · Vite · TailwindCSS · Framer Motion · Zustand · React Router 7 · Recharts · d3-cloud · Supabase (PostgreSQL 16 + pgvector, Auth, Realtime, Storage) · Docker · nginx · Let’s Encrypt · Vercel (edge functions + CDN) · Google Gemini API · satori (OG images) · VAPID web push · Resend email · Playwright (e2e) · node:test (unit).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combines technical documentation and a financial/investment proposal. Financial projections (Section 7) are illustrative and assumption-based. Prepared July 2026.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2026-07-23T02:39:04Z</dcterms:created>
  <dcterms:modified xsi:type="dcterms:W3CDTF">2026-07-23T02:39:04Z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