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28B9D1" w14:textId="1DAE10E3" w:rsidR="00BB010A" w:rsidRPr="00414C84" w:rsidRDefault="006F75EC" w:rsidP="00B17291">
      <w:pPr>
        <w:spacing w:after="0" w:line="360" w:lineRule="auto"/>
        <w:jc w:val="center"/>
        <w:rPr>
          <w:rFonts w:ascii="Times New Roman" w:hAnsi="Times New Roman" w:cs="Times New Roman"/>
          <w:b/>
          <w:bCs/>
          <w:sz w:val="24"/>
          <w:szCs w:val="24"/>
        </w:rPr>
      </w:pPr>
      <w:r w:rsidRPr="00414C84">
        <w:rPr>
          <w:rFonts w:ascii="Times New Roman" w:hAnsi="Times New Roman" w:cs="Times New Roman"/>
          <w:b/>
          <w:bCs/>
          <w:noProof/>
          <w:sz w:val="24"/>
          <w:szCs w:val="24"/>
        </w:rPr>
        <mc:AlternateContent>
          <mc:Choice Requires="wps">
            <w:drawing>
              <wp:anchor distT="0" distB="0" distL="114300" distR="114300" simplePos="0" relativeHeight="251659264" behindDoc="0" locked="0" layoutInCell="1" allowOverlap="1" wp14:anchorId="4718C65D" wp14:editId="06EA73AF">
                <wp:simplePos x="0" y="0"/>
                <wp:positionH relativeFrom="column">
                  <wp:posOffset>5671820</wp:posOffset>
                </wp:positionH>
                <wp:positionV relativeFrom="paragraph">
                  <wp:posOffset>-452755</wp:posOffset>
                </wp:positionV>
                <wp:extent cx="161925" cy="180975"/>
                <wp:effectExtent l="0" t="0" r="28575" b="28575"/>
                <wp:wrapNone/>
                <wp:docPr id="1" name="Retângulo 1"/>
                <wp:cNvGraphicFramePr/>
                <a:graphic xmlns:a="http://schemas.openxmlformats.org/drawingml/2006/main">
                  <a:graphicData uri="http://schemas.microsoft.com/office/word/2010/wordprocessingShape">
                    <wps:wsp>
                      <wps:cNvSpPr/>
                      <wps:spPr>
                        <a:xfrm>
                          <a:off x="0" y="0"/>
                          <a:ext cx="161925" cy="180975"/>
                        </a:xfrm>
                        <a:prstGeom prst="rect">
                          <a:avLst/>
                        </a:prstGeom>
                        <a:solidFill>
                          <a:schemeClr val="lt1"/>
                        </a:solidFill>
                        <a:ln>
                          <a:solidFill>
                            <a:schemeClr val="bg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A3E976" id="Retângulo 1" o:spid="_x0000_s1026" style="position:absolute;margin-left:446.6pt;margin-top:-35.65pt;width:12.75pt;height:14.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" fillcolor="white [3201]" strokecolor="white [3212]" strokeweight="1pt"/>
            </w:pict>
          </mc:Fallback>
        </mc:AlternateContent>
      </w:r>
      <w:r w:rsidR="006965CE" w:rsidRPr="00414C84">
        <w:rPr>
          <w:rFonts w:ascii="Times New Roman" w:hAnsi="Times New Roman" w:cs="Times New Roman"/>
          <w:b/>
          <w:bCs/>
          <w:noProof/>
          <w:sz w:val="24"/>
          <w:szCs w:val="24"/>
        </w:rPr>
        <w:t>PROGRAMA NACIONAL DE PRODUÇÃO E USO DE BIODIESEL: ANÁLISE PARA OS POLOS PRODUTIVOS DE BIODIESEL</w:t>
      </w:r>
    </w:p>
    <w:p w14:paraId="39D4996C" w14:textId="2C0E8C18" w:rsidR="00951A85" w:rsidRDefault="00951A85" w:rsidP="00951A85">
      <w:pPr>
        <w:spacing w:after="0" w:line="360" w:lineRule="auto"/>
        <w:jc w:val="both"/>
        <w:rPr>
          <w:rFonts w:ascii="Times New Roman" w:hAnsi="Times New Roman" w:cs="Times New Roman"/>
          <w:sz w:val="24"/>
          <w:szCs w:val="24"/>
        </w:rPr>
      </w:pPr>
    </w:p>
    <w:p w14:paraId="45212F9D" w14:textId="1CB7C2D9" w:rsidR="00951A85" w:rsidRDefault="006965CE" w:rsidP="00B1729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Igor Ferreira de Oliveira</w:t>
      </w:r>
    </w:p>
    <w:p w14:paraId="50BAC411" w14:textId="06226392" w:rsidR="00B17291" w:rsidRPr="00B17291" w:rsidRDefault="00B17291" w:rsidP="00B17291">
      <w:pPr>
        <w:spacing w:after="0" w:line="360" w:lineRule="auto"/>
        <w:jc w:val="center"/>
        <w:rPr>
          <w:rFonts w:ascii="Times New Roman" w:hAnsi="Times New Roman" w:cs="Times New Roman"/>
          <w:sz w:val="24"/>
          <w:szCs w:val="24"/>
        </w:rPr>
      </w:pPr>
      <w:r w:rsidRPr="00B17291">
        <w:rPr>
          <w:rFonts w:ascii="Times New Roman" w:hAnsi="Times New Roman" w:cs="Times New Roman"/>
          <w:sz w:val="24"/>
          <w:szCs w:val="24"/>
        </w:rPr>
        <w:t>Programa de Pós-Graduação em Economia Aplicada, Universidade Federal de Viçosa</w:t>
      </w:r>
    </w:p>
    <w:p w14:paraId="70527FF9" w14:textId="12E58A46" w:rsidR="00B17291" w:rsidRPr="00B17291" w:rsidRDefault="00B17291" w:rsidP="00B17291">
      <w:pPr>
        <w:spacing w:after="0" w:line="360" w:lineRule="auto"/>
        <w:jc w:val="center"/>
        <w:rPr>
          <w:rFonts w:ascii="Times New Roman" w:hAnsi="Times New Roman" w:cs="Times New Roman"/>
          <w:sz w:val="24"/>
          <w:szCs w:val="24"/>
        </w:rPr>
      </w:pPr>
      <w:r w:rsidRPr="00B17291">
        <w:rPr>
          <w:rFonts w:ascii="Times New Roman" w:hAnsi="Times New Roman" w:cs="Times New Roman"/>
          <w:sz w:val="24"/>
          <w:szCs w:val="24"/>
        </w:rPr>
        <w:t>igor.f.ferreira@ufv.br</w:t>
      </w:r>
    </w:p>
    <w:p w14:paraId="5CB92ABA" w14:textId="77777777" w:rsidR="00B17291" w:rsidRDefault="00B17291" w:rsidP="00B17291">
      <w:pPr>
        <w:spacing w:after="0" w:line="360" w:lineRule="auto"/>
        <w:jc w:val="center"/>
        <w:rPr>
          <w:rFonts w:ascii="Times New Roman" w:hAnsi="Times New Roman" w:cs="Times New Roman"/>
          <w:b/>
          <w:bCs/>
          <w:sz w:val="24"/>
          <w:szCs w:val="24"/>
        </w:rPr>
      </w:pPr>
    </w:p>
    <w:p w14:paraId="7197ABA9" w14:textId="0C9C2160" w:rsidR="00951A85" w:rsidRDefault="006965CE" w:rsidP="00B17291">
      <w:pPr>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t>Wilson da Cruz Vieira</w:t>
      </w:r>
    </w:p>
    <w:p w14:paraId="2852CEE2" w14:textId="5CB5F249" w:rsidR="00B17291" w:rsidRPr="00B17291" w:rsidRDefault="00B17291" w:rsidP="00B17291">
      <w:pPr>
        <w:spacing w:after="0" w:line="360" w:lineRule="auto"/>
        <w:jc w:val="center"/>
        <w:rPr>
          <w:rFonts w:ascii="Times New Roman" w:hAnsi="Times New Roman" w:cs="Times New Roman"/>
          <w:sz w:val="24"/>
          <w:szCs w:val="24"/>
        </w:rPr>
      </w:pPr>
      <w:r w:rsidRPr="00B17291">
        <w:rPr>
          <w:rFonts w:ascii="Times New Roman" w:hAnsi="Times New Roman" w:cs="Times New Roman"/>
          <w:sz w:val="24"/>
          <w:szCs w:val="24"/>
        </w:rPr>
        <w:t>Departamento de Economia Rural, Universidade Federal de Viçosa</w:t>
      </w:r>
    </w:p>
    <w:p w14:paraId="2BF7DC6E" w14:textId="55B4A893" w:rsidR="00951A85" w:rsidRDefault="00B17291" w:rsidP="00B17291">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wvieira@ufv.br</w:t>
      </w:r>
    </w:p>
    <w:p w14:paraId="0EB4039F" w14:textId="77777777" w:rsidR="00B17291" w:rsidRDefault="00B17291" w:rsidP="00B17291">
      <w:pPr>
        <w:spacing w:after="0" w:line="360" w:lineRule="auto"/>
        <w:jc w:val="center"/>
        <w:rPr>
          <w:rFonts w:ascii="Times New Roman" w:hAnsi="Times New Roman" w:cs="Times New Roman"/>
          <w:sz w:val="24"/>
          <w:szCs w:val="24"/>
        </w:rPr>
      </w:pPr>
    </w:p>
    <w:p w14:paraId="73AD6758" w14:textId="3A6BDE16" w:rsidR="00951A85" w:rsidRDefault="0001775A" w:rsidP="00951A85">
      <w:pPr>
        <w:pStyle w:val="PargrafodaLista"/>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INTODUÇÃO</w:t>
      </w:r>
    </w:p>
    <w:p w14:paraId="0177FCFF" w14:textId="77777777" w:rsidR="0001775A" w:rsidRDefault="0001775A" w:rsidP="0001775A">
      <w:pPr>
        <w:pStyle w:val="PargrafodaLista"/>
        <w:spacing w:after="0" w:line="360" w:lineRule="auto"/>
        <w:ind w:left="360"/>
        <w:jc w:val="both"/>
        <w:rPr>
          <w:rFonts w:ascii="Times New Roman" w:hAnsi="Times New Roman" w:cs="Times New Roman"/>
          <w:b/>
          <w:bCs/>
          <w:sz w:val="24"/>
          <w:szCs w:val="24"/>
        </w:rPr>
      </w:pPr>
    </w:p>
    <w:p w14:paraId="06E07D93" w14:textId="0263C425" w:rsidR="0001775A" w:rsidRDefault="0001775A" w:rsidP="0001775A">
      <w:pPr>
        <w:pStyle w:val="PargrafodaLista"/>
        <w:numPr>
          <w:ilvl w:val="1"/>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CONSIDERAÇÕES INICIAIS</w:t>
      </w:r>
    </w:p>
    <w:p w14:paraId="48687D8F" w14:textId="40BCB11B" w:rsidR="0001775A" w:rsidRDefault="0001775A" w:rsidP="0001775A">
      <w:pPr>
        <w:spacing w:after="0" w:line="360" w:lineRule="auto"/>
        <w:ind w:left="360"/>
        <w:jc w:val="both"/>
        <w:rPr>
          <w:rFonts w:ascii="Times New Roman" w:hAnsi="Times New Roman" w:cs="Times New Roman"/>
          <w:b/>
          <w:bCs/>
          <w:sz w:val="24"/>
          <w:szCs w:val="24"/>
        </w:rPr>
      </w:pPr>
    </w:p>
    <w:p w14:paraId="1306F0FE" w14:textId="77777777" w:rsidR="0001775A" w:rsidRDefault="0001775A" w:rsidP="0001775A">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O PNPB é um programa interministerial que tem como suas principais diretrizes, implantar um programa sustentável, onde ocorra a inclusão produtiva da agricultura familiar; garantia de preços mínimos, qualidade e suprimento; e produção do biodiesel a partir de diferentes matérias-primas, fortalecendo as potencialidades regionais (MAPA, 2020; SCHAFFEL, 2012; STATTMAN e HOSPES, 2013; STATTMAN, MOL, 2014).</w:t>
      </w:r>
    </w:p>
    <w:p w14:paraId="0C580570" w14:textId="77777777" w:rsidR="0001775A" w:rsidRPr="004D5E7F" w:rsidRDefault="0001775A" w:rsidP="0001775A">
      <w:pPr>
        <w:spacing w:after="0" w:line="360" w:lineRule="auto"/>
        <w:ind w:firstLine="708"/>
        <w:jc w:val="both"/>
        <w:rPr>
          <w:rFonts w:ascii="Times New Roman" w:hAnsi="Times New Roman" w:cs="Times New Roman"/>
          <w:sz w:val="24"/>
          <w:szCs w:val="24"/>
        </w:rPr>
      </w:pPr>
      <w:r w:rsidRPr="004D5E7F">
        <w:rPr>
          <w:rFonts w:ascii="Times New Roman" w:hAnsi="Times New Roman" w:cs="Times New Roman"/>
          <w:sz w:val="24"/>
          <w:szCs w:val="24"/>
        </w:rPr>
        <w:t>No PNPB, o Selo Combustível Social corresponde a um conjunto de instrumentos para promover a inclusão social, onde os produtores de biodiesel apresentam projetos incluindo a compra de matéria-prima da agricultura familiar, ao Ministério da Agricultura, Pecuária e Abastecimento (MAPA, 2020).</w:t>
      </w:r>
    </w:p>
    <w:p w14:paraId="27D53FE7" w14:textId="77777777" w:rsidR="0001775A" w:rsidRPr="004D5E7F" w:rsidRDefault="0001775A" w:rsidP="0001775A">
      <w:pPr>
        <w:spacing w:after="0" w:line="360" w:lineRule="auto"/>
        <w:ind w:firstLine="708"/>
        <w:jc w:val="both"/>
        <w:rPr>
          <w:rFonts w:ascii="Times New Roman" w:hAnsi="Times New Roman" w:cs="Times New Roman"/>
          <w:sz w:val="24"/>
          <w:szCs w:val="24"/>
        </w:rPr>
      </w:pPr>
      <w:r w:rsidRPr="004D5E7F">
        <w:rPr>
          <w:rFonts w:ascii="Times New Roman" w:hAnsi="Times New Roman" w:cs="Times New Roman"/>
          <w:sz w:val="24"/>
          <w:szCs w:val="24"/>
        </w:rPr>
        <w:t>O biodiesel é comercializado por meio de leilões públicos organizados pela Agência Nacional de Petróleo (ANP), onde busca-se viabilizar a aquisição de biodiesel pelos compradores, que são os refinadores de biodiesel e importadores. Desta forma, pretende-se atender ao percentual mínimo obrigatório de adição de biodiesel ao óleo diesel, cujo volume deve ser entregue pelas unidades produtoras de biodiesel (ANP, 2020</w:t>
      </w:r>
      <w:r>
        <w:rPr>
          <w:rFonts w:ascii="Times New Roman" w:hAnsi="Times New Roman" w:cs="Times New Roman"/>
          <w:sz w:val="24"/>
          <w:szCs w:val="24"/>
        </w:rPr>
        <w:t>)</w:t>
      </w:r>
      <w:r w:rsidRPr="004D5E7F">
        <w:rPr>
          <w:rFonts w:ascii="Times New Roman" w:hAnsi="Times New Roman" w:cs="Times New Roman"/>
          <w:sz w:val="24"/>
          <w:szCs w:val="24"/>
        </w:rPr>
        <w:t>.</w:t>
      </w:r>
    </w:p>
    <w:p w14:paraId="3B014CD2" w14:textId="77777777" w:rsidR="0001775A" w:rsidRDefault="0001775A" w:rsidP="0001775A">
      <w:pPr>
        <w:spacing w:after="0" w:line="360" w:lineRule="auto"/>
        <w:ind w:firstLine="708"/>
        <w:jc w:val="both"/>
        <w:rPr>
          <w:rFonts w:ascii="Times New Roman" w:hAnsi="Times New Roman" w:cs="Times New Roman"/>
          <w:sz w:val="24"/>
          <w:szCs w:val="24"/>
        </w:rPr>
      </w:pPr>
      <w:r w:rsidRPr="004D5E7F">
        <w:rPr>
          <w:rFonts w:ascii="Times New Roman" w:hAnsi="Times New Roman" w:cs="Times New Roman"/>
          <w:sz w:val="24"/>
          <w:szCs w:val="24"/>
        </w:rPr>
        <w:t xml:space="preserve">Outra característica do PNPB é o método de organização das bases produtivas implantado pelo MAPA em 2006, denominado Projeto Polo do Biodiesel, que é uma das principais estratégias para promover a inclusão social dos agricultores familiares na cadeia produtiva do biodiesel, em uma perspectiva microrregional ou territorial, através da produção de oleaginosas (MAPA, 2020; PRADOY </w:t>
      </w:r>
      <w:r w:rsidRPr="004D5E7F">
        <w:rPr>
          <w:rFonts w:ascii="Times New Roman" w:hAnsi="Times New Roman" w:cs="Times New Roman"/>
          <w:i/>
          <w:iCs/>
          <w:sz w:val="24"/>
          <w:szCs w:val="24"/>
        </w:rPr>
        <w:t>et al.</w:t>
      </w:r>
      <w:r w:rsidRPr="004D5E7F">
        <w:rPr>
          <w:rFonts w:ascii="Times New Roman" w:hAnsi="Times New Roman" w:cs="Times New Roman"/>
          <w:sz w:val="24"/>
          <w:szCs w:val="24"/>
        </w:rPr>
        <w:t>, 2017).</w:t>
      </w:r>
    </w:p>
    <w:p w14:paraId="3BECEE34" w14:textId="77777777" w:rsidR="0001775A" w:rsidRDefault="0001775A" w:rsidP="0001775A">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lastRenderedPageBreak/>
        <w:t xml:space="preserve">Nesse sentido, pretende-se analisar a efetividade do PNPB para os polos produtores de biodiesel advindo de oleaginosas, verificando os efeitos deste programa sobre produtividade, renda média e salários dos municípios em questão, entre o período de 2003 a 2017, no intuito de explicar as diferenças de efetividade do programa entre as regiões brasileiras. </w:t>
      </w:r>
      <w:r w:rsidRPr="0001775A">
        <w:rPr>
          <w:rFonts w:ascii="Times New Roman" w:hAnsi="Times New Roman" w:cs="Times New Roman"/>
          <w:color w:val="FF0000"/>
          <w:sz w:val="24"/>
          <w:szCs w:val="24"/>
        </w:rPr>
        <w:t>Ressalta-se que devido a maior participação da soja em relação às demais oleaginosas, além de analisar o impacto do programa sobre os produtores de oleaginosas de forma agregada, serão feitas análises específicas por cultura produzida.</w:t>
      </w:r>
    </w:p>
    <w:p w14:paraId="7FEBC58F" w14:textId="77777777" w:rsidR="0001775A" w:rsidRPr="0001775A" w:rsidRDefault="0001775A" w:rsidP="0001775A">
      <w:pPr>
        <w:spacing w:after="0" w:line="360" w:lineRule="auto"/>
        <w:ind w:left="360"/>
        <w:jc w:val="both"/>
        <w:rPr>
          <w:rFonts w:ascii="Times New Roman" w:hAnsi="Times New Roman" w:cs="Times New Roman"/>
          <w:b/>
          <w:bCs/>
          <w:sz w:val="24"/>
          <w:szCs w:val="24"/>
        </w:rPr>
      </w:pPr>
    </w:p>
    <w:p w14:paraId="7EC90F7A" w14:textId="67D417FC" w:rsidR="0001775A" w:rsidRPr="006F75EC" w:rsidRDefault="0001775A" w:rsidP="0001775A">
      <w:pPr>
        <w:pStyle w:val="PargrafodaLista"/>
        <w:numPr>
          <w:ilvl w:val="1"/>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REVISÃO DE LITERATURA</w:t>
      </w:r>
    </w:p>
    <w:p w14:paraId="4964D2FB" w14:textId="2F436B8C" w:rsidR="00F710A2" w:rsidRDefault="00F710A2" w:rsidP="00F710A2">
      <w:pPr>
        <w:spacing w:after="0" w:line="360" w:lineRule="auto"/>
        <w:jc w:val="both"/>
        <w:rPr>
          <w:rFonts w:ascii="Times New Roman" w:hAnsi="Times New Roman" w:cs="Times New Roman"/>
          <w:sz w:val="24"/>
          <w:szCs w:val="24"/>
        </w:rPr>
      </w:pPr>
    </w:p>
    <w:p w14:paraId="5DD7161C" w14:textId="77777777" w:rsidR="004D5E7F" w:rsidRPr="00797DA5" w:rsidRDefault="004D5E7F" w:rsidP="0088568E">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De acordo com os dados apresentados no balanço do Selo Combustível Social, observa-se duas tendências a se destacar. Entre 2008 e 2011, houve um aumento considerável no número de agricultores familiares fornecendo matéria prima para as usinas de biodiesel. Um aumento de 264% nesse período, saindo de 28.656 famílias em 2008 e chegando ao total de 104.295 em 2011. Cerca de 100 mil agricultores familiares forneciam matérias primas para usinas de biodiesel em 2010, gerando uma movimentação financeira ao redor de 120 milhões de reais com impactos diretos na economia local (MAPA, 2020; MATTEI, 2010).</w:t>
      </w:r>
    </w:p>
    <w:p w14:paraId="1F781D1F" w14:textId="77777777" w:rsidR="004D5E7F" w:rsidRPr="00797DA5" w:rsidRDefault="004D5E7F" w:rsidP="004D5E7F">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Após esse período, o número de agricultores familiares cadastrados no Selo Combustível Social reduziu bastante, apresentando uma queda de 43%, no período entre 2011 e 2017, chegando a um total de 59.909 (MAPA, 2020). Uma possível causa para essa queda foi a grande seca</w:t>
      </w:r>
      <w:r w:rsidRPr="00797DA5">
        <w:rPr>
          <w:rStyle w:val="Refdenotaderodap"/>
          <w:rFonts w:ascii="Times New Roman" w:hAnsi="Times New Roman" w:cs="Times New Roman"/>
          <w:sz w:val="24"/>
          <w:szCs w:val="24"/>
        </w:rPr>
        <w:footnoteReference w:id="1"/>
      </w:r>
      <w:r w:rsidRPr="00797DA5">
        <w:rPr>
          <w:rFonts w:ascii="Times New Roman" w:hAnsi="Times New Roman" w:cs="Times New Roman"/>
          <w:sz w:val="24"/>
          <w:szCs w:val="24"/>
        </w:rPr>
        <w:t xml:space="preserve"> ocorrida no período entre 2012 e 2016, refletindo em uma redução substancial de agricultores familiares vulneráveis economicamente (IBGE, 2020).</w:t>
      </w:r>
    </w:p>
    <w:p w14:paraId="5E01E5C8" w14:textId="77777777" w:rsidR="004D5E7F" w:rsidRPr="00797DA5" w:rsidRDefault="004D5E7F" w:rsidP="004D5E7F">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Durante o período apresentado, a produção de biodiesel no Brasil saltou de 1,17 bilhões de litros em 2008 para 4,29 bilhões de litros em 2017. Em 2008, os agricultores familiares receberam 0,28 bilhões de reais referente a aquisição de oleaginosas e em 2017, esse valor chegou a 3,50 bilhões de reais (MAPA, 2020). Em 2011 haviam 56 unidades autorizadas a produzir com capacidade nominal de 6 bilhões de litros / ano. Desse total, cerca de 78% da capacidade industrial era proveniente de usinas detentoras do Selo Combustível Social (MME, 2020).</w:t>
      </w:r>
    </w:p>
    <w:p w14:paraId="2F524F62" w14:textId="39C5262F" w:rsidR="004D5E7F" w:rsidRDefault="004D5E7F" w:rsidP="004D5E7F">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 xml:space="preserve">Ressalta-se que, em 2008, a participação de agricultores familiares da região Nordeste no programa representava 59,98% do total. Em 2011, essa participação caiu para 35,69% e em 2017 chegou a 0,81%. Em contrapartida, observa-se um gradativo aumento na participação da </w:t>
      </w:r>
      <w:r w:rsidRPr="00797DA5">
        <w:rPr>
          <w:rFonts w:ascii="Times New Roman" w:hAnsi="Times New Roman" w:cs="Times New Roman"/>
          <w:sz w:val="24"/>
          <w:szCs w:val="24"/>
        </w:rPr>
        <w:lastRenderedPageBreak/>
        <w:t>região Sul no programa. Saindo de 30,59% em 2008, chegando em 58,48% em 2011 e 92,52% em 2017 (MAPA, 2020).</w:t>
      </w:r>
    </w:p>
    <w:p w14:paraId="394DDD30" w14:textId="1B6E9534" w:rsidR="00F710A2" w:rsidRPr="00F710A2" w:rsidRDefault="004D5E7F" w:rsidP="004D5E7F">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 xml:space="preserve">A contribuição desta proposta de pesquisa, em relação à literatura existente sobre o tema, está relacionada aos seguintes aspectos: i) avaliar e comparar as diferenças em termos de desempenho das demais oleaginosas além da soja, como dendê, girassol e mamona (FLORIN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xml:space="preserve">, 2013; PRADOY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xml:space="preserve">, 2017); </w:t>
      </w:r>
      <w:proofErr w:type="spellStart"/>
      <w:r w:rsidRPr="00797DA5">
        <w:rPr>
          <w:rFonts w:ascii="Times New Roman" w:hAnsi="Times New Roman" w:cs="Times New Roman"/>
          <w:sz w:val="24"/>
          <w:szCs w:val="24"/>
        </w:rPr>
        <w:t>ii</w:t>
      </w:r>
      <w:proofErr w:type="spellEnd"/>
      <w:r w:rsidRPr="00797DA5">
        <w:rPr>
          <w:rFonts w:ascii="Times New Roman" w:hAnsi="Times New Roman" w:cs="Times New Roman"/>
          <w:sz w:val="24"/>
          <w:szCs w:val="24"/>
        </w:rPr>
        <w:t xml:space="preserve">) pretende-se ampliar o período de análise explorado por </w:t>
      </w:r>
      <w:proofErr w:type="spellStart"/>
      <w:r w:rsidRPr="00797DA5">
        <w:rPr>
          <w:rFonts w:ascii="Times New Roman" w:hAnsi="Times New Roman" w:cs="Times New Roman"/>
          <w:sz w:val="24"/>
          <w:szCs w:val="24"/>
        </w:rPr>
        <w:t>Pradoy</w:t>
      </w:r>
      <w:proofErr w:type="spellEnd"/>
      <w:r w:rsidRPr="00797DA5">
        <w:rPr>
          <w:rFonts w:ascii="Times New Roman" w:hAnsi="Times New Roman" w:cs="Times New Roman"/>
          <w:sz w:val="24"/>
          <w:szCs w:val="24"/>
        </w:rPr>
        <w:t xml:space="preserve">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xml:space="preserve"> (2017), pois a partir de 2011, observam-se mudanças quanto à participação das regiões brasileiras no programa; </w:t>
      </w:r>
      <w:proofErr w:type="spellStart"/>
      <w:r w:rsidRPr="00797DA5">
        <w:rPr>
          <w:rFonts w:ascii="Times New Roman" w:hAnsi="Times New Roman" w:cs="Times New Roman"/>
          <w:sz w:val="24"/>
          <w:szCs w:val="24"/>
        </w:rPr>
        <w:t>iii</w:t>
      </w:r>
      <w:proofErr w:type="spellEnd"/>
      <w:r w:rsidRPr="00797DA5">
        <w:rPr>
          <w:rFonts w:ascii="Times New Roman" w:hAnsi="Times New Roman" w:cs="Times New Roman"/>
          <w:sz w:val="24"/>
          <w:szCs w:val="24"/>
        </w:rPr>
        <w:t xml:space="preserve">) a utilização apenas do ano de 2003, como feito em </w:t>
      </w:r>
      <w:proofErr w:type="spellStart"/>
      <w:r w:rsidRPr="00797DA5">
        <w:rPr>
          <w:rFonts w:ascii="Times New Roman" w:hAnsi="Times New Roman" w:cs="Times New Roman"/>
          <w:sz w:val="24"/>
          <w:szCs w:val="24"/>
        </w:rPr>
        <w:t>Pradoy</w:t>
      </w:r>
      <w:proofErr w:type="spellEnd"/>
      <w:r w:rsidRPr="00797DA5">
        <w:rPr>
          <w:rFonts w:ascii="Times New Roman" w:hAnsi="Times New Roman" w:cs="Times New Roman"/>
          <w:sz w:val="24"/>
          <w:szCs w:val="24"/>
        </w:rPr>
        <w:t xml:space="preserve">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xml:space="preserve"> (2017), pode não garantir a presença de tendência paralelas, que é a principal hipótese do modelo de Diferenças em Diferenças (</w:t>
      </w:r>
      <w:proofErr w:type="spellStart"/>
      <w:r w:rsidRPr="00797DA5">
        <w:rPr>
          <w:rFonts w:ascii="Times New Roman" w:hAnsi="Times New Roman" w:cs="Times New Roman"/>
          <w:i/>
          <w:iCs/>
          <w:sz w:val="24"/>
          <w:szCs w:val="24"/>
        </w:rPr>
        <w:t>diff</w:t>
      </w:r>
      <w:proofErr w:type="spellEnd"/>
      <w:r w:rsidRPr="00797DA5">
        <w:rPr>
          <w:rFonts w:ascii="Times New Roman" w:hAnsi="Times New Roman" w:cs="Times New Roman"/>
          <w:i/>
          <w:iCs/>
          <w:sz w:val="24"/>
          <w:szCs w:val="24"/>
        </w:rPr>
        <w:t>-</w:t>
      </w:r>
      <w:proofErr w:type="spellStart"/>
      <w:r w:rsidRPr="00797DA5">
        <w:rPr>
          <w:rFonts w:ascii="Times New Roman" w:hAnsi="Times New Roman" w:cs="Times New Roman"/>
          <w:i/>
          <w:iCs/>
          <w:sz w:val="24"/>
          <w:szCs w:val="24"/>
        </w:rPr>
        <w:t>in-diff</w:t>
      </w:r>
      <w:proofErr w:type="spellEnd"/>
      <w:r w:rsidRPr="00797DA5">
        <w:rPr>
          <w:rFonts w:ascii="Times New Roman" w:hAnsi="Times New Roman" w:cs="Times New Roman"/>
          <w:sz w:val="24"/>
          <w:szCs w:val="24"/>
        </w:rPr>
        <w:t xml:space="preserve">), assim, pretende-se combinar este método ao modelo de pareamento, </w:t>
      </w:r>
      <w:proofErr w:type="spellStart"/>
      <w:r w:rsidRPr="00797DA5">
        <w:rPr>
          <w:rFonts w:ascii="Times New Roman" w:hAnsi="Times New Roman" w:cs="Times New Roman"/>
          <w:i/>
          <w:iCs/>
          <w:sz w:val="24"/>
          <w:szCs w:val="24"/>
        </w:rPr>
        <w:t>Propensity</w:t>
      </w:r>
      <w:proofErr w:type="spellEnd"/>
      <w:r w:rsidRPr="00797DA5">
        <w:rPr>
          <w:rFonts w:ascii="Times New Roman" w:hAnsi="Times New Roman" w:cs="Times New Roman"/>
          <w:i/>
          <w:iCs/>
          <w:sz w:val="24"/>
          <w:szCs w:val="24"/>
        </w:rPr>
        <w:t xml:space="preserve"> Score </w:t>
      </w:r>
      <w:proofErr w:type="spellStart"/>
      <w:r w:rsidRPr="00797DA5">
        <w:rPr>
          <w:rFonts w:ascii="Times New Roman" w:hAnsi="Times New Roman" w:cs="Times New Roman"/>
          <w:i/>
          <w:iCs/>
          <w:sz w:val="24"/>
          <w:szCs w:val="24"/>
        </w:rPr>
        <w:t>Matching</w:t>
      </w:r>
      <w:proofErr w:type="spellEnd"/>
      <w:r w:rsidRPr="00797DA5">
        <w:rPr>
          <w:rFonts w:ascii="Times New Roman" w:hAnsi="Times New Roman" w:cs="Times New Roman"/>
          <w:sz w:val="24"/>
          <w:szCs w:val="24"/>
        </w:rPr>
        <w:t>, como forma de corrigir esse possível problema (GERTLER, 2018). Isto posto, este estudo pode contribuir para esclarecer as diferenças de desempenho entre os polos produtivos e, com isso, fornecer subsídios para o planejamento de políticas públicas que visem corrigir essas diferenças regionais para tornar o programa (PNPB) mais efetivo no sentido de atingir seus objetivos.</w:t>
      </w:r>
    </w:p>
    <w:p w14:paraId="1167A6AF" w14:textId="77777777" w:rsidR="00F710A2" w:rsidRDefault="00F710A2" w:rsidP="00951A85">
      <w:pPr>
        <w:pStyle w:val="PargrafodaLista"/>
        <w:spacing w:after="0" w:line="360" w:lineRule="auto"/>
        <w:jc w:val="both"/>
        <w:rPr>
          <w:rFonts w:ascii="Times New Roman" w:hAnsi="Times New Roman" w:cs="Times New Roman"/>
          <w:sz w:val="24"/>
          <w:szCs w:val="24"/>
        </w:rPr>
      </w:pPr>
    </w:p>
    <w:p w14:paraId="0C6E370A" w14:textId="4E296570" w:rsidR="00951A85" w:rsidRDefault="007B5CB5" w:rsidP="00951A85">
      <w:pPr>
        <w:pStyle w:val="PargrafodaLista"/>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PROCEDIMENTOS METODOLÓGICOS</w:t>
      </w:r>
    </w:p>
    <w:p w14:paraId="4367ACA3" w14:textId="77777777" w:rsidR="00C67300" w:rsidRDefault="00C67300" w:rsidP="00C67300">
      <w:pPr>
        <w:pStyle w:val="PargrafodaLista"/>
        <w:spacing w:after="0" w:line="360" w:lineRule="auto"/>
        <w:ind w:left="360"/>
        <w:jc w:val="both"/>
        <w:rPr>
          <w:rFonts w:ascii="Times New Roman" w:hAnsi="Times New Roman" w:cs="Times New Roman"/>
          <w:b/>
          <w:bCs/>
          <w:sz w:val="24"/>
          <w:szCs w:val="24"/>
        </w:rPr>
      </w:pPr>
    </w:p>
    <w:p w14:paraId="362103D0" w14:textId="19D3147E" w:rsidR="00C67300" w:rsidRDefault="00C67300" w:rsidP="00C67300">
      <w:pPr>
        <w:pStyle w:val="PargrafodaLista"/>
        <w:numPr>
          <w:ilvl w:val="1"/>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BASE DE DADOS</w:t>
      </w:r>
    </w:p>
    <w:p w14:paraId="7E252DAA" w14:textId="7E0B235C" w:rsidR="00C67300" w:rsidRPr="00C67300" w:rsidRDefault="00C67300" w:rsidP="00C67300">
      <w:pPr>
        <w:pStyle w:val="PargrafodaLista"/>
        <w:spacing w:after="0" w:line="360" w:lineRule="auto"/>
        <w:ind w:left="792"/>
        <w:jc w:val="both"/>
        <w:rPr>
          <w:rFonts w:ascii="Times New Roman" w:hAnsi="Times New Roman" w:cs="Times New Roman"/>
          <w:sz w:val="24"/>
          <w:szCs w:val="24"/>
        </w:rPr>
      </w:pPr>
    </w:p>
    <w:p w14:paraId="2CC9B766" w14:textId="55642A5E" w:rsidR="00C67300" w:rsidRDefault="00C67300" w:rsidP="00C6730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Devido a indisponibilidade de dados estruturados relacionados ao PNPB, exigiu-se a adoção da técnica de </w:t>
      </w:r>
      <w:r w:rsidRPr="00DE1959">
        <w:rPr>
          <w:rFonts w:ascii="Times New Roman" w:hAnsi="Times New Roman" w:cs="Times New Roman"/>
          <w:i/>
          <w:iCs/>
          <w:sz w:val="24"/>
          <w:szCs w:val="24"/>
        </w:rPr>
        <w:t xml:space="preserve">web </w:t>
      </w:r>
      <w:proofErr w:type="spellStart"/>
      <w:r w:rsidRPr="00DE1959">
        <w:rPr>
          <w:rFonts w:ascii="Times New Roman" w:hAnsi="Times New Roman" w:cs="Times New Roman"/>
          <w:i/>
          <w:iCs/>
          <w:sz w:val="24"/>
          <w:szCs w:val="24"/>
        </w:rPr>
        <w:t>scrapping</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para a coleta de dados. Os dados utilizados neste trabalho foram extraídos de pesquisas distintas, como: Produção Agrícola Municipal (PAM), disponível no site do IBGE; Relação Anual de Informações Sociais (RAIS), disponível no site do Ministério do Trabalho; informações do PRONAF coletados junto ao Banco Central do Brasil; quantidade de veículos que consome diesel no site do Departamento Nacional de Trânsito (DENATRAN). Os dados extraídos estão a nível municipal e contemplam o período entre 2003</w:t>
      </w:r>
      <w:r w:rsidR="00EC2CD7">
        <w:rPr>
          <w:rFonts w:ascii="Times New Roman" w:hAnsi="Times New Roman" w:cs="Times New Roman"/>
          <w:sz w:val="24"/>
          <w:szCs w:val="24"/>
        </w:rPr>
        <w:t xml:space="preserve"> </w:t>
      </w:r>
      <w:r>
        <w:rPr>
          <w:rFonts w:ascii="Times New Roman" w:hAnsi="Times New Roman" w:cs="Times New Roman"/>
          <w:sz w:val="24"/>
          <w:szCs w:val="24"/>
        </w:rPr>
        <w:t>e 2017.</w:t>
      </w:r>
    </w:p>
    <w:p w14:paraId="518D9128" w14:textId="77777777" w:rsidR="00C67300" w:rsidRDefault="00C67300" w:rsidP="00C673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A partir das informações obtidas, iniciou-se o processo de união dos dados, onde observou-se a necessidade da criação de uma variável chave, como descrito na tabela acima, para que a junção das bases ocorresse da melhor forma possível, evitando-se assim, a perda de informações no processo de estruturação da base de dados. Partindo das tabelas obtidas no site do IBGE, onde estas continham os códigos dos municípios, juntou-se as tabelas com </w:t>
      </w:r>
      <w:r>
        <w:rPr>
          <w:rFonts w:ascii="Times New Roman" w:hAnsi="Times New Roman" w:cs="Times New Roman"/>
          <w:sz w:val="24"/>
          <w:szCs w:val="24"/>
        </w:rPr>
        <w:lastRenderedPageBreak/>
        <w:t xml:space="preserve">informações das oleaginosas de quantidade, área e valor da produção além das informações municipais como </w:t>
      </w:r>
      <w:proofErr w:type="spellStart"/>
      <w:r>
        <w:rPr>
          <w:rFonts w:ascii="Times New Roman" w:hAnsi="Times New Roman" w:cs="Times New Roman"/>
          <w:sz w:val="24"/>
          <w:szCs w:val="24"/>
        </w:rPr>
        <w:t>pib</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pib</w:t>
      </w:r>
      <w:proofErr w:type="spellEnd"/>
      <w:r>
        <w:rPr>
          <w:rFonts w:ascii="Times New Roman" w:hAnsi="Times New Roman" w:cs="Times New Roman"/>
          <w:sz w:val="24"/>
          <w:szCs w:val="24"/>
        </w:rPr>
        <w:t xml:space="preserve"> per capta e população total estimada. </w:t>
      </w:r>
    </w:p>
    <w:p w14:paraId="3F0681D9" w14:textId="77777777" w:rsidR="00C67300" w:rsidRDefault="00C67300" w:rsidP="00C67300">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Nas tabelas da RAIS, encontrou-se dificuldade no processo de junção pois não apresentavam os códigos dos municípios, além de ter uma configuração diferente do IBGE para os nomes dos mesmos. A partir desse momento, a variável chave foi fundamental para a junção destas bases de dados. Para os dados do banco central, o trabalho foi um pouco mais cuidadoso, pois, as tabelas ao longo do tempo continham formatações diferentes, o que exigiu um cuidado maior na geração e junção. Um exemplo são as tabelas dos anos de 2008 e 2009, onde em uma coluna, apresentavam-se três variáveis, dificultando um pouco a geração. Nessas tabelas, também foi necessário a criação da variável chave, pois não continham os códigos dos municípios até o ano de 2012.</w:t>
      </w:r>
    </w:p>
    <w:p w14:paraId="77B04542" w14:textId="77777777" w:rsidR="00C67300" w:rsidRDefault="00C67300" w:rsidP="00C673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Para a </w:t>
      </w:r>
      <w:r w:rsidRPr="00EA7A43">
        <w:rPr>
          <w:rFonts w:ascii="Times New Roman" w:hAnsi="Times New Roman" w:cs="Times New Roman"/>
          <w:i/>
          <w:iCs/>
          <w:sz w:val="24"/>
          <w:szCs w:val="24"/>
        </w:rPr>
        <w:t>proxy</w:t>
      </w:r>
      <w:r>
        <w:rPr>
          <w:rFonts w:ascii="Times New Roman" w:hAnsi="Times New Roman" w:cs="Times New Roman"/>
          <w:sz w:val="24"/>
          <w:szCs w:val="24"/>
        </w:rPr>
        <w:t xml:space="preserve"> de demanda, utilizou-se as informações de frota municipal disponíveis na página do DENATRAN no site do Ministério da Infraestrutura. Utilizou-se o número de ónibus, micro ônibus e caminhões em cada município, fazendo-se necessário a criação da variável chave devido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ausência do código dos municípios.</w:t>
      </w:r>
      <w:r>
        <w:rPr>
          <w:rFonts w:ascii="Times New Roman" w:hAnsi="Times New Roman" w:cs="Times New Roman"/>
          <w:sz w:val="24"/>
          <w:szCs w:val="24"/>
        </w:rPr>
        <w:tab/>
      </w:r>
    </w:p>
    <w:p w14:paraId="405DF69A" w14:textId="77777777" w:rsidR="00C67300" w:rsidRDefault="00C67300" w:rsidP="00C67300">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Por fim, a variável polos foi obtida através de uma tabela de atributos gerada através de dados georreferenciados, utilizando as informações da cartilha do programa nacional de produção e uso de biodiesel, disponível no site do Ministério da Agricultura, Pecuária e Abastecimento. Essa é uma variável binária, onde assume o valor 1 caso o município pertença ao projeto polos de biodiesel e 0 caso contrário.</w:t>
      </w:r>
    </w:p>
    <w:p w14:paraId="6692BD86" w14:textId="77777777" w:rsidR="00C67300" w:rsidRDefault="00C67300" w:rsidP="00C67300">
      <w:pPr>
        <w:spacing w:after="0" w:line="360" w:lineRule="auto"/>
        <w:jc w:val="both"/>
        <w:rPr>
          <w:rFonts w:ascii="Times New Roman" w:hAnsi="Times New Roman" w:cs="Times New Roman"/>
          <w:sz w:val="24"/>
          <w:szCs w:val="24"/>
        </w:rPr>
      </w:pPr>
    </w:p>
    <w:p w14:paraId="402E9FA8" w14:textId="4C8E5AAB" w:rsidR="00C67300" w:rsidRDefault="00C67300" w:rsidP="00C67300">
      <w:pPr>
        <w:spacing w:after="0" w:line="360" w:lineRule="auto"/>
        <w:jc w:val="both"/>
        <w:rPr>
          <w:rFonts w:ascii="Times New Roman" w:hAnsi="Times New Roman" w:cs="Times New Roman"/>
          <w:sz w:val="24"/>
          <w:szCs w:val="24"/>
        </w:rPr>
      </w:pPr>
      <w:r w:rsidRPr="006D11E6">
        <w:rPr>
          <w:rFonts w:ascii="Times New Roman" w:hAnsi="Times New Roman" w:cs="Times New Roman"/>
          <w:b/>
          <w:bCs/>
          <w:sz w:val="24"/>
          <w:szCs w:val="24"/>
        </w:rPr>
        <w:t>Tabela1:</w:t>
      </w:r>
      <w:r>
        <w:rPr>
          <w:rFonts w:ascii="Times New Roman" w:hAnsi="Times New Roman" w:cs="Times New Roman"/>
          <w:sz w:val="24"/>
          <w:szCs w:val="24"/>
        </w:rPr>
        <w:t xml:space="preserve"> Descrição das variáveis</w:t>
      </w:r>
    </w:p>
    <w:tbl>
      <w:tblPr>
        <w:tblStyle w:val="Tabelacomgrade"/>
        <w:tblW w:w="0" w:type="auto"/>
        <w:tblBorders>
          <w:left w:val="none" w:sz="0" w:space="0" w:color="auto"/>
          <w:right w:val="none" w:sz="0" w:space="0" w:color="auto"/>
          <w:insideH w:val="dotted" w:sz="4" w:space="0" w:color="auto"/>
          <w:insideV w:val="dotted" w:sz="4" w:space="0" w:color="auto"/>
        </w:tblBorders>
        <w:tblLook w:val="04A0" w:firstRow="1" w:lastRow="0" w:firstColumn="1" w:lastColumn="0" w:noHBand="0" w:noVBand="1"/>
      </w:tblPr>
      <w:tblGrid>
        <w:gridCol w:w="1413"/>
        <w:gridCol w:w="7647"/>
      </w:tblGrid>
      <w:tr w:rsidR="00C67300" w14:paraId="110F3256" w14:textId="77777777" w:rsidTr="00B17291">
        <w:tc>
          <w:tcPr>
            <w:tcW w:w="1413" w:type="dxa"/>
            <w:tcBorders>
              <w:top w:val="single" w:sz="4" w:space="0" w:color="auto"/>
              <w:bottom w:val="double" w:sz="4" w:space="0" w:color="auto"/>
            </w:tcBorders>
          </w:tcPr>
          <w:p w14:paraId="57AFBD48" w14:textId="77777777" w:rsidR="00C67300" w:rsidRPr="006D11E6" w:rsidRDefault="00C67300" w:rsidP="00B17291">
            <w:pPr>
              <w:spacing w:line="360" w:lineRule="auto"/>
              <w:jc w:val="center"/>
              <w:rPr>
                <w:rFonts w:ascii="Times New Roman" w:hAnsi="Times New Roman" w:cs="Times New Roman"/>
                <w:b/>
                <w:bCs/>
                <w:sz w:val="20"/>
                <w:szCs w:val="20"/>
              </w:rPr>
            </w:pPr>
            <w:r w:rsidRPr="006D11E6">
              <w:rPr>
                <w:rFonts w:ascii="Times New Roman" w:hAnsi="Times New Roman" w:cs="Times New Roman"/>
                <w:b/>
                <w:bCs/>
                <w:sz w:val="20"/>
                <w:szCs w:val="20"/>
              </w:rPr>
              <w:t>Variável</w:t>
            </w:r>
          </w:p>
        </w:tc>
        <w:tc>
          <w:tcPr>
            <w:tcW w:w="7647" w:type="dxa"/>
            <w:tcBorders>
              <w:top w:val="single" w:sz="4" w:space="0" w:color="auto"/>
              <w:bottom w:val="double" w:sz="4" w:space="0" w:color="auto"/>
            </w:tcBorders>
          </w:tcPr>
          <w:p w14:paraId="0BFD576A" w14:textId="77777777" w:rsidR="00C67300" w:rsidRPr="006D11E6" w:rsidRDefault="00C67300" w:rsidP="00B17291">
            <w:pPr>
              <w:spacing w:line="360" w:lineRule="auto"/>
              <w:jc w:val="center"/>
              <w:rPr>
                <w:rFonts w:ascii="Times New Roman" w:hAnsi="Times New Roman" w:cs="Times New Roman"/>
                <w:b/>
                <w:bCs/>
                <w:sz w:val="20"/>
                <w:szCs w:val="20"/>
              </w:rPr>
            </w:pPr>
            <w:r w:rsidRPr="006D11E6">
              <w:rPr>
                <w:rFonts w:ascii="Times New Roman" w:hAnsi="Times New Roman" w:cs="Times New Roman"/>
                <w:b/>
                <w:bCs/>
                <w:sz w:val="20"/>
                <w:szCs w:val="20"/>
              </w:rPr>
              <w:t>Descrição</w:t>
            </w:r>
          </w:p>
        </w:tc>
      </w:tr>
      <w:tr w:rsidR="00C67300" w14:paraId="74CFB42B" w14:textId="77777777" w:rsidTr="00B17291">
        <w:tc>
          <w:tcPr>
            <w:tcW w:w="1413" w:type="dxa"/>
            <w:tcBorders>
              <w:top w:val="double" w:sz="4" w:space="0" w:color="auto"/>
            </w:tcBorders>
          </w:tcPr>
          <w:p w14:paraId="0F0AC2E5" w14:textId="76EFFA28" w:rsidR="00C67300" w:rsidRPr="006D11E6" w:rsidRDefault="00EC2CD7"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a</w:t>
            </w:r>
            <w:r w:rsidR="00C67300" w:rsidRPr="006D11E6">
              <w:rPr>
                <w:rFonts w:ascii="Times New Roman" w:hAnsi="Times New Roman" w:cs="Times New Roman"/>
                <w:sz w:val="20"/>
                <w:szCs w:val="20"/>
              </w:rPr>
              <w:t>no</w:t>
            </w:r>
          </w:p>
        </w:tc>
        <w:tc>
          <w:tcPr>
            <w:tcW w:w="7647" w:type="dxa"/>
            <w:tcBorders>
              <w:top w:val="double" w:sz="4" w:space="0" w:color="auto"/>
            </w:tcBorders>
          </w:tcPr>
          <w:p w14:paraId="2AE380C4" w14:textId="77777777" w:rsidR="00C67300" w:rsidRPr="006D11E6" w:rsidRDefault="00C67300" w:rsidP="00B17291">
            <w:pPr>
              <w:spacing w:line="360" w:lineRule="auto"/>
              <w:jc w:val="both"/>
              <w:rPr>
                <w:rFonts w:ascii="Times New Roman" w:hAnsi="Times New Roman" w:cs="Times New Roman"/>
                <w:sz w:val="20"/>
                <w:szCs w:val="20"/>
              </w:rPr>
            </w:pPr>
            <w:r w:rsidRPr="006D11E6">
              <w:rPr>
                <w:rFonts w:ascii="Times New Roman" w:hAnsi="Times New Roman" w:cs="Times New Roman"/>
                <w:sz w:val="20"/>
                <w:szCs w:val="20"/>
              </w:rPr>
              <w:t>-</w:t>
            </w:r>
          </w:p>
        </w:tc>
      </w:tr>
      <w:tr w:rsidR="00C67300" w14:paraId="187FF382" w14:textId="77777777" w:rsidTr="00B17291">
        <w:tc>
          <w:tcPr>
            <w:tcW w:w="1413" w:type="dxa"/>
          </w:tcPr>
          <w:p w14:paraId="5F3FD513" w14:textId="77777777" w:rsidR="00C67300" w:rsidRPr="006D11E6" w:rsidRDefault="00C67300" w:rsidP="00B17291">
            <w:pPr>
              <w:spacing w:line="360" w:lineRule="auto"/>
              <w:jc w:val="both"/>
              <w:rPr>
                <w:rFonts w:ascii="Times New Roman" w:hAnsi="Times New Roman" w:cs="Times New Roman"/>
                <w:sz w:val="20"/>
                <w:szCs w:val="20"/>
              </w:rPr>
            </w:pPr>
            <w:proofErr w:type="spellStart"/>
            <w:r w:rsidRPr="006D11E6">
              <w:rPr>
                <w:rFonts w:ascii="Times New Roman" w:hAnsi="Times New Roman" w:cs="Times New Roman"/>
                <w:sz w:val="20"/>
                <w:szCs w:val="20"/>
              </w:rPr>
              <w:t>semiarido</w:t>
            </w:r>
            <w:proofErr w:type="spellEnd"/>
          </w:p>
        </w:tc>
        <w:tc>
          <w:tcPr>
            <w:tcW w:w="7647" w:type="dxa"/>
          </w:tcPr>
          <w:p w14:paraId="2EDE12B2" w14:textId="77777777" w:rsidR="00C67300" w:rsidRPr="006D11E6" w:rsidRDefault="00C67300" w:rsidP="00B17291">
            <w:pPr>
              <w:spacing w:line="360" w:lineRule="auto"/>
              <w:jc w:val="both"/>
              <w:rPr>
                <w:rFonts w:ascii="Times New Roman" w:hAnsi="Times New Roman" w:cs="Times New Roman"/>
                <w:sz w:val="20"/>
                <w:szCs w:val="20"/>
              </w:rPr>
            </w:pPr>
            <w:r w:rsidRPr="006D11E6">
              <w:rPr>
                <w:rFonts w:ascii="Times New Roman" w:hAnsi="Times New Roman" w:cs="Times New Roman"/>
                <w:sz w:val="20"/>
                <w:szCs w:val="20"/>
              </w:rPr>
              <w:t xml:space="preserve">variável </w:t>
            </w:r>
            <w:proofErr w:type="spellStart"/>
            <w:r w:rsidRPr="006D11E6">
              <w:rPr>
                <w:rFonts w:ascii="Times New Roman" w:hAnsi="Times New Roman" w:cs="Times New Roman"/>
                <w:sz w:val="20"/>
                <w:szCs w:val="20"/>
              </w:rPr>
              <w:t>dummy</w:t>
            </w:r>
            <w:proofErr w:type="spellEnd"/>
            <w:r w:rsidRPr="006D11E6">
              <w:rPr>
                <w:rFonts w:ascii="Times New Roman" w:hAnsi="Times New Roman" w:cs="Times New Roman"/>
                <w:sz w:val="20"/>
                <w:szCs w:val="20"/>
              </w:rPr>
              <w:t xml:space="preserve"> que assume o valor 1 quando o município pertence ao semiárido e 0 caso o contrário.</w:t>
            </w:r>
          </w:p>
        </w:tc>
      </w:tr>
      <w:tr w:rsidR="00C67300" w14:paraId="078817CD" w14:textId="77777777" w:rsidTr="00B17291">
        <w:tc>
          <w:tcPr>
            <w:tcW w:w="1413" w:type="dxa"/>
          </w:tcPr>
          <w:p w14:paraId="7FAD8895" w14:textId="70760140" w:rsidR="00C67300" w:rsidRPr="006D11E6" w:rsidRDefault="00EC2CD7"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p</w:t>
            </w:r>
            <w:r w:rsidR="00C67300" w:rsidRPr="006D11E6">
              <w:rPr>
                <w:rFonts w:ascii="Times New Roman" w:hAnsi="Times New Roman" w:cs="Times New Roman"/>
                <w:sz w:val="20"/>
                <w:szCs w:val="20"/>
              </w:rPr>
              <w:t>olos</w:t>
            </w:r>
          </w:p>
        </w:tc>
        <w:tc>
          <w:tcPr>
            <w:tcW w:w="7647" w:type="dxa"/>
          </w:tcPr>
          <w:p w14:paraId="3F5DAB79" w14:textId="77777777" w:rsidR="00C67300" w:rsidRPr="006D11E6" w:rsidRDefault="00C67300" w:rsidP="00B17291">
            <w:pPr>
              <w:spacing w:line="360" w:lineRule="auto"/>
              <w:jc w:val="both"/>
              <w:rPr>
                <w:rFonts w:ascii="Times New Roman" w:hAnsi="Times New Roman" w:cs="Times New Roman"/>
                <w:sz w:val="20"/>
                <w:szCs w:val="20"/>
              </w:rPr>
            </w:pPr>
            <w:r w:rsidRPr="006D11E6">
              <w:rPr>
                <w:rFonts w:ascii="Times New Roman" w:hAnsi="Times New Roman" w:cs="Times New Roman"/>
                <w:sz w:val="20"/>
                <w:szCs w:val="20"/>
              </w:rPr>
              <w:t xml:space="preserve">variável </w:t>
            </w:r>
            <w:proofErr w:type="spellStart"/>
            <w:r w:rsidRPr="006D11E6">
              <w:rPr>
                <w:rFonts w:ascii="Times New Roman" w:hAnsi="Times New Roman" w:cs="Times New Roman"/>
                <w:sz w:val="20"/>
                <w:szCs w:val="20"/>
              </w:rPr>
              <w:t>dummy</w:t>
            </w:r>
            <w:proofErr w:type="spellEnd"/>
            <w:r w:rsidRPr="006D11E6">
              <w:rPr>
                <w:rFonts w:ascii="Times New Roman" w:hAnsi="Times New Roman" w:cs="Times New Roman"/>
                <w:sz w:val="20"/>
                <w:szCs w:val="20"/>
              </w:rPr>
              <w:t xml:space="preserve"> que assume o valor 1 quando o município faz parte do projeto polos de </w:t>
            </w:r>
            <w:proofErr w:type="spellStart"/>
            <w:r w:rsidRPr="006D11E6">
              <w:rPr>
                <w:rFonts w:ascii="Times New Roman" w:hAnsi="Times New Roman" w:cs="Times New Roman"/>
                <w:sz w:val="20"/>
                <w:szCs w:val="20"/>
              </w:rPr>
              <w:t>de</w:t>
            </w:r>
            <w:proofErr w:type="spellEnd"/>
            <w:r w:rsidRPr="006D11E6">
              <w:rPr>
                <w:rFonts w:ascii="Times New Roman" w:hAnsi="Times New Roman" w:cs="Times New Roman"/>
                <w:sz w:val="20"/>
                <w:szCs w:val="20"/>
              </w:rPr>
              <w:t xml:space="preserve"> biodiesel e 0 caso o contrário.</w:t>
            </w:r>
          </w:p>
        </w:tc>
      </w:tr>
      <w:tr w:rsidR="00C67300" w14:paraId="72FC9979" w14:textId="77777777" w:rsidTr="00B17291">
        <w:tc>
          <w:tcPr>
            <w:tcW w:w="1413" w:type="dxa"/>
          </w:tcPr>
          <w:p w14:paraId="0B05DAF5" w14:textId="4C1DAF95" w:rsidR="00C67300" w:rsidRPr="006D11E6" w:rsidRDefault="00EC2CD7"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u</w:t>
            </w:r>
            <w:r w:rsidR="00C67300" w:rsidRPr="006D11E6">
              <w:rPr>
                <w:rFonts w:ascii="Times New Roman" w:hAnsi="Times New Roman" w:cs="Times New Roman"/>
                <w:sz w:val="20"/>
                <w:szCs w:val="20"/>
              </w:rPr>
              <w:t>f</w:t>
            </w:r>
          </w:p>
        </w:tc>
        <w:tc>
          <w:tcPr>
            <w:tcW w:w="7647" w:type="dxa"/>
          </w:tcPr>
          <w:p w14:paraId="7AADA76A" w14:textId="77777777" w:rsidR="00C67300" w:rsidRPr="006D11E6" w:rsidRDefault="00C67300" w:rsidP="00B17291">
            <w:pPr>
              <w:spacing w:line="360" w:lineRule="auto"/>
              <w:jc w:val="both"/>
              <w:rPr>
                <w:rFonts w:ascii="Times New Roman" w:hAnsi="Times New Roman" w:cs="Times New Roman"/>
                <w:sz w:val="20"/>
                <w:szCs w:val="20"/>
              </w:rPr>
            </w:pPr>
            <w:r w:rsidRPr="006D11E6">
              <w:rPr>
                <w:rFonts w:ascii="Times New Roman" w:hAnsi="Times New Roman" w:cs="Times New Roman"/>
                <w:sz w:val="20"/>
                <w:szCs w:val="20"/>
              </w:rPr>
              <w:t xml:space="preserve">unidade da federação </w:t>
            </w:r>
          </w:p>
        </w:tc>
      </w:tr>
      <w:tr w:rsidR="00C67300" w14:paraId="3EA43FDC" w14:textId="77777777" w:rsidTr="00B17291">
        <w:tc>
          <w:tcPr>
            <w:tcW w:w="1413" w:type="dxa"/>
          </w:tcPr>
          <w:p w14:paraId="5F989C7C" w14:textId="77777777" w:rsidR="00C67300" w:rsidRPr="006D11E6" w:rsidRDefault="00C67300" w:rsidP="00B17291">
            <w:pPr>
              <w:spacing w:line="360" w:lineRule="auto"/>
              <w:jc w:val="both"/>
              <w:rPr>
                <w:rFonts w:ascii="Times New Roman" w:hAnsi="Times New Roman" w:cs="Times New Roman"/>
                <w:sz w:val="20"/>
                <w:szCs w:val="20"/>
              </w:rPr>
            </w:pPr>
            <w:r w:rsidRPr="006D11E6">
              <w:rPr>
                <w:rFonts w:ascii="Times New Roman" w:hAnsi="Times New Roman" w:cs="Times New Roman"/>
                <w:sz w:val="20"/>
                <w:szCs w:val="20"/>
              </w:rPr>
              <w:t>chave</w:t>
            </w:r>
          </w:p>
        </w:tc>
        <w:tc>
          <w:tcPr>
            <w:tcW w:w="7647" w:type="dxa"/>
          </w:tcPr>
          <w:p w14:paraId="7CB81FAE" w14:textId="77777777" w:rsidR="00C67300" w:rsidRPr="006D11E6" w:rsidRDefault="00C67300" w:rsidP="00B17291">
            <w:pPr>
              <w:spacing w:line="360" w:lineRule="auto"/>
              <w:jc w:val="both"/>
              <w:rPr>
                <w:rFonts w:ascii="Times New Roman" w:hAnsi="Times New Roman" w:cs="Times New Roman"/>
                <w:sz w:val="20"/>
                <w:szCs w:val="20"/>
              </w:rPr>
            </w:pPr>
            <w:r w:rsidRPr="006D11E6">
              <w:rPr>
                <w:rFonts w:ascii="Times New Roman" w:hAnsi="Times New Roman" w:cs="Times New Roman"/>
                <w:sz w:val="20"/>
                <w:szCs w:val="20"/>
              </w:rPr>
              <w:t>variável chave (nome município + uf)</w:t>
            </w:r>
          </w:p>
        </w:tc>
      </w:tr>
      <w:tr w:rsidR="00C67300" w14:paraId="2016426C" w14:textId="77777777" w:rsidTr="00B17291">
        <w:tc>
          <w:tcPr>
            <w:tcW w:w="1413" w:type="dxa"/>
          </w:tcPr>
          <w:p w14:paraId="3E32B942" w14:textId="77777777" w:rsidR="00C67300" w:rsidRPr="006D11E6" w:rsidRDefault="00C67300" w:rsidP="00B17291">
            <w:pPr>
              <w:spacing w:line="360" w:lineRule="auto"/>
              <w:jc w:val="both"/>
              <w:rPr>
                <w:rFonts w:ascii="Times New Roman" w:hAnsi="Times New Roman" w:cs="Times New Roman"/>
                <w:sz w:val="20"/>
                <w:szCs w:val="20"/>
              </w:rPr>
            </w:pPr>
            <w:proofErr w:type="spellStart"/>
            <w:proofErr w:type="gramStart"/>
            <w:r w:rsidRPr="006D11E6">
              <w:rPr>
                <w:rFonts w:ascii="Times New Roman" w:hAnsi="Times New Roman" w:cs="Times New Roman"/>
                <w:sz w:val="20"/>
                <w:szCs w:val="20"/>
              </w:rPr>
              <w:t>q.soja</w:t>
            </w:r>
            <w:proofErr w:type="spellEnd"/>
            <w:proofErr w:type="gramEnd"/>
          </w:p>
        </w:tc>
        <w:tc>
          <w:tcPr>
            <w:tcW w:w="7647" w:type="dxa"/>
          </w:tcPr>
          <w:p w14:paraId="3AF9E6C1" w14:textId="77777777" w:rsidR="00C67300" w:rsidRPr="006D11E6" w:rsidRDefault="00C67300"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quantidade produzida em toneladas de Soja (em grão)</w:t>
            </w:r>
          </w:p>
        </w:tc>
      </w:tr>
      <w:tr w:rsidR="00C67300" w14:paraId="068E2FEC" w14:textId="77777777" w:rsidTr="00B17291">
        <w:tc>
          <w:tcPr>
            <w:tcW w:w="1413" w:type="dxa"/>
          </w:tcPr>
          <w:p w14:paraId="10FEE794" w14:textId="77777777" w:rsidR="00C67300" w:rsidRPr="006D11E6" w:rsidRDefault="00C67300" w:rsidP="00B17291">
            <w:pPr>
              <w:spacing w:line="360" w:lineRule="auto"/>
              <w:jc w:val="both"/>
              <w:rPr>
                <w:rFonts w:ascii="Times New Roman" w:hAnsi="Times New Roman" w:cs="Times New Roman"/>
                <w:sz w:val="20"/>
                <w:szCs w:val="20"/>
              </w:rPr>
            </w:pPr>
            <w:proofErr w:type="spellStart"/>
            <w:proofErr w:type="gramStart"/>
            <w:r w:rsidRPr="006D11E6">
              <w:rPr>
                <w:rFonts w:ascii="Times New Roman" w:hAnsi="Times New Roman" w:cs="Times New Roman"/>
                <w:sz w:val="20"/>
                <w:szCs w:val="20"/>
              </w:rPr>
              <w:t>h.soja</w:t>
            </w:r>
            <w:proofErr w:type="spellEnd"/>
            <w:proofErr w:type="gramEnd"/>
          </w:p>
        </w:tc>
        <w:tc>
          <w:tcPr>
            <w:tcW w:w="7647" w:type="dxa"/>
          </w:tcPr>
          <w:p w14:paraId="1E06D10A" w14:textId="77777777" w:rsidR="00C67300" w:rsidRPr="006D11E6" w:rsidRDefault="00C67300"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área plantada ou destinada à colheita em hectares de Soja (em grão)</w:t>
            </w:r>
          </w:p>
        </w:tc>
      </w:tr>
      <w:tr w:rsidR="00C67300" w14:paraId="7F03D6ED" w14:textId="77777777" w:rsidTr="00B17291">
        <w:tc>
          <w:tcPr>
            <w:tcW w:w="1413" w:type="dxa"/>
          </w:tcPr>
          <w:p w14:paraId="17D1288F" w14:textId="77777777" w:rsidR="00C67300" w:rsidRPr="006D11E6" w:rsidRDefault="00C67300" w:rsidP="00B17291">
            <w:pPr>
              <w:spacing w:line="360" w:lineRule="auto"/>
              <w:jc w:val="both"/>
              <w:rPr>
                <w:rFonts w:ascii="Times New Roman" w:hAnsi="Times New Roman" w:cs="Times New Roman"/>
                <w:sz w:val="20"/>
                <w:szCs w:val="20"/>
              </w:rPr>
            </w:pPr>
            <w:proofErr w:type="spellStart"/>
            <w:r w:rsidRPr="006D11E6">
              <w:rPr>
                <w:rFonts w:ascii="Times New Roman" w:hAnsi="Times New Roman" w:cs="Times New Roman"/>
                <w:sz w:val="20"/>
                <w:szCs w:val="20"/>
              </w:rPr>
              <w:t>v.soja</w:t>
            </w:r>
            <w:proofErr w:type="spellEnd"/>
          </w:p>
        </w:tc>
        <w:tc>
          <w:tcPr>
            <w:tcW w:w="7647" w:type="dxa"/>
          </w:tcPr>
          <w:p w14:paraId="4E0DB5CA" w14:textId="77777777" w:rsidR="00C67300" w:rsidRPr="006D11E6" w:rsidRDefault="00C67300"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valor da produção em mil reais de Soja (em grão)</w:t>
            </w:r>
          </w:p>
        </w:tc>
      </w:tr>
      <w:tr w:rsidR="00C67300" w14:paraId="3A770B50" w14:textId="77777777" w:rsidTr="00B17291">
        <w:tc>
          <w:tcPr>
            <w:tcW w:w="1413" w:type="dxa"/>
          </w:tcPr>
          <w:p w14:paraId="51594C6A" w14:textId="77777777" w:rsidR="00C67300" w:rsidRPr="006D11E6" w:rsidRDefault="00C67300" w:rsidP="00B17291">
            <w:pPr>
              <w:spacing w:line="360" w:lineRule="auto"/>
              <w:jc w:val="both"/>
              <w:rPr>
                <w:rFonts w:ascii="Times New Roman" w:hAnsi="Times New Roman" w:cs="Times New Roman"/>
                <w:sz w:val="20"/>
                <w:szCs w:val="20"/>
              </w:rPr>
            </w:pPr>
            <w:proofErr w:type="spellStart"/>
            <w:proofErr w:type="gramStart"/>
            <w:r w:rsidRPr="006D11E6">
              <w:rPr>
                <w:rFonts w:ascii="Times New Roman" w:hAnsi="Times New Roman" w:cs="Times New Roman"/>
                <w:sz w:val="20"/>
                <w:szCs w:val="20"/>
              </w:rPr>
              <w:t>s.soja</w:t>
            </w:r>
            <w:proofErr w:type="spellEnd"/>
            <w:proofErr w:type="gramEnd"/>
          </w:p>
        </w:tc>
        <w:tc>
          <w:tcPr>
            <w:tcW w:w="7647" w:type="dxa"/>
          </w:tcPr>
          <w:p w14:paraId="69D56455" w14:textId="77777777" w:rsidR="00C67300" w:rsidRPr="006D11E6" w:rsidRDefault="00C67300"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remuneração média nominal do trabalhador e produtor da cultura de soja</w:t>
            </w:r>
          </w:p>
        </w:tc>
      </w:tr>
      <w:tr w:rsidR="00C67300" w14:paraId="1233D967" w14:textId="77777777" w:rsidTr="00B17291">
        <w:tc>
          <w:tcPr>
            <w:tcW w:w="1413" w:type="dxa"/>
          </w:tcPr>
          <w:p w14:paraId="03F9CE43" w14:textId="77777777" w:rsidR="00C67300" w:rsidRPr="006D11E6" w:rsidRDefault="00C67300" w:rsidP="00B172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d.bio</w:t>
            </w:r>
            <w:proofErr w:type="spellEnd"/>
          </w:p>
        </w:tc>
        <w:tc>
          <w:tcPr>
            <w:tcW w:w="7647" w:type="dxa"/>
          </w:tcPr>
          <w:p w14:paraId="216A9DC9" w14:textId="77777777" w:rsidR="00C67300" w:rsidRDefault="00C67300"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número de caminhões e ônibus por município</w:t>
            </w:r>
          </w:p>
        </w:tc>
      </w:tr>
      <w:tr w:rsidR="00C67300" w14:paraId="35FFF767" w14:textId="77777777" w:rsidTr="00B17291">
        <w:tc>
          <w:tcPr>
            <w:tcW w:w="1413" w:type="dxa"/>
          </w:tcPr>
          <w:p w14:paraId="6A27EC6D" w14:textId="77777777" w:rsidR="00C67300" w:rsidRPr="006D11E6" w:rsidRDefault="00C67300" w:rsidP="00B17291">
            <w:pPr>
              <w:spacing w:line="360" w:lineRule="auto"/>
              <w:jc w:val="both"/>
              <w:rPr>
                <w:rFonts w:ascii="Times New Roman" w:hAnsi="Times New Roman" w:cs="Times New Roman"/>
                <w:sz w:val="20"/>
                <w:szCs w:val="20"/>
              </w:rPr>
            </w:pPr>
            <w:proofErr w:type="spellStart"/>
            <w:proofErr w:type="gramStart"/>
            <w:r w:rsidRPr="006D11E6">
              <w:rPr>
                <w:rFonts w:ascii="Times New Roman" w:hAnsi="Times New Roman" w:cs="Times New Roman"/>
                <w:sz w:val="20"/>
                <w:szCs w:val="20"/>
              </w:rPr>
              <w:lastRenderedPageBreak/>
              <w:t>total.contratos</w:t>
            </w:r>
            <w:proofErr w:type="spellEnd"/>
            <w:proofErr w:type="gramEnd"/>
          </w:p>
        </w:tc>
        <w:tc>
          <w:tcPr>
            <w:tcW w:w="7647" w:type="dxa"/>
          </w:tcPr>
          <w:p w14:paraId="18A611A7" w14:textId="77777777" w:rsidR="00C67300" w:rsidRPr="006D11E6" w:rsidRDefault="00C67300"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número de contratos de financiamentos concedidos a produtores e cooperativas com finalidade de custeio, investimento e comercialização</w:t>
            </w:r>
          </w:p>
        </w:tc>
      </w:tr>
      <w:tr w:rsidR="00C67300" w14:paraId="5BF0A352" w14:textId="77777777" w:rsidTr="00B17291">
        <w:tc>
          <w:tcPr>
            <w:tcW w:w="1413" w:type="dxa"/>
          </w:tcPr>
          <w:p w14:paraId="37C30C0D" w14:textId="77777777" w:rsidR="00C67300" w:rsidRPr="006D11E6" w:rsidRDefault="00C67300" w:rsidP="00B17291">
            <w:pPr>
              <w:spacing w:line="360" w:lineRule="auto"/>
              <w:jc w:val="both"/>
              <w:rPr>
                <w:rFonts w:ascii="Times New Roman" w:hAnsi="Times New Roman" w:cs="Times New Roman"/>
                <w:sz w:val="20"/>
                <w:szCs w:val="20"/>
              </w:rPr>
            </w:pPr>
            <w:proofErr w:type="spellStart"/>
            <w:proofErr w:type="gramStart"/>
            <w:r w:rsidRPr="006D11E6">
              <w:rPr>
                <w:rFonts w:ascii="Times New Roman" w:hAnsi="Times New Roman" w:cs="Times New Roman"/>
                <w:sz w:val="20"/>
                <w:szCs w:val="20"/>
              </w:rPr>
              <w:t>valores.totais</w:t>
            </w:r>
            <w:proofErr w:type="spellEnd"/>
            <w:proofErr w:type="gramEnd"/>
          </w:p>
        </w:tc>
        <w:tc>
          <w:tcPr>
            <w:tcW w:w="7647" w:type="dxa"/>
          </w:tcPr>
          <w:p w14:paraId="50B21C33" w14:textId="77777777" w:rsidR="00C67300" w:rsidRPr="006D11E6" w:rsidRDefault="00C67300"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valores dos contratos de financiamentos concedidos a produtores e cooperativas com finalidade de custeio, investimento e comercialização</w:t>
            </w:r>
          </w:p>
        </w:tc>
      </w:tr>
      <w:tr w:rsidR="00C67300" w14:paraId="446E8C60" w14:textId="77777777" w:rsidTr="00B17291">
        <w:tc>
          <w:tcPr>
            <w:tcW w:w="1413" w:type="dxa"/>
          </w:tcPr>
          <w:p w14:paraId="39B675FA" w14:textId="59F131D2" w:rsidR="00C67300" w:rsidRPr="006D11E6" w:rsidRDefault="00EC2CD7"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t</w:t>
            </w:r>
          </w:p>
        </w:tc>
        <w:tc>
          <w:tcPr>
            <w:tcW w:w="7647" w:type="dxa"/>
          </w:tcPr>
          <w:p w14:paraId="27D8D4F5" w14:textId="77777777" w:rsidR="00C67300" w:rsidRPr="006D11E6" w:rsidRDefault="00C67300"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arrecadação municipal</w:t>
            </w:r>
          </w:p>
        </w:tc>
      </w:tr>
      <w:tr w:rsidR="00C67300" w:rsidRPr="006D11E6" w14:paraId="69F77CE7" w14:textId="77777777" w:rsidTr="00B17291">
        <w:tc>
          <w:tcPr>
            <w:tcW w:w="1413" w:type="dxa"/>
          </w:tcPr>
          <w:p w14:paraId="600C22C1" w14:textId="57C90225" w:rsidR="00C67300" w:rsidRPr="006D11E6" w:rsidRDefault="00EC2CD7" w:rsidP="00B172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p</w:t>
            </w:r>
            <w:r w:rsidR="00C67300" w:rsidRPr="006D11E6">
              <w:rPr>
                <w:rFonts w:ascii="Times New Roman" w:hAnsi="Times New Roman" w:cs="Times New Roman"/>
                <w:sz w:val="20"/>
                <w:szCs w:val="20"/>
              </w:rPr>
              <w:t>ib</w:t>
            </w:r>
            <w:proofErr w:type="spellEnd"/>
          </w:p>
        </w:tc>
        <w:tc>
          <w:tcPr>
            <w:tcW w:w="7647" w:type="dxa"/>
          </w:tcPr>
          <w:p w14:paraId="4C9E24D2" w14:textId="77777777" w:rsidR="00C67300" w:rsidRPr="006D11E6" w:rsidRDefault="00C67300" w:rsidP="00B172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pib</w:t>
            </w:r>
            <w:proofErr w:type="spellEnd"/>
            <w:r>
              <w:rPr>
                <w:rFonts w:ascii="Times New Roman" w:hAnsi="Times New Roman" w:cs="Times New Roman"/>
                <w:sz w:val="20"/>
                <w:szCs w:val="20"/>
              </w:rPr>
              <w:t xml:space="preserve"> municipal</w:t>
            </w:r>
          </w:p>
        </w:tc>
      </w:tr>
      <w:tr w:rsidR="00C67300" w14:paraId="539E3FE3" w14:textId="77777777" w:rsidTr="00B17291">
        <w:tc>
          <w:tcPr>
            <w:tcW w:w="1413" w:type="dxa"/>
          </w:tcPr>
          <w:p w14:paraId="567FAA58" w14:textId="77777777" w:rsidR="00C67300" w:rsidRPr="006D11E6" w:rsidRDefault="00C67300" w:rsidP="00B17291">
            <w:pPr>
              <w:spacing w:line="360" w:lineRule="auto"/>
              <w:jc w:val="both"/>
              <w:rPr>
                <w:rFonts w:ascii="Times New Roman" w:hAnsi="Times New Roman" w:cs="Times New Roman"/>
                <w:sz w:val="20"/>
                <w:szCs w:val="20"/>
              </w:rPr>
            </w:pPr>
            <w:proofErr w:type="spellStart"/>
            <w:proofErr w:type="gramStart"/>
            <w:r w:rsidRPr="006D11E6">
              <w:rPr>
                <w:rFonts w:ascii="Times New Roman" w:hAnsi="Times New Roman" w:cs="Times New Roman"/>
                <w:sz w:val="20"/>
                <w:szCs w:val="20"/>
              </w:rPr>
              <w:t>pib.per.capta</w:t>
            </w:r>
            <w:proofErr w:type="spellEnd"/>
            <w:proofErr w:type="gramEnd"/>
          </w:p>
        </w:tc>
        <w:tc>
          <w:tcPr>
            <w:tcW w:w="7647" w:type="dxa"/>
          </w:tcPr>
          <w:p w14:paraId="7AB6D88B" w14:textId="77777777" w:rsidR="00C67300" w:rsidRPr="006D11E6" w:rsidRDefault="00C67300" w:rsidP="00B17291">
            <w:pPr>
              <w:spacing w:line="360" w:lineRule="auto"/>
              <w:jc w:val="both"/>
              <w:rPr>
                <w:rFonts w:ascii="Times New Roman" w:hAnsi="Times New Roman" w:cs="Times New Roman"/>
                <w:sz w:val="20"/>
                <w:szCs w:val="20"/>
              </w:rPr>
            </w:pPr>
            <w:proofErr w:type="spellStart"/>
            <w:r>
              <w:rPr>
                <w:rFonts w:ascii="Times New Roman" w:hAnsi="Times New Roman" w:cs="Times New Roman"/>
                <w:sz w:val="20"/>
                <w:szCs w:val="20"/>
              </w:rPr>
              <w:t>pib</w:t>
            </w:r>
            <w:proofErr w:type="spellEnd"/>
            <w:r>
              <w:rPr>
                <w:rFonts w:ascii="Times New Roman" w:hAnsi="Times New Roman" w:cs="Times New Roman"/>
                <w:sz w:val="20"/>
                <w:szCs w:val="20"/>
              </w:rPr>
              <w:t xml:space="preserve"> per capta municipal</w:t>
            </w:r>
          </w:p>
        </w:tc>
      </w:tr>
      <w:tr w:rsidR="00C67300" w14:paraId="0BC00094" w14:textId="77777777" w:rsidTr="00B17291">
        <w:tc>
          <w:tcPr>
            <w:tcW w:w="1413" w:type="dxa"/>
          </w:tcPr>
          <w:p w14:paraId="7905B6D0" w14:textId="77777777" w:rsidR="00C67300" w:rsidRPr="006D11E6" w:rsidRDefault="00C67300" w:rsidP="00B17291">
            <w:pPr>
              <w:spacing w:line="360" w:lineRule="auto"/>
              <w:jc w:val="both"/>
              <w:rPr>
                <w:rFonts w:ascii="Times New Roman" w:hAnsi="Times New Roman" w:cs="Times New Roman"/>
                <w:sz w:val="20"/>
                <w:szCs w:val="20"/>
              </w:rPr>
            </w:pPr>
            <w:proofErr w:type="spellStart"/>
            <w:r w:rsidRPr="006D11E6">
              <w:rPr>
                <w:rFonts w:ascii="Times New Roman" w:hAnsi="Times New Roman" w:cs="Times New Roman"/>
                <w:sz w:val="20"/>
                <w:szCs w:val="20"/>
              </w:rPr>
              <w:t>est.pop</w:t>
            </w:r>
            <w:proofErr w:type="spellEnd"/>
          </w:p>
        </w:tc>
        <w:tc>
          <w:tcPr>
            <w:tcW w:w="7647" w:type="dxa"/>
          </w:tcPr>
          <w:p w14:paraId="6B43311C" w14:textId="77777777" w:rsidR="00C67300" w:rsidRPr="006D11E6" w:rsidRDefault="00C67300" w:rsidP="00B17291">
            <w:pPr>
              <w:spacing w:line="360" w:lineRule="auto"/>
              <w:jc w:val="both"/>
              <w:rPr>
                <w:rFonts w:ascii="Times New Roman" w:hAnsi="Times New Roman" w:cs="Times New Roman"/>
                <w:sz w:val="20"/>
                <w:szCs w:val="20"/>
              </w:rPr>
            </w:pPr>
            <w:r>
              <w:rPr>
                <w:rFonts w:ascii="Times New Roman" w:hAnsi="Times New Roman" w:cs="Times New Roman"/>
                <w:sz w:val="20"/>
                <w:szCs w:val="20"/>
              </w:rPr>
              <w:t>população total estimada</w:t>
            </w:r>
            <w:r>
              <w:rPr>
                <w:rStyle w:val="Refdenotaderodap"/>
                <w:rFonts w:ascii="Times New Roman" w:hAnsi="Times New Roman" w:cs="Times New Roman"/>
                <w:sz w:val="20"/>
                <w:szCs w:val="20"/>
              </w:rPr>
              <w:footnoteReference w:id="2"/>
            </w:r>
          </w:p>
        </w:tc>
      </w:tr>
    </w:tbl>
    <w:p w14:paraId="2AD46CD4" w14:textId="267DB20C" w:rsidR="00C67300" w:rsidRDefault="00C67300" w:rsidP="00C67300">
      <w:pPr>
        <w:spacing w:after="0" w:line="360" w:lineRule="auto"/>
        <w:jc w:val="both"/>
        <w:rPr>
          <w:rFonts w:ascii="Times New Roman" w:hAnsi="Times New Roman" w:cs="Times New Roman"/>
          <w:sz w:val="20"/>
          <w:szCs w:val="20"/>
        </w:rPr>
      </w:pPr>
      <w:r w:rsidRPr="006D11E6">
        <w:rPr>
          <w:rFonts w:ascii="Times New Roman" w:hAnsi="Times New Roman" w:cs="Times New Roman"/>
          <w:b/>
          <w:bCs/>
          <w:sz w:val="20"/>
          <w:szCs w:val="20"/>
        </w:rPr>
        <w:t>Fonte:</w:t>
      </w:r>
      <w:r w:rsidRPr="006D11E6">
        <w:rPr>
          <w:rFonts w:ascii="Times New Roman" w:hAnsi="Times New Roman" w:cs="Times New Roman"/>
          <w:sz w:val="20"/>
          <w:szCs w:val="20"/>
        </w:rPr>
        <w:t xml:space="preserve"> Elaboração própria.</w:t>
      </w:r>
    </w:p>
    <w:p w14:paraId="3F242D35" w14:textId="77777777" w:rsidR="00C67300" w:rsidRPr="00C67300" w:rsidRDefault="00C67300" w:rsidP="00C67300">
      <w:pPr>
        <w:spacing w:after="0" w:line="360" w:lineRule="auto"/>
        <w:jc w:val="both"/>
        <w:rPr>
          <w:rFonts w:ascii="Times New Roman" w:hAnsi="Times New Roman" w:cs="Times New Roman"/>
          <w:sz w:val="20"/>
          <w:szCs w:val="20"/>
        </w:rPr>
      </w:pPr>
    </w:p>
    <w:p w14:paraId="63ECD4DE" w14:textId="75A03A91" w:rsidR="00C67300" w:rsidRDefault="007B5CB5" w:rsidP="00C67300">
      <w:pPr>
        <w:pStyle w:val="PargrafodaLista"/>
        <w:numPr>
          <w:ilvl w:val="1"/>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ESTRATÉGIA EMPÍRICA</w:t>
      </w:r>
    </w:p>
    <w:p w14:paraId="1EF3CE74" w14:textId="77777777" w:rsidR="007B5CB5" w:rsidRDefault="007B5CB5" w:rsidP="007B5CB5">
      <w:pPr>
        <w:pStyle w:val="PargrafodaLista"/>
        <w:spacing w:after="0" w:line="360" w:lineRule="auto"/>
        <w:ind w:left="792"/>
        <w:jc w:val="both"/>
        <w:rPr>
          <w:rFonts w:ascii="Times New Roman" w:hAnsi="Times New Roman" w:cs="Times New Roman"/>
          <w:b/>
          <w:bCs/>
          <w:sz w:val="24"/>
          <w:szCs w:val="24"/>
        </w:rPr>
      </w:pPr>
    </w:p>
    <w:p w14:paraId="1278B3B1" w14:textId="528397EF" w:rsidR="007B5CB5" w:rsidRDefault="007B5CB5" w:rsidP="007B5CB5">
      <w:pPr>
        <w:pStyle w:val="PargrafodaLista"/>
        <w:numPr>
          <w:ilvl w:val="2"/>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Modelo de pareamento</w:t>
      </w:r>
    </w:p>
    <w:p w14:paraId="1D688B5C" w14:textId="6B1D4195" w:rsidR="007B5CB5" w:rsidRDefault="007B5CB5" w:rsidP="007B5CB5">
      <w:pPr>
        <w:spacing w:after="0" w:line="360" w:lineRule="auto"/>
        <w:ind w:left="720"/>
        <w:jc w:val="both"/>
        <w:rPr>
          <w:rFonts w:ascii="Times New Roman" w:hAnsi="Times New Roman" w:cs="Times New Roman"/>
          <w:sz w:val="24"/>
          <w:szCs w:val="24"/>
        </w:rPr>
      </w:pPr>
    </w:p>
    <w:p w14:paraId="273FBA7A" w14:textId="77777777" w:rsidR="007B5CB5" w:rsidRDefault="007B5CB5" w:rsidP="007B5CB5">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O pareamento faz uso de técnicas estatísticas com determinada base de dados com o objetivo de criar o melhor grupo de comparação</w:t>
      </w:r>
      <w:r>
        <w:rPr>
          <w:rFonts w:ascii="Times New Roman" w:hAnsi="Times New Roman" w:cs="Times New Roman"/>
          <w:sz w:val="24"/>
          <w:szCs w:val="24"/>
        </w:rPr>
        <w:t xml:space="preserve">, </w:t>
      </w:r>
      <w:r w:rsidRPr="00797DA5">
        <w:rPr>
          <w:rFonts w:ascii="Times New Roman" w:hAnsi="Times New Roman" w:cs="Times New Roman"/>
          <w:sz w:val="24"/>
          <w:szCs w:val="24"/>
        </w:rPr>
        <w:t>base</w:t>
      </w:r>
      <w:r>
        <w:rPr>
          <w:rFonts w:ascii="Times New Roman" w:hAnsi="Times New Roman" w:cs="Times New Roman"/>
          <w:sz w:val="24"/>
          <w:szCs w:val="24"/>
        </w:rPr>
        <w:t>ado</w:t>
      </w:r>
      <w:r w:rsidRPr="00797DA5">
        <w:rPr>
          <w:rFonts w:ascii="Times New Roman" w:hAnsi="Times New Roman" w:cs="Times New Roman"/>
          <w:sz w:val="24"/>
          <w:szCs w:val="24"/>
        </w:rPr>
        <w:t xml:space="preserve"> </w:t>
      </w:r>
      <w:r>
        <w:rPr>
          <w:rFonts w:ascii="Times New Roman" w:hAnsi="Times New Roman" w:cs="Times New Roman"/>
          <w:sz w:val="24"/>
          <w:szCs w:val="24"/>
        </w:rPr>
        <w:t>nas</w:t>
      </w:r>
      <w:r w:rsidRPr="00797DA5">
        <w:rPr>
          <w:rFonts w:ascii="Times New Roman" w:hAnsi="Times New Roman" w:cs="Times New Roman"/>
          <w:sz w:val="24"/>
          <w:szCs w:val="24"/>
        </w:rPr>
        <w:t xml:space="preserve"> características observáveis</w:t>
      </w:r>
      <w:r>
        <w:rPr>
          <w:rFonts w:ascii="Times New Roman" w:hAnsi="Times New Roman" w:cs="Times New Roman"/>
          <w:sz w:val="24"/>
          <w:szCs w:val="24"/>
        </w:rPr>
        <w:t xml:space="preserve">. </w:t>
      </w:r>
      <w:r w:rsidRPr="00797DA5">
        <w:rPr>
          <w:rFonts w:ascii="Times New Roman" w:hAnsi="Times New Roman" w:cs="Times New Roman"/>
          <w:sz w:val="24"/>
          <w:szCs w:val="24"/>
        </w:rPr>
        <w:t xml:space="preserve">Sendo assim, os métodos de pareamento nos permitem identificar </w:t>
      </w:r>
      <w:r>
        <w:rPr>
          <w:rFonts w:ascii="Times New Roman" w:hAnsi="Times New Roman" w:cs="Times New Roman"/>
          <w:sz w:val="24"/>
          <w:szCs w:val="24"/>
        </w:rPr>
        <w:t>um</w:t>
      </w:r>
      <w:r w:rsidRPr="00797DA5">
        <w:rPr>
          <w:rFonts w:ascii="Times New Roman" w:hAnsi="Times New Roman" w:cs="Times New Roman"/>
          <w:sz w:val="24"/>
          <w:szCs w:val="24"/>
        </w:rPr>
        <w:t xml:space="preserve"> conjunto de observações onde </w:t>
      </w:r>
      <w:r>
        <w:rPr>
          <w:rFonts w:ascii="Times New Roman" w:hAnsi="Times New Roman" w:cs="Times New Roman"/>
          <w:sz w:val="24"/>
          <w:szCs w:val="24"/>
        </w:rPr>
        <w:t>os</w:t>
      </w:r>
      <w:r w:rsidRPr="00797DA5">
        <w:rPr>
          <w:rFonts w:ascii="Times New Roman" w:hAnsi="Times New Roman" w:cs="Times New Roman"/>
          <w:sz w:val="24"/>
          <w:szCs w:val="24"/>
        </w:rPr>
        <w:t xml:space="preserve"> </w:t>
      </w:r>
      <w:r>
        <w:rPr>
          <w:rFonts w:ascii="Times New Roman" w:hAnsi="Times New Roman" w:cs="Times New Roman"/>
          <w:sz w:val="24"/>
          <w:szCs w:val="24"/>
        </w:rPr>
        <w:t>municípios</w:t>
      </w:r>
      <w:r w:rsidRPr="00797DA5">
        <w:rPr>
          <w:rFonts w:ascii="Times New Roman" w:hAnsi="Times New Roman" w:cs="Times New Roman"/>
          <w:sz w:val="24"/>
          <w:szCs w:val="24"/>
        </w:rPr>
        <w:t xml:space="preserve"> que </w:t>
      </w:r>
      <w:r>
        <w:rPr>
          <w:rFonts w:ascii="Times New Roman" w:hAnsi="Times New Roman" w:cs="Times New Roman"/>
          <w:sz w:val="24"/>
          <w:szCs w:val="24"/>
        </w:rPr>
        <w:t>fazem parte</w:t>
      </w:r>
      <w:r w:rsidRPr="00797DA5">
        <w:rPr>
          <w:rFonts w:ascii="Times New Roman" w:hAnsi="Times New Roman" w:cs="Times New Roman"/>
          <w:sz w:val="24"/>
          <w:szCs w:val="24"/>
        </w:rPr>
        <w:t xml:space="preserve"> do pro</w:t>
      </w:r>
      <w:r>
        <w:rPr>
          <w:rFonts w:ascii="Times New Roman" w:hAnsi="Times New Roman" w:cs="Times New Roman"/>
          <w:sz w:val="24"/>
          <w:szCs w:val="24"/>
        </w:rPr>
        <w:t>jeto polos de biodiesel</w:t>
      </w:r>
      <w:r w:rsidRPr="00797DA5">
        <w:rPr>
          <w:rFonts w:ascii="Times New Roman" w:hAnsi="Times New Roman" w:cs="Times New Roman"/>
          <w:sz w:val="24"/>
          <w:szCs w:val="24"/>
        </w:rPr>
        <w:t xml:space="preserve"> mais se parecem com as observações daquel</w:t>
      </w:r>
      <w:r>
        <w:rPr>
          <w:rFonts w:ascii="Times New Roman" w:hAnsi="Times New Roman" w:cs="Times New Roman"/>
          <w:sz w:val="24"/>
          <w:szCs w:val="24"/>
        </w:rPr>
        <w:t>e</w:t>
      </w:r>
      <w:r w:rsidRPr="00797DA5">
        <w:rPr>
          <w:rFonts w:ascii="Times New Roman" w:hAnsi="Times New Roman" w:cs="Times New Roman"/>
          <w:sz w:val="24"/>
          <w:szCs w:val="24"/>
        </w:rPr>
        <w:t>s que não participam, utilizando as características disponíveis</w:t>
      </w:r>
      <w:r>
        <w:rPr>
          <w:rFonts w:ascii="Times New Roman" w:hAnsi="Times New Roman" w:cs="Times New Roman"/>
          <w:sz w:val="24"/>
          <w:szCs w:val="24"/>
        </w:rPr>
        <w:t xml:space="preserve">. </w:t>
      </w:r>
      <w:r w:rsidRPr="00797DA5">
        <w:rPr>
          <w:rFonts w:ascii="Times New Roman" w:hAnsi="Times New Roman" w:cs="Times New Roman"/>
          <w:sz w:val="24"/>
          <w:szCs w:val="24"/>
        </w:rPr>
        <w:t>Logo, as observações pareadas dos municípios produtores de oleaginosas que não participam do programa passam a ser o grupo de controle</w:t>
      </w:r>
      <w:r>
        <w:rPr>
          <w:rFonts w:ascii="Times New Roman" w:hAnsi="Times New Roman" w:cs="Times New Roman"/>
          <w:sz w:val="24"/>
          <w:szCs w:val="24"/>
        </w:rPr>
        <w:t xml:space="preserve"> </w:t>
      </w:r>
      <w:r w:rsidRPr="00797DA5">
        <w:rPr>
          <w:rFonts w:ascii="Times New Roman" w:hAnsi="Times New Roman" w:cs="Times New Roman"/>
          <w:sz w:val="24"/>
          <w:szCs w:val="24"/>
        </w:rPr>
        <w:t xml:space="preserve">(GERTLER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2018; PEIXOTO, 2017).</w:t>
      </w:r>
    </w:p>
    <w:p w14:paraId="52E19045" w14:textId="77777777" w:rsidR="007B5CB5" w:rsidRDefault="007B5CB5" w:rsidP="007B5C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797DA5">
        <w:rPr>
          <w:rFonts w:ascii="Times New Roman" w:hAnsi="Times New Roman" w:cs="Times New Roman"/>
          <w:sz w:val="24"/>
          <w:szCs w:val="24"/>
        </w:rPr>
        <w:t xml:space="preserve">Por exemplo, considere </w:t>
      </w:r>
      <w:r>
        <w:rPr>
          <w:rFonts w:ascii="Times New Roman" w:hAnsi="Times New Roman" w:cs="Times New Roman"/>
          <w:sz w:val="24"/>
          <w:szCs w:val="24"/>
        </w:rPr>
        <w:t>um</w:t>
      </w:r>
      <w:r w:rsidRPr="00797DA5">
        <w:rPr>
          <w:rFonts w:ascii="Times New Roman" w:hAnsi="Times New Roman" w:cs="Times New Roman"/>
          <w:sz w:val="24"/>
          <w:szCs w:val="24"/>
        </w:rPr>
        <w:t xml:space="preserve"> objetivo deste estudo, que é avaliar o impacto do PNPB na produtividade da</w:t>
      </w:r>
      <w:r>
        <w:rPr>
          <w:rFonts w:ascii="Times New Roman" w:hAnsi="Times New Roman" w:cs="Times New Roman"/>
          <w:sz w:val="24"/>
          <w:szCs w:val="24"/>
        </w:rPr>
        <w:t xml:space="preserve"> soja</w:t>
      </w:r>
      <w:r w:rsidRPr="00797DA5">
        <w:rPr>
          <w:rFonts w:ascii="Times New Roman" w:hAnsi="Times New Roman" w:cs="Times New Roman"/>
          <w:sz w:val="24"/>
          <w:szCs w:val="24"/>
        </w:rPr>
        <w:t>.</w:t>
      </w:r>
      <w:r w:rsidRPr="00797DA5">
        <w:rPr>
          <w:rFonts w:ascii="Times New Roman" w:hAnsi="Times New Roman" w:cs="Times New Roman"/>
          <w:color w:val="FF0000"/>
          <w:sz w:val="24"/>
          <w:szCs w:val="24"/>
        </w:rPr>
        <w:t xml:space="preserve"> </w:t>
      </w:r>
      <w:r w:rsidRPr="00797DA5">
        <w:rPr>
          <w:rFonts w:ascii="Times New Roman" w:hAnsi="Times New Roman" w:cs="Times New Roman"/>
          <w:sz w:val="24"/>
          <w:szCs w:val="24"/>
        </w:rPr>
        <w:t>Conforme mencionado anteriormente, a participação dos agricultores familiares não é um evento puramente exógeno. Portanto, não existem regras específicas para explicar por que alguns agricultores participam e outros não.</w:t>
      </w:r>
    </w:p>
    <w:p w14:paraId="32687884" w14:textId="77777777" w:rsidR="007B5CB5" w:rsidRDefault="007B5CB5" w:rsidP="007B5C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797DA5">
        <w:rPr>
          <w:rFonts w:ascii="Times New Roman" w:hAnsi="Times New Roman" w:cs="Times New Roman"/>
          <w:sz w:val="24"/>
          <w:szCs w:val="24"/>
        </w:rPr>
        <w:t xml:space="preserve">Entretanto, para encontrar um bom contrafactual, é necessário aproximar o máximo possível as características que explicam a decisão dos agricultores familiares a participarem ou não do programa (GERTLER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xml:space="preserve">., 2018; PEIXOTO; 2017). Nesse sentido, se o número de características observáveis relacionadas for muito grande ou cada característica assumir muitos valores, pode ser difícil identificar um pareamento correspondente de cada unidade no grupo de tratamento, resultando no problema de dimensionalidade (ROSENBAUM; RUBIN; 1983; GERTLER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2018).</w:t>
      </w:r>
    </w:p>
    <w:p w14:paraId="6CE4246F" w14:textId="77777777" w:rsidR="007B5CB5" w:rsidRDefault="007B5CB5" w:rsidP="007B5CB5">
      <w:pPr>
        <w:spacing w:after="0" w:line="360" w:lineRule="auto"/>
        <w:jc w:val="both"/>
        <w:rPr>
          <w:rFonts w:ascii="Times New Roman" w:hAnsi="Times New Roman" w:cs="Times New Roman"/>
          <w:sz w:val="24"/>
          <w:szCs w:val="24"/>
        </w:rPr>
      </w:pPr>
      <w:r>
        <w:rPr>
          <w:rFonts w:ascii="Times New Roman" w:hAnsi="Times New Roman" w:cs="Times New Roman"/>
          <w:sz w:val="24"/>
          <w:szCs w:val="24"/>
        </w:rPr>
        <w:tab/>
      </w:r>
      <w:r w:rsidRPr="00797DA5">
        <w:rPr>
          <w:rFonts w:ascii="Times New Roman" w:hAnsi="Times New Roman" w:cs="Times New Roman"/>
          <w:sz w:val="24"/>
          <w:szCs w:val="24"/>
        </w:rPr>
        <w:t xml:space="preserve">De acordo com </w:t>
      </w:r>
      <w:proofErr w:type="spellStart"/>
      <w:r w:rsidRPr="00797DA5">
        <w:rPr>
          <w:rFonts w:ascii="Times New Roman" w:hAnsi="Times New Roman" w:cs="Times New Roman"/>
          <w:sz w:val="24"/>
          <w:szCs w:val="24"/>
        </w:rPr>
        <w:t>Rosenbaum</w:t>
      </w:r>
      <w:proofErr w:type="spellEnd"/>
      <w:r w:rsidRPr="00797DA5">
        <w:rPr>
          <w:rFonts w:ascii="Times New Roman" w:hAnsi="Times New Roman" w:cs="Times New Roman"/>
          <w:sz w:val="24"/>
          <w:szCs w:val="24"/>
        </w:rPr>
        <w:t xml:space="preserve">; Rubin, (1983); </w:t>
      </w:r>
      <w:proofErr w:type="spellStart"/>
      <w:r w:rsidRPr="00797DA5">
        <w:rPr>
          <w:rFonts w:ascii="Times New Roman" w:hAnsi="Times New Roman" w:cs="Times New Roman"/>
          <w:sz w:val="24"/>
          <w:szCs w:val="24"/>
        </w:rPr>
        <w:t>Gertler</w:t>
      </w:r>
      <w:proofErr w:type="spellEnd"/>
      <w:r w:rsidRPr="00797DA5">
        <w:rPr>
          <w:rFonts w:ascii="Times New Roman" w:hAnsi="Times New Roman" w:cs="Times New Roman"/>
          <w:sz w:val="24"/>
          <w:szCs w:val="24"/>
        </w:rPr>
        <w:t xml:space="preserve">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xml:space="preserve">, (2018), ao invés de combinar os indivíduos com base em todo o vetor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hAnsi="Times New Roman" w:cs="Times New Roman"/>
          <w:sz w:val="24"/>
          <w:szCs w:val="24"/>
        </w:rPr>
        <w:t>, pode-se</w:t>
      </w:r>
      <w:r>
        <w:rPr>
          <w:rFonts w:ascii="Times New Roman" w:hAnsi="Times New Roman" w:cs="Times New Roman"/>
          <w:sz w:val="24"/>
          <w:szCs w:val="24"/>
        </w:rPr>
        <w:t xml:space="preserve"> </w:t>
      </w:r>
      <w:r w:rsidRPr="00797DA5">
        <w:rPr>
          <w:rFonts w:ascii="Times New Roman" w:hAnsi="Times New Roman" w:cs="Times New Roman"/>
          <w:sz w:val="24"/>
          <w:szCs w:val="24"/>
        </w:rPr>
        <w:t xml:space="preserve">usar uma função </w:t>
      </w:r>
      <w:r w:rsidRPr="006166D4">
        <w:rPr>
          <w:rFonts w:ascii="Times New Roman" w:eastAsiaTheme="minorEastAsia" w:hAnsi="Times New Roman" w:cs="Times New Roman"/>
          <w:i/>
          <w:iCs/>
          <w:sz w:val="24"/>
          <w:szCs w:val="24"/>
        </w:rPr>
        <w:t>P</w:t>
      </w:r>
      <w:r>
        <w:rPr>
          <w:rFonts w:ascii="Times New Roman" w:eastAsiaTheme="minorEastAsia" w:hAnsi="Times New Roman" w:cs="Times New Roman"/>
          <w:i/>
          <w:iCs/>
          <w:sz w:val="24"/>
          <w:szCs w:val="24"/>
        </w:rPr>
        <w:t xml:space="preserve"> </w:t>
      </w:r>
      <w:r w:rsidRPr="00797DA5">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w:t>
      </w:r>
      <w:r w:rsidRPr="00797DA5">
        <w:rPr>
          <w:rFonts w:ascii="Times New Roman" w:hAnsi="Times New Roman" w:cs="Times New Roman"/>
          <w:sz w:val="24"/>
          <w:szCs w:val="24"/>
        </w:rPr>
        <w:t xml:space="preserve"> para parear os </w:t>
      </w:r>
      <w:r w:rsidRPr="00797DA5">
        <w:rPr>
          <w:rFonts w:ascii="Times New Roman" w:hAnsi="Times New Roman" w:cs="Times New Roman"/>
          <w:sz w:val="24"/>
          <w:szCs w:val="24"/>
        </w:rPr>
        <w:lastRenderedPageBreak/>
        <w:t xml:space="preserve">indivíduos, o que resume todas as informações contidas no vetor. Dado um conjunto de caraterísticas observáveis do vetor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hAnsi="Times New Roman" w:cs="Times New Roman"/>
          <w:sz w:val="24"/>
          <w:szCs w:val="24"/>
        </w:rPr>
        <w:t xml:space="preserve">, a função </w:t>
      </w:r>
      <w:r w:rsidRPr="00F30C82">
        <w:rPr>
          <w:rFonts w:ascii="Times New Roman" w:eastAsiaTheme="minorEastAsia" w:hAnsi="Times New Roman" w:cs="Times New Roman"/>
          <w:i/>
          <w:iCs/>
          <w:sz w:val="24"/>
          <w:szCs w:val="24"/>
        </w:rPr>
        <w:t>P</w:t>
      </w:r>
      <w:r w:rsidRPr="00797DA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w:t>
      </w:r>
      <w:r w:rsidRPr="00797DA5">
        <w:rPr>
          <w:rFonts w:ascii="Times New Roman" w:hAnsi="Times New Roman" w:cs="Times New Roman"/>
          <w:sz w:val="24"/>
          <w:szCs w:val="24"/>
        </w:rPr>
        <w:t xml:space="preserve"> é a probabilidade de receber tratamento, chamada de escore de propensão (</w:t>
      </w:r>
      <w:proofErr w:type="spellStart"/>
      <w:r w:rsidRPr="00797DA5">
        <w:rPr>
          <w:rFonts w:ascii="Times New Roman" w:hAnsi="Times New Roman" w:cs="Times New Roman"/>
          <w:i/>
          <w:iCs/>
          <w:sz w:val="24"/>
          <w:szCs w:val="24"/>
        </w:rPr>
        <w:t>Propensity</w:t>
      </w:r>
      <w:proofErr w:type="spellEnd"/>
      <w:r w:rsidRPr="00797DA5">
        <w:rPr>
          <w:rFonts w:ascii="Times New Roman" w:hAnsi="Times New Roman" w:cs="Times New Roman"/>
          <w:i/>
          <w:iCs/>
          <w:sz w:val="24"/>
          <w:szCs w:val="24"/>
        </w:rPr>
        <w:t xml:space="preserve"> Score </w:t>
      </w:r>
      <w:proofErr w:type="spellStart"/>
      <w:r w:rsidRPr="00797DA5">
        <w:rPr>
          <w:rFonts w:ascii="Times New Roman" w:hAnsi="Times New Roman" w:cs="Times New Roman"/>
          <w:i/>
          <w:iCs/>
          <w:sz w:val="24"/>
          <w:szCs w:val="24"/>
        </w:rPr>
        <w:t>Matching</w:t>
      </w:r>
      <w:proofErr w:type="spellEnd"/>
      <w:r w:rsidRPr="00797DA5">
        <w:rPr>
          <w:rFonts w:ascii="Times New Roman" w:hAnsi="Times New Roman" w:cs="Times New Roman"/>
          <w:sz w:val="24"/>
          <w:szCs w:val="24"/>
        </w:rPr>
        <w:t xml:space="preserve"> – PSM) (GERTLER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2018; PEIXOTO, 2017).</w:t>
      </w:r>
    </w:p>
    <w:p w14:paraId="0756B748" w14:textId="77777777" w:rsidR="007B5CB5" w:rsidRDefault="007B5CB5" w:rsidP="007B5CB5">
      <w:pPr>
        <w:spacing w:after="0" w:line="360"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sidRPr="00797DA5">
        <w:rPr>
          <w:rFonts w:ascii="Times New Roman" w:hAnsi="Times New Roman" w:cs="Times New Roman"/>
          <w:sz w:val="24"/>
          <w:szCs w:val="24"/>
        </w:rPr>
        <w:t xml:space="preserve">Conforme proposto por </w:t>
      </w:r>
      <w:proofErr w:type="spellStart"/>
      <w:r w:rsidRPr="00797DA5">
        <w:rPr>
          <w:rFonts w:ascii="Times New Roman" w:hAnsi="Times New Roman" w:cs="Times New Roman"/>
          <w:sz w:val="24"/>
          <w:szCs w:val="24"/>
        </w:rPr>
        <w:t>Rosenbaum</w:t>
      </w:r>
      <w:proofErr w:type="spellEnd"/>
      <w:r w:rsidRPr="00797DA5">
        <w:rPr>
          <w:rFonts w:ascii="Times New Roman" w:hAnsi="Times New Roman" w:cs="Times New Roman"/>
          <w:sz w:val="24"/>
          <w:szCs w:val="24"/>
        </w:rPr>
        <w:t xml:space="preserve"> e Rubin (1983), além de combinar os indivíduos com base em todo o vetor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também pode-se</w:t>
      </w:r>
      <w:r w:rsidRPr="00797DA5">
        <w:rPr>
          <w:rFonts w:ascii="Times New Roman" w:eastAsiaTheme="minorEastAsia" w:hAnsi="Times New Roman" w:cs="Times New Roman"/>
          <w:color w:val="FF0000"/>
          <w:sz w:val="24"/>
          <w:szCs w:val="24"/>
        </w:rPr>
        <w:t xml:space="preserve"> </w:t>
      </w:r>
      <w:r w:rsidRPr="00797DA5">
        <w:rPr>
          <w:rFonts w:ascii="Times New Roman" w:eastAsiaTheme="minorEastAsia" w:hAnsi="Times New Roman" w:cs="Times New Roman"/>
          <w:sz w:val="24"/>
          <w:szCs w:val="24"/>
        </w:rPr>
        <w:t xml:space="preserve">parear indivíduos com a função </w:t>
      </w:r>
      <w:r w:rsidRPr="006166D4">
        <w:rPr>
          <w:rFonts w:ascii="Times New Roman" w:eastAsiaTheme="minorEastAsia" w:hAnsi="Times New Roman" w:cs="Times New Roman"/>
          <w:i/>
          <w:iCs/>
          <w:sz w:val="24"/>
          <w:szCs w:val="24"/>
        </w:rPr>
        <w:t>P</w:t>
      </w:r>
      <w:r>
        <w:rPr>
          <w:rFonts w:ascii="Times New Roman" w:eastAsiaTheme="minorEastAsia" w:hAnsi="Times New Roman" w:cs="Times New Roman"/>
          <w:sz w:val="24"/>
          <w:szCs w:val="24"/>
        </w:rPr>
        <w:t xml:space="preserve"> </w:t>
      </w:r>
      <w:r w:rsidRPr="00797DA5">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 que resume todas as informações contidas no vetor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 De acordo com Peixoto (2017), dado um conjunto de características do vetor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esta função é a probabilidade de receber o tratamento, chamada de escore de propensão, que é definida formalmente como:</w:t>
      </w:r>
    </w:p>
    <w:p w14:paraId="24C1E980" w14:textId="77777777" w:rsidR="007B5CB5" w:rsidRDefault="007B5CB5" w:rsidP="007B5CB5">
      <w:pPr>
        <w:spacing w:after="0" w:line="360" w:lineRule="auto"/>
        <w:jc w:val="both"/>
        <w:rPr>
          <w:rFonts w:ascii="Times New Roman" w:eastAsiaTheme="minorEastAsia" w:hAnsi="Times New Roman" w:cs="Times New Roman"/>
          <w:sz w:val="24"/>
          <w:szCs w:val="24"/>
        </w:rPr>
      </w:pPr>
    </w:p>
    <w:p w14:paraId="3E278AA6" w14:textId="77777777" w:rsidR="007B5CB5" w:rsidRDefault="007B5CB5" w:rsidP="007B5CB5">
      <w:pPr>
        <w:spacing w:after="0" w:line="360" w:lineRule="auto"/>
        <w:jc w:val="right"/>
        <w:rPr>
          <w:rFonts w:ascii="Times New Roman" w:hAnsi="Times New Roman" w:cs="Times New Roman"/>
          <w:sz w:val="24"/>
          <w:szCs w:val="24"/>
        </w:rPr>
      </w:pPr>
      <w:r w:rsidRPr="00797DA5">
        <w:rPr>
          <w:rFonts w:ascii="Times New Roman" w:hAnsi="Times New Roman" w:cs="Times New Roman"/>
          <w:i/>
          <w:iCs/>
          <w:sz w:val="24"/>
          <w:szCs w:val="24"/>
        </w:rPr>
        <w:t>P</w:t>
      </w:r>
      <w:r w:rsidRPr="00797DA5">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 = </w:t>
      </w:r>
      <w:proofErr w:type="gramStart"/>
      <w:r w:rsidRPr="00797DA5">
        <w:rPr>
          <w:rFonts w:ascii="Times New Roman" w:eastAsiaTheme="minorEastAsia" w:hAnsi="Times New Roman" w:cs="Times New Roman"/>
          <w:i/>
          <w:iCs/>
          <w:sz w:val="24"/>
          <w:szCs w:val="24"/>
        </w:rPr>
        <w:t>Pr</w:t>
      </w:r>
      <w:r w:rsidRPr="00797DA5">
        <w:rPr>
          <w:rFonts w:ascii="Times New Roman" w:eastAsiaTheme="minorEastAsia" w:hAnsi="Times New Roman" w:cs="Times New Roman"/>
          <w:sz w:val="24"/>
          <w:szCs w:val="24"/>
        </w:rPr>
        <w: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 = 1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 </w:t>
      </w:r>
      <w:r w:rsidRPr="00797DA5">
        <w:rPr>
          <w:rFonts w:ascii="Times New Roman" w:eastAsiaTheme="minorEastAsia" w:hAnsi="Times New Roman" w:cs="Times New Roman"/>
          <w:sz w:val="24"/>
          <w:szCs w:val="24"/>
        </w:rPr>
        <w:tab/>
      </w:r>
      <w:r w:rsidRPr="00797DA5">
        <w:rPr>
          <w:rFonts w:ascii="Times New Roman" w:eastAsiaTheme="minorEastAsia" w:hAnsi="Times New Roman" w:cs="Times New Roman"/>
          <w:sz w:val="24"/>
          <w:szCs w:val="24"/>
        </w:rPr>
        <w:tab/>
      </w:r>
      <w:r w:rsidRPr="00797DA5">
        <w:rPr>
          <w:rFonts w:ascii="Times New Roman" w:eastAsiaTheme="minorEastAsia" w:hAnsi="Times New Roman" w:cs="Times New Roman"/>
          <w:sz w:val="24"/>
          <w:szCs w:val="24"/>
        </w:rPr>
        <w:tab/>
      </w:r>
      <w:r w:rsidRPr="00797DA5">
        <w:rPr>
          <w:rFonts w:ascii="Times New Roman" w:eastAsiaTheme="minorEastAsia" w:hAnsi="Times New Roman" w:cs="Times New Roman"/>
          <w:sz w:val="24"/>
          <w:szCs w:val="24"/>
        </w:rPr>
        <w:tab/>
      </w:r>
      <w:r w:rsidRPr="00797DA5">
        <w:rPr>
          <w:rFonts w:ascii="Times New Roman" w:eastAsiaTheme="minorEastAsia" w:hAnsi="Times New Roman" w:cs="Times New Roman"/>
          <w:sz w:val="24"/>
          <w:szCs w:val="24"/>
        </w:rPr>
        <w:tab/>
      </w:r>
      <w:r w:rsidRPr="00797DA5">
        <w:rPr>
          <w:rFonts w:ascii="Times New Roman" w:hAnsi="Times New Roman" w:cs="Times New Roman"/>
          <w:sz w:val="24"/>
          <w:szCs w:val="24"/>
        </w:rPr>
        <w:t>(1)</w:t>
      </w:r>
    </w:p>
    <w:p w14:paraId="0DFED029" w14:textId="77777777" w:rsidR="007B5CB5" w:rsidRPr="00797DA5" w:rsidRDefault="007B5CB5" w:rsidP="007B5CB5">
      <w:pPr>
        <w:spacing w:after="0" w:line="360" w:lineRule="auto"/>
        <w:jc w:val="right"/>
        <w:rPr>
          <w:rFonts w:ascii="Times New Roman" w:hAnsi="Times New Roman" w:cs="Times New Roman"/>
          <w:sz w:val="24"/>
          <w:szCs w:val="24"/>
        </w:rPr>
      </w:pPr>
    </w:p>
    <w:p w14:paraId="03845DCF" w14:textId="77777777" w:rsidR="007B5CB5" w:rsidRPr="00797DA5" w:rsidRDefault="007B5CB5" w:rsidP="007B5CB5">
      <w:pPr>
        <w:spacing w:after="0" w:line="360" w:lineRule="auto"/>
        <w:jc w:val="both"/>
        <w:rPr>
          <w:rFonts w:ascii="Times New Roman" w:eastAsiaTheme="minorEastAsia" w:hAnsi="Times New Roman" w:cs="Times New Roman"/>
          <w:sz w:val="24"/>
          <w:szCs w:val="24"/>
        </w:rPr>
      </w:pPr>
      <w:r w:rsidRPr="00797DA5">
        <w:rPr>
          <w:rFonts w:ascii="Times New Roman" w:hAnsi="Times New Roman" w:cs="Times New Roman"/>
          <w:sz w:val="24"/>
          <w:szCs w:val="24"/>
        </w:rPr>
        <w:tab/>
        <w:t xml:space="preserve">Uma vez que o PSM contém as mesmas informações contidas no vetor de características observáveis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se a hipótese de seleção nos observáveis for válida, então, quando ajustadas as condições, existirá uma diferença entre o resultado contrafactual e o tratamento, condicionados ao PSM, de modo que:</w:t>
      </w:r>
    </w:p>
    <w:p w14:paraId="080F886C" w14:textId="77777777" w:rsidR="007B5CB5" w:rsidRDefault="007B5CB5" w:rsidP="007B5CB5">
      <w:pPr>
        <w:spacing w:after="0" w:line="360" w:lineRule="auto"/>
        <w:jc w:val="right"/>
        <w:rPr>
          <w:rFonts w:ascii="Times New Roman" w:eastAsiaTheme="minorEastAsia" w:hAnsi="Times New Roman" w:cs="Times New Roman"/>
          <w:sz w:val="24"/>
          <w:szCs w:val="24"/>
          <w:lang w:val="en-US"/>
        </w:rPr>
      </w:pPr>
    </w:p>
    <w:p w14:paraId="56F14FE1" w14:textId="77777777" w:rsidR="007B5CB5" w:rsidRDefault="007B5CB5" w:rsidP="007B5CB5">
      <w:pPr>
        <w:spacing w:after="0" w:line="360" w:lineRule="auto"/>
        <w:jc w:val="right"/>
        <w:rPr>
          <w:rFonts w:ascii="Times New Roman" w:eastAsiaTheme="minorEastAsia" w:hAnsi="Times New Roman" w:cs="Times New Roman"/>
          <w:sz w:val="24"/>
          <w:szCs w:val="24"/>
          <w:lang w:val="en-US"/>
        </w:rPr>
      </w:pPr>
      <w:r w:rsidRPr="00797DA5">
        <w:rPr>
          <w:rFonts w:ascii="Times New Roman" w:eastAsiaTheme="minorEastAsia" w:hAnsi="Times New Roman" w:cs="Times New Roman"/>
          <w:sz w:val="24"/>
          <w:szCs w:val="24"/>
          <w:lang w:val="en-US"/>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lang w:val="en-US"/>
        </w:rPr>
        <w:t xml:space="preserve"> (0),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lang w:val="en-US"/>
        </w:rPr>
        <w:t xml:space="preserve">(1)] </w:t>
      </w:r>
      <m:oMath>
        <m:r>
          <w:rPr>
            <w:rFonts w:ascii="Cambria Math" w:eastAsiaTheme="minorEastAsia" w:hAnsi="Cambria Math" w:cs="Times New Roman"/>
            <w:sz w:val="24"/>
            <w:szCs w:val="24"/>
            <w:lang w:val="en-US"/>
          </w:rPr>
          <m:t>⊥</m:t>
        </m:r>
      </m:oMath>
      <w:r w:rsidRPr="00797DA5">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lang w:val="en-US"/>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lang w:val="en-US"/>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lang w:val="en-US"/>
        </w:rPr>
        <w:t xml:space="preserve"> (0), </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lang w:val="en-US"/>
        </w:rPr>
        <w:t xml:space="preserve"> (1)] </w:t>
      </w:r>
      <m:oMath>
        <m:r>
          <w:rPr>
            <w:rFonts w:ascii="Cambria Math" w:eastAsiaTheme="minorEastAsia" w:hAnsi="Cambria Math" w:cs="Times New Roman"/>
            <w:sz w:val="24"/>
            <w:szCs w:val="24"/>
            <w:lang w:val="en-US"/>
          </w:rPr>
          <m:t>⊥</m:t>
        </m:r>
      </m:oMath>
      <w:r w:rsidRPr="00797DA5">
        <w:rPr>
          <w:rFonts w:ascii="Times New Roman" w:eastAsiaTheme="minorEastAsia" w:hAnsi="Times New Roman" w:cs="Times New Roman"/>
          <w:sz w:val="24"/>
          <w:szCs w:val="24"/>
          <w:lang w:val="en-US"/>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lang w:val="en-US"/>
        </w:rPr>
        <w:t xml:space="preserve"> | </w:t>
      </w:r>
      <w:proofErr w:type="gramStart"/>
      <w:r w:rsidRPr="00797DA5">
        <w:rPr>
          <w:rFonts w:ascii="Times New Roman" w:eastAsiaTheme="minorEastAsia" w:hAnsi="Times New Roman" w:cs="Times New Roman"/>
          <w:i/>
          <w:iCs/>
          <w:sz w:val="24"/>
          <w:szCs w:val="24"/>
          <w:lang w:val="en-US"/>
        </w:rPr>
        <w:t>p</w:t>
      </w:r>
      <w:r w:rsidRPr="00797DA5">
        <w:rPr>
          <w:rFonts w:ascii="Times New Roman" w:eastAsiaTheme="minorEastAsia" w:hAnsi="Times New Roman" w:cs="Times New Roman"/>
          <w:sz w:val="24"/>
          <w:szCs w:val="24"/>
          <w:lang w:val="en-US"/>
        </w:rPr>
        <w:t>(</w:t>
      </w:r>
      <w:proofErr w:type="gramEnd"/>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lang w:val="en-US"/>
        </w:rPr>
        <w:t xml:space="preserve">) </w:t>
      </w:r>
      <w:r w:rsidRPr="00797DA5">
        <w:rPr>
          <w:rFonts w:ascii="Times New Roman" w:eastAsiaTheme="minorEastAsia" w:hAnsi="Times New Roman" w:cs="Times New Roman"/>
          <w:sz w:val="24"/>
          <w:szCs w:val="24"/>
          <w:lang w:val="en-US"/>
        </w:rPr>
        <w:tab/>
      </w:r>
      <w:r w:rsidRPr="00797DA5">
        <w:rPr>
          <w:rFonts w:ascii="Times New Roman" w:eastAsiaTheme="minorEastAsia" w:hAnsi="Times New Roman" w:cs="Times New Roman"/>
          <w:sz w:val="24"/>
          <w:szCs w:val="24"/>
          <w:lang w:val="en-US"/>
        </w:rPr>
        <w:tab/>
      </w:r>
      <w:r w:rsidRPr="00797DA5">
        <w:rPr>
          <w:rFonts w:ascii="Times New Roman" w:eastAsiaTheme="minorEastAsia" w:hAnsi="Times New Roman" w:cs="Times New Roman"/>
          <w:sz w:val="24"/>
          <w:szCs w:val="24"/>
          <w:lang w:val="en-US"/>
        </w:rPr>
        <w:tab/>
        <w:t>(2)</w:t>
      </w:r>
    </w:p>
    <w:p w14:paraId="029250DF" w14:textId="77777777" w:rsidR="007B5CB5" w:rsidRDefault="007B5CB5" w:rsidP="007B5CB5">
      <w:pPr>
        <w:spacing w:after="0" w:line="360" w:lineRule="auto"/>
        <w:jc w:val="right"/>
        <w:rPr>
          <w:rFonts w:ascii="Times New Roman" w:eastAsiaTheme="minorEastAsia" w:hAnsi="Times New Roman" w:cs="Times New Roman"/>
          <w:sz w:val="24"/>
          <w:szCs w:val="24"/>
          <w:lang w:val="en-US"/>
        </w:rPr>
      </w:pPr>
    </w:p>
    <w:p w14:paraId="42351E3A" w14:textId="77777777" w:rsidR="007B5CB5" w:rsidRDefault="007B5CB5" w:rsidP="007B5CB5">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 xml:space="preserve">A partir daí, serão calculados os escores de propensão para todas as observações, o que permite parear os municípios que produzem </w:t>
      </w:r>
      <w:r>
        <w:rPr>
          <w:rFonts w:ascii="Times New Roman" w:hAnsi="Times New Roman" w:cs="Times New Roman"/>
          <w:sz w:val="24"/>
          <w:szCs w:val="24"/>
        </w:rPr>
        <w:t>soja</w:t>
      </w:r>
      <w:r w:rsidRPr="00797DA5">
        <w:rPr>
          <w:rFonts w:ascii="Times New Roman" w:hAnsi="Times New Roman" w:cs="Times New Roman"/>
          <w:sz w:val="24"/>
          <w:szCs w:val="24"/>
        </w:rPr>
        <w:t xml:space="preserve">, com base na proximidade dos escores de propensão (PEIXOTO, 2017). Independência condicional do tratamento dado o vetor de observáveis e suporte são as principais hipóteses do modelo para garantir o pareamento (GERTLER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2018; PEIXOTO, 2017).</w:t>
      </w:r>
    </w:p>
    <w:p w14:paraId="0AD57F27" w14:textId="77777777" w:rsidR="007B5CB5" w:rsidRDefault="007B5CB5" w:rsidP="007B5CB5">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Com base nas informações obtidas na cartilha do PNPB, consider</w:t>
      </w:r>
      <w:r>
        <w:rPr>
          <w:rFonts w:ascii="Times New Roman" w:hAnsi="Times New Roman" w:cs="Times New Roman"/>
          <w:sz w:val="24"/>
          <w:szCs w:val="24"/>
        </w:rPr>
        <w:t>ou-se</w:t>
      </w:r>
      <w:r w:rsidRPr="00797DA5">
        <w:rPr>
          <w:rFonts w:ascii="Times New Roman" w:hAnsi="Times New Roman" w:cs="Times New Roman"/>
          <w:sz w:val="24"/>
          <w:szCs w:val="24"/>
        </w:rPr>
        <w:t xml:space="preserve"> os dados georreferenciados do Projeto Polos de Biodiesel, que são espaços geográficos contendo diversos municípios com presença de agricultores familiares, produtores e potenciais produtores de insumos destinados à produção de biodiesel nos termos do PNPB (MAPA, 2020; PRADOY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2017).  Desta forma, o escore de propensão para participação no programa pode ser estimado por meio de modelos binários, onde a função de densidade acumulada seguirá uma distribuição logística</w:t>
      </w:r>
      <w:r w:rsidRPr="00797DA5">
        <w:rPr>
          <w:rStyle w:val="Refdenotaderodap"/>
          <w:rFonts w:ascii="Times New Roman" w:hAnsi="Times New Roman" w:cs="Times New Roman"/>
          <w:sz w:val="24"/>
          <w:szCs w:val="24"/>
        </w:rPr>
        <w:footnoteReference w:id="3"/>
      </w:r>
      <w:r w:rsidRPr="00797DA5">
        <w:rPr>
          <w:rFonts w:ascii="Times New Roman" w:hAnsi="Times New Roman" w:cs="Times New Roman"/>
          <w:sz w:val="24"/>
          <w:szCs w:val="24"/>
        </w:rPr>
        <w:t xml:space="preserve"> (CERULLI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2015; PEIXOTO, 2017).</w:t>
      </w:r>
    </w:p>
    <w:p w14:paraId="5C69F081" w14:textId="3B7BAABF" w:rsidR="007B5CB5" w:rsidRDefault="007B5CB5" w:rsidP="007B5CB5">
      <w:pPr>
        <w:spacing w:after="0" w:line="360" w:lineRule="auto"/>
        <w:jc w:val="both"/>
        <w:rPr>
          <w:rFonts w:ascii="Times New Roman" w:hAnsi="Times New Roman" w:cs="Times New Roman"/>
          <w:sz w:val="24"/>
          <w:szCs w:val="24"/>
        </w:rPr>
      </w:pPr>
      <w:r w:rsidRPr="00797DA5">
        <w:rPr>
          <w:rFonts w:ascii="Times New Roman" w:hAnsi="Times New Roman" w:cs="Times New Roman"/>
          <w:sz w:val="24"/>
          <w:szCs w:val="24"/>
        </w:rPr>
        <w:lastRenderedPageBreak/>
        <w:t xml:space="preserve">Além disso, vale destacar que as observações serão pareadas de acordo com a proximidade de seus escores utilizando um algoritmo que auxilia nesse processo, sendo o mais usual </w:t>
      </w:r>
      <w:proofErr w:type="spellStart"/>
      <w:r w:rsidRPr="00797DA5">
        <w:rPr>
          <w:rFonts w:ascii="Times New Roman" w:hAnsi="Times New Roman" w:cs="Times New Roman"/>
          <w:i/>
          <w:iCs/>
          <w:sz w:val="24"/>
          <w:szCs w:val="24"/>
        </w:rPr>
        <w:t>Nearest</w:t>
      </w:r>
      <w:proofErr w:type="spellEnd"/>
      <w:r w:rsidRPr="00797DA5">
        <w:rPr>
          <w:rFonts w:ascii="Times New Roman" w:hAnsi="Times New Roman" w:cs="Times New Roman"/>
          <w:i/>
          <w:iCs/>
          <w:sz w:val="24"/>
          <w:szCs w:val="24"/>
        </w:rPr>
        <w:t xml:space="preserve"> </w:t>
      </w:r>
      <w:proofErr w:type="spellStart"/>
      <w:r w:rsidRPr="00797DA5">
        <w:rPr>
          <w:rFonts w:ascii="Times New Roman" w:hAnsi="Times New Roman" w:cs="Times New Roman"/>
          <w:i/>
          <w:iCs/>
          <w:sz w:val="24"/>
          <w:szCs w:val="24"/>
        </w:rPr>
        <w:t>Neighbor</w:t>
      </w:r>
      <w:proofErr w:type="spellEnd"/>
      <w:r w:rsidRPr="00797DA5">
        <w:rPr>
          <w:rFonts w:ascii="Times New Roman" w:hAnsi="Times New Roman" w:cs="Times New Roman"/>
          <w:sz w:val="24"/>
          <w:szCs w:val="24"/>
        </w:rPr>
        <w:t xml:space="preserve"> ou técnica do vizinho mais próximo (GERTLER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xml:space="preserve">, 2018; PEIXOTO, 2017). Desta forma, </w:t>
      </w:r>
      <w:r>
        <w:rPr>
          <w:rFonts w:ascii="Times New Roman" w:hAnsi="Times New Roman" w:cs="Times New Roman"/>
          <w:sz w:val="24"/>
          <w:szCs w:val="24"/>
        </w:rPr>
        <w:t>o PSM permite que sejam obtidos</w:t>
      </w:r>
      <w:r w:rsidRPr="00797DA5">
        <w:rPr>
          <w:rFonts w:ascii="Times New Roman" w:hAnsi="Times New Roman" w:cs="Times New Roman"/>
          <w:sz w:val="24"/>
          <w:szCs w:val="24"/>
        </w:rPr>
        <w:t xml:space="preserve"> grupos de controle e tratamento estatisticamente comparáveis</w:t>
      </w:r>
      <w:r>
        <w:rPr>
          <w:rFonts w:ascii="Times New Roman" w:hAnsi="Times New Roman" w:cs="Times New Roman"/>
          <w:sz w:val="24"/>
          <w:szCs w:val="24"/>
        </w:rPr>
        <w:t>, a</w:t>
      </w:r>
      <w:r w:rsidRPr="00797DA5">
        <w:rPr>
          <w:rFonts w:ascii="Times New Roman" w:hAnsi="Times New Roman" w:cs="Times New Roman"/>
          <w:sz w:val="24"/>
          <w:szCs w:val="24"/>
        </w:rPr>
        <w:t xml:space="preserve">pós isso, estes grupos serão utilizados para responder os objetivos da pesquisa através da aplicação do método de </w:t>
      </w:r>
      <w:proofErr w:type="spellStart"/>
      <w:r w:rsidRPr="00797DA5">
        <w:rPr>
          <w:rFonts w:ascii="Times New Roman" w:hAnsi="Times New Roman" w:cs="Times New Roman"/>
          <w:i/>
          <w:iCs/>
          <w:sz w:val="24"/>
          <w:szCs w:val="24"/>
        </w:rPr>
        <w:t>diff</w:t>
      </w:r>
      <w:proofErr w:type="spellEnd"/>
      <w:r w:rsidRPr="00797DA5">
        <w:rPr>
          <w:rFonts w:ascii="Times New Roman" w:hAnsi="Times New Roman" w:cs="Times New Roman"/>
          <w:i/>
          <w:iCs/>
          <w:sz w:val="24"/>
          <w:szCs w:val="24"/>
        </w:rPr>
        <w:t>-</w:t>
      </w:r>
      <w:proofErr w:type="spellStart"/>
      <w:r w:rsidRPr="00797DA5">
        <w:rPr>
          <w:rFonts w:ascii="Times New Roman" w:hAnsi="Times New Roman" w:cs="Times New Roman"/>
          <w:i/>
          <w:iCs/>
          <w:sz w:val="24"/>
          <w:szCs w:val="24"/>
        </w:rPr>
        <w:t>in-diff</w:t>
      </w:r>
      <w:proofErr w:type="spellEnd"/>
      <w:r w:rsidRPr="00797DA5">
        <w:rPr>
          <w:rFonts w:ascii="Times New Roman" w:hAnsi="Times New Roman" w:cs="Times New Roman"/>
          <w:sz w:val="24"/>
          <w:szCs w:val="24"/>
        </w:rPr>
        <w:t>, exposto na próxima seção.</w:t>
      </w:r>
    </w:p>
    <w:p w14:paraId="16933CD1" w14:textId="77777777" w:rsidR="007B5CB5" w:rsidRPr="007B5CB5" w:rsidRDefault="007B5CB5" w:rsidP="007B5CB5">
      <w:pPr>
        <w:spacing w:after="0" w:line="360" w:lineRule="auto"/>
        <w:ind w:left="720"/>
        <w:jc w:val="both"/>
        <w:rPr>
          <w:rFonts w:ascii="Times New Roman" w:hAnsi="Times New Roman" w:cs="Times New Roman"/>
          <w:sz w:val="24"/>
          <w:szCs w:val="24"/>
        </w:rPr>
      </w:pPr>
    </w:p>
    <w:p w14:paraId="36A16C06" w14:textId="5B25C1AB" w:rsidR="007B5CB5" w:rsidRDefault="007B5CB5" w:rsidP="007B5CB5">
      <w:pPr>
        <w:pStyle w:val="PargrafodaLista"/>
        <w:numPr>
          <w:ilvl w:val="2"/>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Painel de efeito fixo com estimador de diferença em diferenças</w:t>
      </w:r>
    </w:p>
    <w:p w14:paraId="69882D20" w14:textId="3A22E01A" w:rsidR="00EC2CD7" w:rsidRDefault="00EC2CD7" w:rsidP="00EC2CD7">
      <w:pPr>
        <w:spacing w:after="0" w:line="360" w:lineRule="auto"/>
        <w:ind w:left="360"/>
        <w:jc w:val="both"/>
        <w:rPr>
          <w:rFonts w:ascii="Times New Roman" w:hAnsi="Times New Roman" w:cs="Times New Roman"/>
          <w:sz w:val="24"/>
          <w:szCs w:val="24"/>
        </w:rPr>
      </w:pPr>
    </w:p>
    <w:p w14:paraId="730C50E2" w14:textId="77777777" w:rsidR="007B5CB5" w:rsidRPr="00797DA5" w:rsidRDefault="007B5CB5" w:rsidP="007B5CB5">
      <w:pPr>
        <w:spacing w:after="0" w:line="360" w:lineRule="auto"/>
        <w:ind w:firstLine="708"/>
        <w:jc w:val="both"/>
        <w:rPr>
          <w:rFonts w:ascii="Times New Roman" w:hAnsi="Times New Roman" w:cs="Times New Roman"/>
          <w:color w:val="FF0000"/>
          <w:sz w:val="24"/>
          <w:szCs w:val="24"/>
        </w:rPr>
      </w:pPr>
      <w:r w:rsidRPr="00797DA5">
        <w:rPr>
          <w:rFonts w:ascii="Times New Roman" w:hAnsi="Times New Roman" w:cs="Times New Roman"/>
          <w:sz w:val="24"/>
          <w:szCs w:val="24"/>
        </w:rPr>
        <w:t xml:space="preserve">O pareamento por escore de propensão não é capaz de incorporar características observáveis, </w:t>
      </w:r>
      <w:r>
        <w:rPr>
          <w:rFonts w:ascii="Times New Roman" w:hAnsi="Times New Roman" w:cs="Times New Roman"/>
          <w:sz w:val="24"/>
          <w:szCs w:val="24"/>
        </w:rPr>
        <w:t>para</w:t>
      </w:r>
      <w:r w:rsidRPr="00797DA5">
        <w:rPr>
          <w:rFonts w:ascii="Times New Roman" w:hAnsi="Times New Roman" w:cs="Times New Roman"/>
          <w:sz w:val="24"/>
          <w:szCs w:val="24"/>
        </w:rPr>
        <w:t xml:space="preserve"> explicar o porquê </w:t>
      </w:r>
      <w:r>
        <w:rPr>
          <w:rFonts w:ascii="Times New Roman" w:hAnsi="Times New Roman" w:cs="Times New Roman"/>
          <w:sz w:val="24"/>
          <w:szCs w:val="24"/>
        </w:rPr>
        <w:t>de alguns</w:t>
      </w:r>
      <w:r w:rsidRPr="00797DA5">
        <w:rPr>
          <w:rFonts w:ascii="Times New Roman" w:hAnsi="Times New Roman" w:cs="Times New Roman"/>
          <w:sz w:val="24"/>
          <w:szCs w:val="24"/>
        </w:rPr>
        <w:t xml:space="preserve"> município</w:t>
      </w:r>
      <w:r>
        <w:rPr>
          <w:rFonts w:ascii="Times New Roman" w:hAnsi="Times New Roman" w:cs="Times New Roman"/>
          <w:sz w:val="24"/>
          <w:szCs w:val="24"/>
        </w:rPr>
        <w:t>s</w:t>
      </w:r>
      <w:r w:rsidRPr="00797DA5">
        <w:rPr>
          <w:rFonts w:ascii="Times New Roman" w:hAnsi="Times New Roman" w:cs="Times New Roman"/>
          <w:sz w:val="24"/>
          <w:szCs w:val="24"/>
        </w:rPr>
        <w:t xml:space="preserve"> produtor</w:t>
      </w:r>
      <w:r>
        <w:rPr>
          <w:rFonts w:ascii="Times New Roman" w:hAnsi="Times New Roman" w:cs="Times New Roman"/>
          <w:sz w:val="24"/>
          <w:szCs w:val="24"/>
        </w:rPr>
        <w:t>es</w:t>
      </w:r>
      <w:r w:rsidRPr="00797DA5">
        <w:rPr>
          <w:rFonts w:ascii="Times New Roman" w:hAnsi="Times New Roman" w:cs="Times New Roman"/>
          <w:sz w:val="24"/>
          <w:szCs w:val="24"/>
        </w:rPr>
        <w:t xml:space="preserve"> de oleaginosas optar</w:t>
      </w:r>
      <w:r>
        <w:rPr>
          <w:rFonts w:ascii="Times New Roman" w:hAnsi="Times New Roman" w:cs="Times New Roman"/>
          <w:sz w:val="24"/>
          <w:szCs w:val="24"/>
        </w:rPr>
        <w:t>em</w:t>
      </w:r>
      <w:r w:rsidRPr="00797DA5">
        <w:rPr>
          <w:rFonts w:ascii="Times New Roman" w:hAnsi="Times New Roman" w:cs="Times New Roman"/>
          <w:sz w:val="24"/>
          <w:szCs w:val="24"/>
        </w:rPr>
        <w:t xml:space="preserve"> </w:t>
      </w:r>
      <w:r>
        <w:rPr>
          <w:rFonts w:ascii="Times New Roman" w:hAnsi="Times New Roman" w:cs="Times New Roman"/>
          <w:sz w:val="24"/>
          <w:szCs w:val="24"/>
        </w:rPr>
        <w:t xml:space="preserve">por </w:t>
      </w:r>
      <w:r w:rsidRPr="00797DA5">
        <w:rPr>
          <w:rFonts w:ascii="Times New Roman" w:hAnsi="Times New Roman" w:cs="Times New Roman"/>
          <w:sz w:val="24"/>
          <w:szCs w:val="24"/>
        </w:rPr>
        <w:t>participar do PNPB,</w:t>
      </w:r>
      <w:r>
        <w:rPr>
          <w:rFonts w:ascii="Times New Roman" w:hAnsi="Times New Roman" w:cs="Times New Roman"/>
          <w:sz w:val="24"/>
          <w:szCs w:val="24"/>
        </w:rPr>
        <w:t xml:space="preserve"> e outros não. </w:t>
      </w:r>
      <w:r w:rsidRPr="00797DA5">
        <w:rPr>
          <w:rFonts w:ascii="Times New Roman" w:eastAsiaTheme="minorEastAsia" w:hAnsi="Times New Roman" w:cs="Times New Roman"/>
          <w:sz w:val="24"/>
          <w:szCs w:val="24"/>
        </w:rPr>
        <w:t>Para dados em painel, pode-se combinar o método de pareamento com</w:t>
      </w:r>
      <w:r>
        <w:rPr>
          <w:rFonts w:ascii="Times New Roman" w:eastAsiaTheme="minorEastAsia" w:hAnsi="Times New Roman" w:cs="Times New Roman"/>
          <w:sz w:val="24"/>
          <w:szCs w:val="24"/>
        </w:rPr>
        <w:t xml:space="preserve"> o</w:t>
      </w:r>
      <w:r w:rsidRPr="00797DA5">
        <w:rPr>
          <w:rFonts w:ascii="Times New Roman" w:eastAsiaTheme="minorEastAsia" w:hAnsi="Times New Roman" w:cs="Times New Roman"/>
          <w:sz w:val="24"/>
          <w:szCs w:val="24"/>
        </w:rPr>
        <w:t xml:space="preserve"> </w:t>
      </w:r>
      <w:proofErr w:type="spellStart"/>
      <w:r w:rsidRPr="00797DA5">
        <w:rPr>
          <w:rFonts w:ascii="Times New Roman" w:eastAsiaTheme="minorEastAsia" w:hAnsi="Times New Roman" w:cs="Times New Roman"/>
          <w:i/>
          <w:iCs/>
          <w:sz w:val="24"/>
          <w:szCs w:val="24"/>
        </w:rPr>
        <w:t>diff</w:t>
      </w:r>
      <w:proofErr w:type="spellEnd"/>
      <w:r w:rsidRPr="00797DA5">
        <w:rPr>
          <w:rFonts w:ascii="Times New Roman" w:eastAsiaTheme="minorEastAsia" w:hAnsi="Times New Roman" w:cs="Times New Roman"/>
          <w:i/>
          <w:iCs/>
          <w:sz w:val="24"/>
          <w:szCs w:val="24"/>
        </w:rPr>
        <w:t>-</w:t>
      </w:r>
      <w:proofErr w:type="spellStart"/>
      <w:r w:rsidRPr="00797DA5">
        <w:rPr>
          <w:rFonts w:ascii="Times New Roman" w:eastAsiaTheme="minorEastAsia" w:hAnsi="Times New Roman" w:cs="Times New Roman"/>
          <w:i/>
          <w:iCs/>
          <w:sz w:val="24"/>
          <w:szCs w:val="24"/>
        </w:rPr>
        <w:t>in-diff</w:t>
      </w:r>
      <w:proofErr w:type="spellEnd"/>
      <w:r w:rsidRPr="00797DA5">
        <w:rPr>
          <w:rFonts w:ascii="Times New Roman" w:eastAsiaTheme="minorEastAsia" w:hAnsi="Times New Roman" w:cs="Times New Roman"/>
          <w:sz w:val="24"/>
          <w:szCs w:val="24"/>
        </w:rPr>
        <w:t>, pois a combinação desses métodos faz com que seja possível considerar hipóteses mais fracas, ou seja,</w:t>
      </w:r>
      <w:r w:rsidRPr="00797DA5">
        <w:rPr>
          <w:rFonts w:ascii="Times New Roman" w:hAnsi="Times New Roman" w:cs="Times New Roman"/>
          <w:sz w:val="24"/>
          <w:szCs w:val="24"/>
        </w:rPr>
        <w:t xml:space="preserve"> permite-se que os fatores não observáveis, que sejam constantes ao longo do tempo, sejam eliminados</w:t>
      </w:r>
      <w:r>
        <w:rPr>
          <w:rFonts w:ascii="Times New Roman" w:hAnsi="Times New Roman" w:cs="Times New Roman"/>
          <w:sz w:val="24"/>
          <w:szCs w:val="24"/>
        </w:rPr>
        <w:t>, além de possibilitar a pressuposição de tendências paralelas, considerando um curto período de tempo anterior à implementação do programa</w:t>
      </w:r>
      <w:r w:rsidRPr="00797DA5">
        <w:rPr>
          <w:rFonts w:ascii="Times New Roman" w:hAnsi="Times New Roman" w:cs="Times New Roman"/>
          <w:sz w:val="24"/>
          <w:szCs w:val="24"/>
        </w:rPr>
        <w:t xml:space="preserve"> </w:t>
      </w:r>
      <w:r w:rsidRPr="00797DA5">
        <w:rPr>
          <w:rFonts w:ascii="Times New Roman" w:eastAsiaTheme="minorEastAsia" w:hAnsi="Times New Roman" w:cs="Times New Roman"/>
          <w:sz w:val="24"/>
          <w:szCs w:val="24"/>
        </w:rPr>
        <w:t xml:space="preserve">(CERULLI </w:t>
      </w:r>
      <w:r w:rsidRPr="00797DA5">
        <w:rPr>
          <w:rFonts w:ascii="Times New Roman" w:eastAsiaTheme="minorEastAsia" w:hAnsi="Times New Roman" w:cs="Times New Roman"/>
          <w:i/>
          <w:iCs/>
          <w:sz w:val="24"/>
          <w:szCs w:val="24"/>
        </w:rPr>
        <w:t>et al</w:t>
      </w:r>
      <w:r w:rsidRPr="00797DA5">
        <w:rPr>
          <w:rFonts w:ascii="Times New Roman" w:eastAsiaTheme="minorEastAsia" w:hAnsi="Times New Roman" w:cs="Times New Roman"/>
          <w:sz w:val="24"/>
          <w:szCs w:val="24"/>
        </w:rPr>
        <w:t xml:space="preserve">., 2015; GERTLER </w:t>
      </w:r>
      <w:r w:rsidRPr="00797DA5">
        <w:rPr>
          <w:rFonts w:ascii="Times New Roman" w:eastAsiaTheme="minorEastAsia" w:hAnsi="Times New Roman" w:cs="Times New Roman"/>
          <w:i/>
          <w:iCs/>
          <w:sz w:val="24"/>
          <w:szCs w:val="24"/>
        </w:rPr>
        <w:t>et al.</w:t>
      </w:r>
      <w:r w:rsidRPr="00797DA5">
        <w:rPr>
          <w:rFonts w:ascii="Times New Roman" w:eastAsiaTheme="minorEastAsia" w:hAnsi="Times New Roman" w:cs="Times New Roman"/>
          <w:sz w:val="24"/>
          <w:szCs w:val="24"/>
        </w:rPr>
        <w:t>, 2018; PEIXOTO, 2017).</w:t>
      </w:r>
      <w:r w:rsidRPr="00797DA5">
        <w:rPr>
          <w:rFonts w:ascii="Times New Roman" w:hAnsi="Times New Roman" w:cs="Times New Roman"/>
          <w:sz w:val="24"/>
          <w:szCs w:val="24"/>
        </w:rPr>
        <w:t xml:space="preserve"> </w:t>
      </w:r>
    </w:p>
    <w:p w14:paraId="3A87F306" w14:textId="77777777" w:rsidR="007B5CB5" w:rsidRDefault="007B5CB5" w:rsidP="007B5CB5">
      <w:pPr>
        <w:spacing w:after="0" w:line="360" w:lineRule="auto"/>
        <w:jc w:val="both"/>
        <w:rPr>
          <w:rFonts w:ascii="Times New Roman" w:hAnsi="Times New Roman" w:cs="Times New Roman"/>
          <w:sz w:val="24"/>
          <w:szCs w:val="24"/>
        </w:rPr>
      </w:pPr>
      <w:r w:rsidRPr="00797DA5">
        <w:rPr>
          <w:rFonts w:ascii="Times New Roman" w:hAnsi="Times New Roman" w:cs="Times New Roman"/>
          <w:sz w:val="24"/>
          <w:szCs w:val="24"/>
        </w:rPr>
        <w:tab/>
        <w:t xml:space="preserve">De acordo com </w:t>
      </w:r>
      <w:proofErr w:type="spellStart"/>
      <w:r w:rsidRPr="00797DA5">
        <w:rPr>
          <w:rFonts w:ascii="Times New Roman" w:hAnsi="Times New Roman" w:cs="Times New Roman"/>
          <w:sz w:val="24"/>
          <w:szCs w:val="24"/>
        </w:rPr>
        <w:t>Gertler</w:t>
      </w:r>
      <w:proofErr w:type="spellEnd"/>
      <w:r w:rsidRPr="00797DA5">
        <w:rPr>
          <w:rFonts w:ascii="Times New Roman" w:hAnsi="Times New Roman" w:cs="Times New Roman"/>
          <w:sz w:val="24"/>
          <w:szCs w:val="24"/>
        </w:rPr>
        <w:t xml:space="preserve">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xml:space="preserve"> (2018) e Peixoto (2017), este método é baseado no cálculo de uma dupla diferença. A primeira diferença é referente à diferença entre as médias da variável dependente entre o período anterior e posterior ao programa para os grupos de controle e tratamento. A segunda diferença refere-se à diferença calculada entre esses dois grupos. O estimador de </w:t>
      </w:r>
      <w:proofErr w:type="spellStart"/>
      <w:r w:rsidRPr="00797DA5">
        <w:rPr>
          <w:rFonts w:ascii="Times New Roman" w:hAnsi="Times New Roman" w:cs="Times New Roman"/>
          <w:i/>
          <w:iCs/>
          <w:sz w:val="24"/>
          <w:szCs w:val="24"/>
        </w:rPr>
        <w:t>diff</w:t>
      </w:r>
      <w:proofErr w:type="spellEnd"/>
      <w:r w:rsidRPr="00797DA5">
        <w:rPr>
          <w:rFonts w:ascii="Times New Roman" w:hAnsi="Times New Roman" w:cs="Times New Roman"/>
          <w:i/>
          <w:iCs/>
          <w:sz w:val="24"/>
          <w:szCs w:val="24"/>
        </w:rPr>
        <w:t>-</w:t>
      </w:r>
      <w:proofErr w:type="spellStart"/>
      <w:r w:rsidRPr="00797DA5">
        <w:rPr>
          <w:rFonts w:ascii="Times New Roman" w:hAnsi="Times New Roman" w:cs="Times New Roman"/>
          <w:i/>
          <w:iCs/>
          <w:sz w:val="24"/>
          <w:szCs w:val="24"/>
        </w:rPr>
        <w:t>in-diff</w:t>
      </w:r>
      <w:proofErr w:type="spellEnd"/>
      <w:r w:rsidRPr="00797DA5">
        <w:rPr>
          <w:rFonts w:ascii="Times New Roman" w:hAnsi="Times New Roman" w:cs="Times New Roman"/>
          <w:sz w:val="24"/>
          <w:szCs w:val="24"/>
        </w:rPr>
        <w:t xml:space="preserve"> é dado por:</w:t>
      </w:r>
    </w:p>
    <w:p w14:paraId="0C831003" w14:textId="77777777" w:rsidR="007B5CB5" w:rsidRPr="00797DA5" w:rsidRDefault="007B5CB5" w:rsidP="007B5CB5">
      <w:pPr>
        <w:spacing w:after="0" w:line="360" w:lineRule="auto"/>
        <w:jc w:val="both"/>
        <w:rPr>
          <w:rFonts w:ascii="Times New Roman" w:hAnsi="Times New Roman" w:cs="Times New Roman"/>
          <w:sz w:val="24"/>
          <w:szCs w:val="24"/>
        </w:rPr>
      </w:pPr>
    </w:p>
    <w:p w14:paraId="1B0A0CF9" w14:textId="77777777" w:rsidR="007B5CB5" w:rsidRPr="00797DA5" w:rsidRDefault="007B5CB5" w:rsidP="007B5CB5">
      <w:pPr>
        <w:spacing w:after="0" w:line="36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DD</m:t>
            </m:r>
          </m:sub>
        </m:sSub>
      </m:oMath>
      <w:r w:rsidRPr="00797DA5">
        <w:rPr>
          <w:rFonts w:ascii="Times New Roman" w:eastAsiaTheme="minorEastAsia" w:hAnsi="Times New Roman" w:cs="Times New Roman"/>
          <w:sz w:val="24"/>
          <w:szCs w:val="24"/>
        </w:rPr>
        <w:t>={</w:t>
      </w:r>
      <w:r w:rsidRPr="00797DA5">
        <w:rPr>
          <w:rFonts w:ascii="Times New Roman" w:eastAsiaTheme="minorEastAsia" w:hAnsi="Times New Roman" w:cs="Times New Roman"/>
          <w:i/>
          <w:iCs/>
          <w:sz w:val="24"/>
          <w:szCs w:val="24"/>
        </w:rPr>
        <w:t>E</w:t>
      </w:r>
      <w:r w:rsidRPr="00797DA5">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(1)</m:t>
        </m:r>
      </m:oMath>
      <w:r w:rsidRPr="00797DA5">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w:t>
      </w:r>
      <w:proofErr w:type="gramStart"/>
      <w:r w:rsidRPr="00797DA5">
        <w:rPr>
          <w:rFonts w:ascii="Times New Roman" w:eastAsiaTheme="minorEastAsia" w:hAnsi="Times New Roman" w:cs="Times New Roman"/>
          <w:sz w:val="24"/>
          <w:szCs w:val="24"/>
        </w:rPr>
        <w:t>1,t</w:t>
      </w:r>
      <w:proofErr w:type="gramEnd"/>
      <w:r w:rsidRPr="00797DA5">
        <w:rPr>
          <w:rFonts w:ascii="Times New Roman" w:eastAsiaTheme="minorEastAsia" w:hAnsi="Times New Roman" w:cs="Times New Roman"/>
          <w:sz w:val="24"/>
          <w:szCs w:val="24"/>
        </w:rPr>
        <w:t xml:space="preserve">=1] - </w:t>
      </w:r>
      <w:r w:rsidRPr="00797DA5">
        <w:rPr>
          <w:rFonts w:ascii="Times New Roman" w:eastAsiaTheme="minorEastAsia" w:hAnsi="Times New Roman" w:cs="Times New Roman"/>
          <w:i/>
          <w:iCs/>
          <w:sz w:val="24"/>
          <w:szCs w:val="24"/>
        </w:rPr>
        <w:t>E</w:t>
      </w:r>
      <w:r w:rsidRPr="00797DA5">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(0)</m:t>
        </m:r>
      </m:oMath>
      <w:r w:rsidRPr="00797DA5">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=1,t=0]} - {</w:t>
      </w:r>
      <w:r w:rsidRPr="00797DA5">
        <w:rPr>
          <w:rFonts w:ascii="Times New Roman" w:eastAsiaTheme="minorEastAsia" w:hAnsi="Times New Roman" w:cs="Times New Roman"/>
          <w:i/>
          <w:iCs/>
          <w:sz w:val="24"/>
          <w:szCs w:val="24"/>
        </w:rPr>
        <w:t>E</w:t>
      </w:r>
      <w:r w:rsidRPr="00797DA5">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(0)|</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=0,t=1] - </w:t>
      </w:r>
      <w:r w:rsidRPr="00797DA5">
        <w:rPr>
          <w:rFonts w:ascii="Times New Roman" w:eastAsiaTheme="minorEastAsia" w:hAnsi="Times New Roman" w:cs="Times New Roman"/>
          <w:i/>
          <w:iCs/>
          <w:sz w:val="24"/>
          <w:szCs w:val="24"/>
        </w:rPr>
        <w:t>E</w:t>
      </w:r>
      <w:r w:rsidRPr="00797DA5">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(0)|</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=0,t=0}</w:t>
      </w:r>
      <w:r w:rsidRPr="00797DA5">
        <w:rPr>
          <w:rFonts w:ascii="Times New Roman" w:eastAsiaTheme="minorEastAsia" w:hAnsi="Times New Roman" w:cs="Times New Roman"/>
          <w:sz w:val="24"/>
          <w:szCs w:val="24"/>
        </w:rPr>
        <w:tab/>
      </w:r>
      <w:r w:rsidRPr="00797DA5">
        <w:rPr>
          <w:rFonts w:ascii="Times New Roman" w:hAnsi="Times New Roman" w:cs="Times New Roman"/>
          <w:sz w:val="24"/>
          <w:szCs w:val="24"/>
        </w:rPr>
        <w:t xml:space="preserve"> (3)</w:t>
      </w:r>
    </w:p>
    <w:p w14:paraId="6BA063AD" w14:textId="77777777" w:rsidR="007B5CB5" w:rsidRDefault="007B5CB5" w:rsidP="007B5CB5">
      <w:pPr>
        <w:spacing w:after="0" w:line="360" w:lineRule="auto"/>
        <w:ind w:firstLine="708"/>
        <w:jc w:val="both"/>
        <w:rPr>
          <w:rFonts w:ascii="Times New Roman" w:hAnsi="Times New Roman" w:cs="Times New Roman"/>
          <w:sz w:val="24"/>
          <w:szCs w:val="24"/>
        </w:rPr>
      </w:pPr>
    </w:p>
    <w:p w14:paraId="031CDF09" w14:textId="77777777" w:rsidR="007B5CB5" w:rsidRPr="00797DA5" w:rsidRDefault="007B5CB5" w:rsidP="007B5CB5">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 xml:space="preserve">Conforme </w:t>
      </w:r>
      <w:proofErr w:type="spellStart"/>
      <w:r w:rsidRPr="00797DA5">
        <w:rPr>
          <w:rFonts w:ascii="Times New Roman" w:hAnsi="Times New Roman" w:cs="Times New Roman"/>
          <w:sz w:val="24"/>
          <w:szCs w:val="24"/>
        </w:rPr>
        <w:t>Gertler</w:t>
      </w:r>
      <w:proofErr w:type="spellEnd"/>
      <w:r w:rsidRPr="00797DA5">
        <w:rPr>
          <w:rFonts w:ascii="Times New Roman" w:hAnsi="Times New Roman" w:cs="Times New Roman"/>
          <w:sz w:val="24"/>
          <w:szCs w:val="24"/>
        </w:rPr>
        <w:t xml:space="preserve"> </w:t>
      </w:r>
      <w:r w:rsidRPr="00797DA5">
        <w:rPr>
          <w:rFonts w:ascii="Times New Roman" w:hAnsi="Times New Roman" w:cs="Times New Roman"/>
          <w:i/>
          <w:iCs/>
          <w:sz w:val="24"/>
          <w:szCs w:val="24"/>
        </w:rPr>
        <w:t>et al.</w:t>
      </w:r>
      <w:r w:rsidRPr="00797DA5">
        <w:rPr>
          <w:rFonts w:ascii="Times New Roman" w:hAnsi="Times New Roman" w:cs="Times New Roman"/>
          <w:sz w:val="24"/>
          <w:szCs w:val="24"/>
        </w:rPr>
        <w:t>, (2018), o modelo pode ser apresentado por meio de uma regressão linear, conforme equação apresentada a seguir:</w:t>
      </w:r>
    </w:p>
    <w:p w14:paraId="05A50110" w14:textId="77777777" w:rsidR="007B5CB5" w:rsidRPr="0075380D" w:rsidRDefault="007B5CB5" w:rsidP="007B5CB5">
      <w:pPr>
        <w:spacing w:after="0" w:line="360" w:lineRule="auto"/>
        <w:jc w:val="right"/>
        <w:rPr>
          <w:rFonts w:ascii="Times New Roman" w:eastAsiaTheme="minorEastAsia" w:hAnsi="Times New Roman" w:cs="Times New Roman"/>
          <w:sz w:val="24"/>
          <w:szCs w:val="24"/>
        </w:rPr>
      </w:pPr>
    </w:p>
    <w:p w14:paraId="26267D69" w14:textId="77777777" w:rsidR="007B5CB5" w:rsidRDefault="007B5CB5" w:rsidP="007B5CB5">
      <w:pPr>
        <w:spacing w:after="0" w:line="36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Produtividade</m:t>
            </m:r>
          </m:e>
          <m:sub>
            <m:r>
              <w:rPr>
                <w:rFonts w:ascii="Cambria Math" w:hAnsi="Cambria Math" w:cs="Times New Roman"/>
                <w:sz w:val="24"/>
                <w:szCs w:val="24"/>
              </w:rPr>
              <m:t>it</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polos</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ano</m:t>
            </m:r>
          </m:sub>
        </m:sSub>
      </m:oMath>
      <w:r w:rsidRPr="00797DA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δ</w:t>
      </w:r>
      <w:r w:rsidRPr="00797DA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polos</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ano</m:t>
            </m:r>
          </m:sub>
        </m:sSub>
        <m:r>
          <w:rPr>
            <w:rFonts w:ascii="Cambria Math" w:hAnsi="Cambria Math" w:cs="Times New Roman"/>
            <w:sz w:val="24"/>
            <w:szCs w:val="24"/>
          </w:rPr>
          <m:t>)</m:t>
        </m:r>
      </m:oMath>
      <w:r w:rsidRPr="00797DA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w:t>
      </w:r>
      <w:r w:rsidRPr="00797DA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797DA5">
        <w:rPr>
          <w:rFonts w:ascii="Times New Roman" w:hAnsi="Times New Roman" w:cs="Times New Roman"/>
          <w:sz w:val="24"/>
          <w:szCs w:val="24"/>
        </w:rPr>
        <w:t>(4)</w:t>
      </w:r>
    </w:p>
    <w:p w14:paraId="2DA5F144" w14:textId="77777777" w:rsidR="007B5CB5" w:rsidRDefault="007B5CB5" w:rsidP="007B5CB5">
      <w:pPr>
        <w:spacing w:after="0" w:line="360" w:lineRule="auto"/>
        <w:jc w:val="right"/>
        <w:rPr>
          <w:rFonts w:ascii="Times New Roman" w:hAnsi="Times New Roman" w:cs="Times New Roman"/>
          <w:sz w:val="24"/>
          <w:szCs w:val="24"/>
        </w:rPr>
      </w:pPr>
    </w:p>
    <w:p w14:paraId="522576E9" w14:textId="77777777" w:rsidR="007B5CB5" w:rsidRDefault="007B5CB5" w:rsidP="007B5CB5">
      <w:pPr>
        <w:spacing w:after="0" w:line="36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rendimento médio</m:t>
            </m:r>
          </m:e>
          <m:sub>
            <m:r>
              <w:rPr>
                <w:rFonts w:ascii="Cambria Math" w:hAnsi="Cambria Math" w:cs="Times New Roman"/>
                <w:sz w:val="24"/>
                <w:szCs w:val="24"/>
              </w:rPr>
              <m:t>it</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polos</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ano</m:t>
            </m:r>
          </m:sub>
        </m:sSub>
      </m:oMath>
      <w:r w:rsidRPr="00797DA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δ</w:t>
      </w:r>
      <w:r w:rsidRPr="00797DA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polos</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ano</m:t>
            </m:r>
          </m:sub>
        </m:sSub>
        <m:r>
          <w:rPr>
            <w:rFonts w:ascii="Cambria Math" w:hAnsi="Cambria Math" w:cs="Times New Roman"/>
            <w:sz w:val="24"/>
            <w:szCs w:val="24"/>
          </w:rPr>
          <m:t>)</m:t>
        </m:r>
      </m:oMath>
      <w:r w:rsidRPr="00797DA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w:t>
      </w:r>
      <w:r w:rsidRPr="00797DA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v</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ab/>
      </w:r>
      <w:r w:rsidRPr="00797DA5">
        <w:rPr>
          <w:rFonts w:ascii="Times New Roman" w:hAnsi="Times New Roman" w:cs="Times New Roman"/>
          <w:sz w:val="24"/>
          <w:szCs w:val="24"/>
        </w:rPr>
        <w:t>(</w:t>
      </w:r>
      <w:r>
        <w:rPr>
          <w:rFonts w:ascii="Times New Roman" w:hAnsi="Times New Roman" w:cs="Times New Roman"/>
          <w:sz w:val="24"/>
          <w:szCs w:val="24"/>
        </w:rPr>
        <w:t>5</w:t>
      </w:r>
      <w:r w:rsidRPr="00797DA5">
        <w:rPr>
          <w:rFonts w:ascii="Times New Roman" w:hAnsi="Times New Roman" w:cs="Times New Roman"/>
          <w:sz w:val="24"/>
          <w:szCs w:val="24"/>
        </w:rPr>
        <w:t>)</w:t>
      </w:r>
    </w:p>
    <w:p w14:paraId="024FA97E" w14:textId="77777777" w:rsidR="007B5CB5" w:rsidRDefault="007B5CB5" w:rsidP="007B5CB5">
      <w:pPr>
        <w:spacing w:after="0" w:line="360" w:lineRule="auto"/>
        <w:jc w:val="right"/>
        <w:rPr>
          <w:rFonts w:ascii="Times New Roman" w:hAnsi="Times New Roman" w:cs="Times New Roman"/>
          <w:sz w:val="24"/>
          <w:szCs w:val="24"/>
        </w:rPr>
      </w:pPr>
    </w:p>
    <w:p w14:paraId="452604AA" w14:textId="77777777" w:rsidR="007B5CB5" w:rsidRPr="00797DA5" w:rsidRDefault="007B5CB5" w:rsidP="007B5CB5">
      <w:pPr>
        <w:spacing w:after="0" w:line="360" w:lineRule="auto"/>
        <w:jc w:val="right"/>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salários</m:t>
            </m:r>
          </m:e>
          <m:sub>
            <m:r>
              <w:rPr>
                <w:rFonts w:ascii="Cambria Math" w:hAnsi="Cambria Math" w:cs="Times New Roman"/>
                <w:sz w:val="24"/>
                <w:szCs w:val="24"/>
              </w:rPr>
              <m:t>it</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m:rPr>
                <m:sty m:val="p"/>
              </m:rPr>
              <w:rPr>
                <w:rFonts w:ascii="Cambria Math" w:eastAsiaTheme="minorEastAsia" w:hAnsi="Cambria Math" w:cs="Times New Roman"/>
                <w:sz w:val="24"/>
                <w:szCs w:val="24"/>
              </w:rPr>
              <m:t>α</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polos</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ano</m:t>
            </m:r>
          </m:sub>
        </m:sSub>
      </m:oMath>
      <w:r w:rsidRPr="00797DA5">
        <w:rPr>
          <w:rFonts w:ascii="Times New Roman" w:eastAsiaTheme="minorEastAsia" w:hAnsi="Times New Roman" w:cs="Times New Roman"/>
          <w:sz w:val="24"/>
          <w:szCs w:val="24"/>
        </w:rPr>
        <w:t xml:space="preserve"> + </w:t>
      </w:r>
      <w:r>
        <w:rPr>
          <w:rFonts w:ascii="Times New Roman" w:eastAsiaTheme="minorEastAsia" w:hAnsi="Times New Roman" w:cs="Times New Roman"/>
          <w:sz w:val="24"/>
          <w:szCs w:val="24"/>
        </w:rPr>
        <w:t xml:space="preserve">δ </w:t>
      </w:r>
      <w:r w:rsidRPr="00797DA5">
        <w:rPr>
          <w:rFonts w:ascii="Times New Roman" w:eastAsiaTheme="minorEastAsia" w:hAnsi="Times New Roman" w:cs="Times New Roman"/>
          <w:sz w:val="24"/>
          <w:szCs w:val="24"/>
        </w:rPr>
        <w:t>(</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polos</m:t>
            </m:r>
          </m:sub>
        </m:sSub>
      </m:oMath>
      <w:r w:rsidRPr="00797DA5">
        <w:rPr>
          <w:rFonts w:ascii="Times New Roman" w:eastAsiaTheme="minorEastAsia" w:hAnsi="Times New Roman" w:cs="Times New Roman"/>
          <w:sz w:val="24"/>
          <w:szCs w:val="24"/>
        </w:rPr>
        <w:t xml:space="preserve"> . </w:t>
      </w:r>
      <m:oMath>
        <m:sSub>
          <m:sSubPr>
            <m:ctrlPr>
              <w:rPr>
                <w:rFonts w:ascii="Cambria Math" w:hAnsi="Cambria Math" w:cs="Times New Roman"/>
                <w:i/>
                <w:sz w:val="24"/>
                <w:szCs w:val="24"/>
              </w:rPr>
            </m:ctrlPr>
          </m:sSubPr>
          <m:e>
            <m:r>
              <w:rPr>
                <w:rFonts w:ascii="Cambria Math" w:hAnsi="Cambria Math" w:cs="Times New Roman"/>
                <w:sz w:val="24"/>
                <w:szCs w:val="24"/>
              </w:rPr>
              <m:t>d</m:t>
            </m:r>
          </m:e>
          <m:sub>
            <m:r>
              <w:rPr>
                <w:rFonts w:ascii="Cambria Math" w:hAnsi="Cambria Math" w:cs="Times New Roman"/>
                <w:sz w:val="24"/>
                <w:szCs w:val="24"/>
              </w:rPr>
              <m:t>ano</m:t>
            </m:r>
          </m:sub>
        </m:sSub>
        <m:r>
          <w:rPr>
            <w:rFonts w:ascii="Cambria Math" w:hAnsi="Cambria Math" w:cs="Times New Roman"/>
            <w:sz w:val="24"/>
            <w:szCs w:val="24"/>
          </w:rPr>
          <m:t>)</m:t>
        </m:r>
      </m:oMath>
      <w:r w:rsidRPr="00797DA5">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it</m:t>
            </m:r>
          </m:sub>
        </m:sSub>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β</m:t>
            </m:r>
          </m:e>
          <m:sup>
            <m:r>
              <w:rPr>
                <w:rFonts w:ascii="Cambria Math" w:eastAsiaTheme="minorEastAsia" w:hAnsi="Cambria Math" w:cs="Times New Roman"/>
                <w:sz w:val="24"/>
                <w:szCs w:val="24"/>
              </w:rPr>
              <m:t>'</m:t>
            </m:r>
          </m:sup>
        </m:sSup>
      </m:oMath>
      <w:r>
        <w:rPr>
          <w:rFonts w:ascii="Times New Roman" w:eastAsiaTheme="minorEastAsia" w:hAnsi="Times New Roman" w:cs="Times New Roman"/>
          <w:sz w:val="24"/>
          <w:szCs w:val="24"/>
        </w:rPr>
        <w:t xml:space="preserve"> +</w:t>
      </w:r>
      <w:r w:rsidRPr="00797DA5">
        <w:rPr>
          <w:rFonts w:ascii="Times New Roman" w:eastAsiaTheme="minorEastAsia"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γ</m:t>
            </m:r>
          </m:e>
          <m:sub>
            <m:r>
              <w:rPr>
                <w:rFonts w:ascii="Cambria Math" w:hAnsi="Cambria Math" w:cs="Times New Roman"/>
                <w:sz w:val="24"/>
                <w:szCs w:val="24"/>
              </w:rPr>
              <m:t>it</m:t>
            </m:r>
          </m:sub>
        </m:sSub>
      </m:oMath>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w:r w:rsidRPr="00797DA5">
        <w:rPr>
          <w:rFonts w:ascii="Times New Roman" w:hAnsi="Times New Roman" w:cs="Times New Roman"/>
          <w:sz w:val="24"/>
          <w:szCs w:val="24"/>
        </w:rPr>
        <w:t>(</w:t>
      </w:r>
      <w:r>
        <w:rPr>
          <w:rFonts w:ascii="Times New Roman" w:hAnsi="Times New Roman" w:cs="Times New Roman"/>
          <w:sz w:val="24"/>
          <w:szCs w:val="24"/>
        </w:rPr>
        <w:t>6</w:t>
      </w:r>
      <w:r w:rsidRPr="00797DA5">
        <w:rPr>
          <w:rFonts w:ascii="Times New Roman" w:hAnsi="Times New Roman" w:cs="Times New Roman"/>
          <w:sz w:val="24"/>
          <w:szCs w:val="24"/>
        </w:rPr>
        <w:t>)</w:t>
      </w:r>
    </w:p>
    <w:p w14:paraId="5E8DC8F2" w14:textId="77777777" w:rsidR="007B5CB5" w:rsidRDefault="007B5CB5" w:rsidP="007B5CB5">
      <w:pPr>
        <w:spacing w:after="0" w:line="360" w:lineRule="auto"/>
        <w:ind w:firstLine="708"/>
        <w:jc w:val="both"/>
        <w:rPr>
          <w:rFonts w:ascii="Times New Roman" w:hAnsi="Times New Roman" w:cs="Times New Roman"/>
          <w:sz w:val="24"/>
          <w:szCs w:val="24"/>
        </w:rPr>
      </w:pPr>
    </w:p>
    <w:p w14:paraId="0062DEEF" w14:textId="77777777" w:rsidR="007B5CB5" w:rsidRPr="00797DA5" w:rsidRDefault="007B5CB5" w:rsidP="007B5CB5">
      <w:pPr>
        <w:spacing w:after="0" w:line="360" w:lineRule="auto"/>
        <w:ind w:firstLine="708"/>
        <w:jc w:val="both"/>
        <w:rPr>
          <w:rFonts w:ascii="Times New Roman" w:eastAsiaTheme="minorEastAsia" w:hAnsi="Times New Roman" w:cs="Times New Roman"/>
          <w:sz w:val="24"/>
          <w:szCs w:val="24"/>
        </w:rPr>
      </w:pPr>
      <w:r w:rsidRPr="00797DA5">
        <w:rPr>
          <w:rFonts w:ascii="Times New Roman" w:hAnsi="Times New Roman" w:cs="Times New Roman"/>
          <w:sz w:val="24"/>
          <w:szCs w:val="24"/>
        </w:rPr>
        <w:t xml:space="preserve">O subscrito </w:t>
      </w:r>
      <w:r w:rsidRPr="00797DA5">
        <w:rPr>
          <w:rFonts w:ascii="Times New Roman" w:hAnsi="Times New Roman" w:cs="Times New Roman"/>
          <w:i/>
          <w:iCs/>
          <w:sz w:val="24"/>
          <w:szCs w:val="24"/>
        </w:rPr>
        <w:t xml:space="preserve">t </w:t>
      </w:r>
      <w:r w:rsidRPr="00797DA5">
        <w:rPr>
          <w:rFonts w:ascii="Times New Roman" w:hAnsi="Times New Roman" w:cs="Times New Roman"/>
          <w:sz w:val="24"/>
          <w:szCs w:val="24"/>
        </w:rPr>
        <w:t xml:space="preserve">refere-se o período de tempo no qual o indivíduo </w:t>
      </w:r>
      <w:r w:rsidRPr="00797DA5">
        <w:rPr>
          <w:rFonts w:ascii="Times New Roman" w:hAnsi="Times New Roman" w:cs="Times New Roman"/>
          <w:i/>
          <w:iCs/>
          <w:sz w:val="24"/>
          <w:szCs w:val="24"/>
        </w:rPr>
        <w:t xml:space="preserve">i </w:t>
      </w:r>
      <w:r w:rsidRPr="00797DA5">
        <w:rPr>
          <w:rFonts w:ascii="Times New Roman" w:hAnsi="Times New Roman" w:cs="Times New Roman"/>
          <w:sz w:val="24"/>
          <w:szCs w:val="24"/>
        </w:rPr>
        <w:t xml:space="preserve">se encontra, </w:t>
      </w: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i</m:t>
            </m:r>
          </m:sub>
        </m:sSub>
      </m:oMath>
      <w:r w:rsidRPr="00797DA5">
        <w:rPr>
          <w:rFonts w:ascii="Times New Roman" w:eastAsiaTheme="minorEastAsia" w:hAnsi="Times New Roman" w:cs="Times New Roman"/>
          <w:sz w:val="24"/>
          <w:szCs w:val="24"/>
        </w:rPr>
        <w:t xml:space="preserve"> é uma variável binária que assume o valor 1 se o indivíduo é tratado e 0 caso contrário, o termo ϱ impõe que a variável de resultado na ausência de intervenção varia entre os períodos de tempo da mesma forma para o grupo de controle e tratamento, a variável </w:t>
      </w:r>
      <m:oMath>
        <m:sSub>
          <m:sSubPr>
            <m:ctrlPr>
              <w:rPr>
                <w:rFonts w:ascii="Cambria Math" w:hAnsi="Cambria Math" w:cs="Times New Roman"/>
                <w:i/>
                <w:sz w:val="24"/>
                <w:szCs w:val="24"/>
              </w:rPr>
            </m:ctrlPr>
          </m:sSubPr>
          <m:e>
            <m:r>
              <w:rPr>
                <w:rFonts w:ascii="Cambria Math" w:hAnsi="Cambria Math" w:cs="Times New Roman"/>
                <w:sz w:val="24"/>
                <w:szCs w:val="24"/>
              </w:rPr>
              <m:t>dt</m:t>
            </m:r>
          </m:e>
          <m:sub>
            <m:r>
              <w:rPr>
                <w:rFonts w:ascii="Cambria Math" w:hAnsi="Cambria Math" w:cs="Times New Roman"/>
                <w:sz w:val="24"/>
                <w:szCs w:val="24"/>
              </w:rPr>
              <m:t>t</m:t>
            </m:r>
          </m:sub>
        </m:sSub>
      </m:oMath>
      <w:r w:rsidRPr="00797DA5">
        <w:rPr>
          <w:rFonts w:ascii="Times New Roman" w:eastAsiaTheme="minorEastAsia" w:hAnsi="Times New Roman" w:cs="Times New Roman"/>
          <w:sz w:val="24"/>
          <w:szCs w:val="24"/>
        </w:rPr>
        <w:t xml:space="preserve">também é binária assumindo o valor 1 no período pós programa e 0 caso contrário. O termo </w:t>
      </w:r>
      <m:oMath>
        <m:sSub>
          <m:sSubPr>
            <m:ctrlPr>
              <w:rPr>
                <w:rFonts w:ascii="Cambria Math" w:hAnsi="Cambria Math" w:cs="Times New Roman"/>
                <w:i/>
                <w:sz w:val="24"/>
                <w:szCs w:val="24"/>
              </w:rPr>
            </m:ctrlPr>
          </m:sSubPr>
          <m:e>
            <m:r>
              <w:rPr>
                <w:rFonts w:ascii="Cambria Math" w:hAnsi="Cambria Math" w:cs="Times New Roman"/>
                <w:sz w:val="24"/>
                <w:szCs w:val="24"/>
              </w:rPr>
              <m:t>ε</m:t>
            </m:r>
          </m:e>
          <m:sub>
            <m:r>
              <w:rPr>
                <w:rFonts w:ascii="Cambria Math" w:hAnsi="Cambria Math" w:cs="Times New Roman"/>
                <w:sz w:val="24"/>
                <w:szCs w:val="24"/>
              </w:rPr>
              <m:t>it</m:t>
            </m:r>
          </m:sub>
        </m:sSub>
      </m:oMath>
      <w:r w:rsidRPr="00797DA5">
        <w:rPr>
          <w:rFonts w:ascii="Times New Roman" w:eastAsiaTheme="minorEastAsia" w:hAnsi="Times New Roman" w:cs="Times New Roman"/>
          <w:sz w:val="24"/>
          <w:szCs w:val="24"/>
        </w:rPr>
        <w:t xml:space="preserve"> representa o distúrbio aleatório com média nula.</w:t>
      </w:r>
    </w:p>
    <w:p w14:paraId="6C0F2354" w14:textId="77777777" w:rsidR="007B5CB5" w:rsidRPr="00797DA5" w:rsidRDefault="007B5CB5" w:rsidP="007B5CB5">
      <w:pPr>
        <w:spacing w:after="0" w:line="360" w:lineRule="auto"/>
        <w:jc w:val="both"/>
        <w:rPr>
          <w:rFonts w:ascii="Times New Roman" w:hAnsi="Times New Roman" w:cs="Times New Roman"/>
          <w:sz w:val="24"/>
          <w:szCs w:val="24"/>
        </w:rPr>
      </w:pPr>
      <w:r w:rsidRPr="00797DA5">
        <w:rPr>
          <w:rFonts w:ascii="Times New Roman" w:eastAsiaTheme="minorEastAsia" w:hAnsi="Times New Roman" w:cs="Times New Roman"/>
          <w:sz w:val="24"/>
          <w:szCs w:val="24"/>
        </w:rPr>
        <w:tab/>
      </w:r>
      <w:r w:rsidRPr="00797DA5">
        <w:rPr>
          <w:rFonts w:ascii="Times New Roman" w:hAnsi="Times New Roman" w:cs="Times New Roman"/>
          <w:sz w:val="24"/>
          <w:szCs w:val="24"/>
        </w:rPr>
        <w:t xml:space="preserve">Formalmente, o método que combina pareamento e o método de </w:t>
      </w:r>
      <w:proofErr w:type="spellStart"/>
      <w:r w:rsidRPr="00797DA5">
        <w:rPr>
          <w:rFonts w:ascii="Times New Roman" w:hAnsi="Times New Roman" w:cs="Times New Roman"/>
          <w:i/>
          <w:iCs/>
          <w:sz w:val="24"/>
          <w:szCs w:val="24"/>
        </w:rPr>
        <w:t>diff</w:t>
      </w:r>
      <w:proofErr w:type="spellEnd"/>
      <w:r w:rsidRPr="00797DA5">
        <w:rPr>
          <w:rFonts w:ascii="Times New Roman" w:hAnsi="Times New Roman" w:cs="Times New Roman"/>
          <w:i/>
          <w:iCs/>
          <w:sz w:val="24"/>
          <w:szCs w:val="24"/>
        </w:rPr>
        <w:t>-</w:t>
      </w:r>
      <w:proofErr w:type="spellStart"/>
      <w:r w:rsidRPr="00797DA5">
        <w:rPr>
          <w:rFonts w:ascii="Times New Roman" w:hAnsi="Times New Roman" w:cs="Times New Roman"/>
          <w:i/>
          <w:iCs/>
          <w:sz w:val="24"/>
          <w:szCs w:val="24"/>
        </w:rPr>
        <w:t>in-diff</w:t>
      </w:r>
      <w:proofErr w:type="spellEnd"/>
      <w:r w:rsidRPr="00797DA5">
        <w:rPr>
          <w:rFonts w:ascii="Times New Roman" w:hAnsi="Times New Roman" w:cs="Times New Roman"/>
          <w:i/>
          <w:iCs/>
          <w:sz w:val="24"/>
          <w:szCs w:val="24"/>
        </w:rPr>
        <w:t xml:space="preserve"> </w:t>
      </w:r>
      <w:r w:rsidRPr="00797DA5">
        <w:rPr>
          <w:rFonts w:ascii="Times New Roman" w:hAnsi="Times New Roman" w:cs="Times New Roman"/>
          <w:sz w:val="24"/>
          <w:szCs w:val="24"/>
        </w:rPr>
        <w:t>estimam o seguinte parâmetro populacional:</w:t>
      </w:r>
    </w:p>
    <w:p w14:paraId="1BCB49AD" w14:textId="77777777" w:rsidR="007B5CB5" w:rsidRPr="00797DA5" w:rsidRDefault="007B5CB5" w:rsidP="007B5CB5">
      <w:pPr>
        <w:spacing w:after="0" w:line="360" w:lineRule="auto"/>
        <w:ind w:firstLine="708"/>
        <w:jc w:val="right"/>
        <w:rPr>
          <w:rFonts w:ascii="Times New Roman" w:hAnsi="Times New Roman" w:cs="Times New Roman"/>
          <w:sz w:val="24"/>
          <w:szCs w:val="24"/>
        </w:rPr>
      </w:pPr>
      <m:oMath>
        <m:sSub>
          <m:sSubPr>
            <m:ctrlPr>
              <w:rPr>
                <w:rFonts w:ascii="Cambria Math" w:hAnsi="Cambria Math" w:cs="Times New Roman"/>
                <w:i/>
                <w:sz w:val="24"/>
                <w:szCs w:val="24"/>
              </w:rPr>
            </m:ctrlPr>
          </m:sSubPr>
          <m:e>
            <m:r>
              <m:rPr>
                <m:sty m:val="p"/>
              </m:rPr>
              <w:rPr>
                <w:rFonts w:ascii="Cambria Math" w:hAnsi="Cambria Math" w:cs="Times New Roman"/>
                <w:sz w:val="24"/>
                <w:szCs w:val="24"/>
              </w:rPr>
              <m:t>EMPT</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t</m:t>
                </m:r>
              </m:e>
              <m:sub>
                <m:r>
                  <w:rPr>
                    <w:rFonts w:ascii="Cambria Math" w:hAnsi="Cambria Math" w:cs="Times New Roman"/>
                    <w:sz w:val="24"/>
                    <w:szCs w:val="24"/>
                  </w:rPr>
                  <m:t>0</m:t>
                </m:r>
              </m:sub>
            </m:sSub>
            <m:sSub>
              <m:sSubPr>
                <m:ctrlPr>
                  <w:rPr>
                    <w:rFonts w:ascii="Cambria Math" w:hAnsi="Cambria Math" w:cs="Times New Roman"/>
                    <w:i/>
                    <w:sz w:val="24"/>
                    <w:szCs w:val="24"/>
                  </w:rPr>
                </m:ctrlPr>
              </m:sSubPr>
              <m:e>
                <m:r>
                  <m:rPr>
                    <m:sty m:val="p"/>
                  </m:rPr>
                  <w:rPr>
                    <w:rFonts w:ascii="Cambria Math" w:hAnsi="Cambria Math" w:cs="Times New Roman"/>
                    <w:sz w:val="24"/>
                    <w:szCs w:val="24"/>
                  </w:rPr>
                  <m:t>t</m:t>
                </m:r>
              </m:e>
              <m:sub>
                <m:r>
                  <w:rPr>
                    <w:rFonts w:ascii="Cambria Math" w:hAnsi="Cambria Math" w:cs="Times New Roman"/>
                    <w:sz w:val="24"/>
                    <w:szCs w:val="24"/>
                  </w:rPr>
                  <m:t>1</m:t>
                </m:r>
              </m:sub>
            </m:sSub>
          </m:sub>
        </m:sSub>
      </m:oMath>
      <w:r w:rsidRPr="00797DA5">
        <w:rPr>
          <w:rFonts w:ascii="Times New Roman" w:eastAsiaTheme="minorEastAsia" w:hAnsi="Times New Roman" w:cs="Times New Roman"/>
          <w:sz w:val="24"/>
          <w:szCs w:val="24"/>
        </w:rPr>
        <w:t xml:space="preserve"> = </w:t>
      </w:r>
      <w:proofErr w:type="gramStart"/>
      <w:r w:rsidRPr="00797DA5">
        <w:rPr>
          <w:rFonts w:ascii="Times New Roman" w:eastAsiaTheme="minorEastAsia" w:hAnsi="Times New Roman" w:cs="Times New Roman"/>
          <w:i/>
          <w:iCs/>
          <w:sz w:val="24"/>
          <w:szCs w:val="24"/>
        </w:rPr>
        <w:t>E</w:t>
      </w:r>
      <w:r w:rsidRPr="00797DA5">
        <w:rPr>
          <w:rFonts w:ascii="Times New Roman" w:eastAsiaTheme="minorEastAsia" w:hAnsi="Times New Roman" w:cs="Times New Roman"/>
          <w:sz w:val="24"/>
          <w:szCs w:val="24"/>
        </w:rPr>
        <w:t>[</w:t>
      </w:r>
      <w:proofErr w:type="gramEnd"/>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it</m:t>
                </m:r>
              </m:e>
              <m:sub>
                <m:r>
                  <w:rPr>
                    <w:rFonts w:ascii="Cambria Math" w:hAnsi="Cambria Math" w:cs="Times New Roman"/>
                    <w:sz w:val="24"/>
                    <w:szCs w:val="24"/>
                  </w:rPr>
                  <m:t>1</m:t>
                </m:r>
              </m:sub>
            </m:sSub>
          </m:sub>
          <m:sup>
            <m:r>
              <w:rPr>
                <w:rFonts w:ascii="Cambria Math" w:eastAsiaTheme="minorEastAsia" w:hAnsi="Cambria Math" w:cs="Times New Roman"/>
                <w:sz w:val="24"/>
                <w:szCs w:val="24"/>
              </w:rPr>
              <m:t>1</m:t>
            </m:r>
          </m:sup>
        </m:sSubSup>
      </m:oMath>
      <w:r w:rsidRPr="00797DA5">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it</m:t>
                </m:r>
              </m:e>
              <m:sub>
                <m:r>
                  <w:rPr>
                    <w:rFonts w:ascii="Cambria Math" w:hAnsi="Cambria Math" w:cs="Times New Roman"/>
                    <w:sz w:val="24"/>
                    <w:szCs w:val="24"/>
                  </w:rPr>
                  <m:t>0</m:t>
                </m:r>
              </m:sub>
            </m:sSub>
          </m:sub>
          <m:sup>
            <m:r>
              <w:rPr>
                <w:rFonts w:ascii="Cambria Math" w:eastAsiaTheme="minorEastAsia" w:hAnsi="Cambria Math" w:cs="Times New Roman"/>
                <w:sz w:val="24"/>
                <w:szCs w:val="24"/>
              </w:rPr>
              <m:t>0</m:t>
            </m:r>
          </m:sup>
        </m:sSubSup>
      </m:oMath>
      <w:r w:rsidRPr="00797DA5">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797DA5">
        <w:rPr>
          <w:rFonts w:ascii="Times New Roman" w:eastAsiaTheme="minorEastAsia" w:hAnsi="Times New Roman" w:cs="Times New Roman"/>
          <w:sz w:val="24"/>
          <w:szCs w:val="24"/>
        </w:rPr>
        <w:t xml:space="preserve"> = 1, </w:t>
      </w:r>
      <w:r w:rsidRPr="00797DA5">
        <w:rPr>
          <w:rFonts w:ascii="Times New Roman" w:eastAsiaTheme="minorEastAsia" w:hAnsi="Times New Roman" w:cs="Times New Roman"/>
          <w:i/>
          <w:iCs/>
          <w:sz w:val="24"/>
          <w:szCs w:val="24"/>
        </w:rPr>
        <w:t>p</w:t>
      </w:r>
      <w:r w:rsidRPr="00797DA5">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797DA5">
        <w:rPr>
          <w:rFonts w:ascii="Times New Roman" w:eastAsiaTheme="minorEastAsia" w:hAnsi="Times New Roman" w:cs="Times New Roman"/>
          <w:sz w:val="24"/>
          <w:szCs w:val="24"/>
        </w:rPr>
        <w:t xml:space="preserve">)] - </w:t>
      </w:r>
      <w:r w:rsidRPr="00797DA5">
        <w:rPr>
          <w:rFonts w:ascii="Times New Roman" w:eastAsiaTheme="minorEastAsia" w:hAnsi="Times New Roman" w:cs="Times New Roman"/>
          <w:i/>
          <w:iCs/>
          <w:sz w:val="24"/>
          <w:szCs w:val="24"/>
        </w:rPr>
        <w:t>E</w:t>
      </w:r>
      <w:r w:rsidRPr="00797DA5">
        <w:rPr>
          <w:rFonts w:ascii="Times New Roman" w:eastAsiaTheme="minorEastAsia" w:hAnsi="Times New Roman" w:cs="Times New Roman"/>
          <w:sz w:val="24"/>
          <w:szCs w:val="24"/>
        </w:rPr>
        <w:t>[</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it</m:t>
                </m:r>
              </m:e>
              <m:sub>
                <m:r>
                  <w:rPr>
                    <w:rFonts w:ascii="Cambria Math" w:hAnsi="Cambria Math" w:cs="Times New Roman"/>
                    <w:sz w:val="24"/>
                    <w:szCs w:val="24"/>
                  </w:rPr>
                  <m:t>1</m:t>
                </m:r>
              </m:sub>
            </m:sSub>
          </m:sub>
          <m:sup>
            <m:r>
              <w:rPr>
                <w:rFonts w:ascii="Cambria Math" w:eastAsiaTheme="minorEastAsia" w:hAnsi="Cambria Math" w:cs="Times New Roman"/>
                <w:sz w:val="24"/>
                <w:szCs w:val="24"/>
              </w:rPr>
              <m:t>0</m:t>
            </m:r>
          </m:sup>
        </m:sSubSup>
      </m:oMath>
      <w:r w:rsidRPr="00797DA5">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it</m:t>
                </m:r>
              </m:e>
              <m:sub>
                <m:r>
                  <w:rPr>
                    <w:rFonts w:ascii="Cambria Math" w:hAnsi="Cambria Math" w:cs="Times New Roman"/>
                    <w:sz w:val="24"/>
                    <w:szCs w:val="24"/>
                  </w:rPr>
                  <m:t>0</m:t>
                </m:r>
              </m:sub>
            </m:sSub>
          </m:sub>
          <m:sup>
            <m:r>
              <w:rPr>
                <w:rFonts w:ascii="Cambria Math" w:eastAsiaTheme="minorEastAsia" w:hAnsi="Cambria Math" w:cs="Times New Roman"/>
                <w:sz w:val="24"/>
                <w:szCs w:val="24"/>
              </w:rPr>
              <m:t>0</m:t>
            </m:r>
          </m:sup>
        </m:sSubSup>
      </m:oMath>
      <w:r w:rsidRPr="00797DA5">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797DA5">
        <w:rPr>
          <w:rFonts w:ascii="Times New Roman" w:eastAsiaTheme="minorEastAsia" w:hAnsi="Times New Roman" w:cs="Times New Roman"/>
          <w:sz w:val="24"/>
          <w:szCs w:val="24"/>
        </w:rPr>
        <w:t xml:space="preserve"> = 0, </w:t>
      </w:r>
      <w:r w:rsidRPr="00797DA5">
        <w:rPr>
          <w:rFonts w:ascii="Times New Roman" w:eastAsiaTheme="minorEastAsia" w:hAnsi="Times New Roman" w:cs="Times New Roman"/>
          <w:i/>
          <w:iCs/>
          <w:sz w:val="24"/>
          <w:szCs w:val="24"/>
        </w:rPr>
        <w:t>p</w:t>
      </w:r>
      <w:r w:rsidRPr="00797DA5">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797DA5">
        <w:rPr>
          <w:rFonts w:ascii="Times New Roman" w:eastAsiaTheme="minorEastAsia" w:hAnsi="Times New Roman" w:cs="Times New Roman"/>
          <w:sz w:val="24"/>
          <w:szCs w:val="24"/>
        </w:rPr>
        <w:t>)]</w:t>
      </w:r>
      <w:r w:rsidRPr="00797DA5">
        <w:rPr>
          <w:rFonts w:ascii="Times New Roman" w:hAnsi="Times New Roman" w:cs="Times New Roman"/>
          <w:sz w:val="24"/>
          <w:szCs w:val="24"/>
        </w:rPr>
        <w:t xml:space="preserve"> </w:t>
      </w:r>
      <w:r w:rsidRPr="00797DA5">
        <w:rPr>
          <w:rFonts w:ascii="Times New Roman" w:hAnsi="Times New Roman" w:cs="Times New Roman"/>
          <w:sz w:val="24"/>
          <w:szCs w:val="24"/>
        </w:rPr>
        <w:tab/>
      </w:r>
      <w:r w:rsidRPr="00797DA5">
        <w:rPr>
          <w:rFonts w:ascii="Times New Roman" w:hAnsi="Times New Roman" w:cs="Times New Roman"/>
          <w:sz w:val="24"/>
          <w:szCs w:val="24"/>
        </w:rPr>
        <w:tab/>
        <w:t>(5)</w:t>
      </w:r>
    </w:p>
    <w:p w14:paraId="60D632F5" w14:textId="77777777" w:rsidR="007B5CB5" w:rsidRPr="00797DA5" w:rsidRDefault="007B5CB5" w:rsidP="007B5CB5">
      <w:pPr>
        <w:spacing w:after="0" w:line="360" w:lineRule="auto"/>
        <w:ind w:firstLine="708"/>
        <w:jc w:val="both"/>
        <w:rPr>
          <w:rFonts w:ascii="Times New Roman" w:eastAsiaTheme="minorEastAsia" w:hAnsi="Times New Roman" w:cs="Times New Roman"/>
          <w:sz w:val="24"/>
          <w:szCs w:val="24"/>
        </w:rPr>
      </w:pPr>
      <w:r w:rsidRPr="00797DA5">
        <w:rPr>
          <w:rFonts w:ascii="Times New Roman" w:hAnsi="Times New Roman" w:cs="Times New Roman"/>
          <w:sz w:val="24"/>
          <w:szCs w:val="24"/>
        </w:rPr>
        <w:t xml:space="preserve">Onde,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r>
              <w:rPr>
                <w:rFonts w:ascii="Cambria Math" w:eastAsiaTheme="minorEastAsia" w:hAnsi="Cambria Math" w:cs="Times New Roman"/>
                <w:sz w:val="24"/>
                <w:szCs w:val="24"/>
              </w:rPr>
              <m:t>it</m:t>
            </m:r>
          </m:sub>
          <m:sup>
            <m:r>
              <w:rPr>
                <w:rFonts w:ascii="Cambria Math" w:eastAsiaTheme="minorEastAsia" w:hAnsi="Cambria Math" w:cs="Times New Roman"/>
                <w:sz w:val="24"/>
                <w:szCs w:val="24"/>
              </w:rPr>
              <m:t>d</m:t>
            </m:r>
          </m:sup>
        </m:sSubSup>
      </m:oMath>
      <w:r w:rsidRPr="00797DA5">
        <w:rPr>
          <w:rFonts w:ascii="Times New Roman" w:eastAsiaTheme="minorEastAsia" w:hAnsi="Times New Roman" w:cs="Times New Roman"/>
          <w:sz w:val="24"/>
          <w:szCs w:val="24"/>
        </w:rPr>
        <w:t xml:space="preserve"> representa o resultado no tempo </w:t>
      </w:r>
      <w:r w:rsidRPr="00797DA5">
        <w:rPr>
          <w:rFonts w:ascii="Times New Roman" w:eastAsiaTheme="minorEastAsia" w:hAnsi="Times New Roman" w:cs="Times New Roman"/>
          <w:i/>
          <w:iCs/>
          <w:sz w:val="24"/>
          <w:szCs w:val="24"/>
        </w:rPr>
        <w:t>t</w:t>
      </w:r>
      <w:r w:rsidRPr="00797DA5">
        <w:rPr>
          <w:rFonts w:ascii="Times New Roman" w:eastAsiaTheme="minorEastAsia" w:hAnsi="Times New Roman" w:cs="Times New Roman"/>
          <w:sz w:val="24"/>
          <w:szCs w:val="24"/>
        </w:rPr>
        <w:t xml:space="preserve"> para o indivíduo </w:t>
      </w:r>
      <w:r w:rsidRPr="00797DA5">
        <w:rPr>
          <w:rFonts w:ascii="Times New Roman" w:eastAsiaTheme="minorEastAsia" w:hAnsi="Times New Roman" w:cs="Times New Roman"/>
          <w:i/>
          <w:iCs/>
          <w:sz w:val="24"/>
          <w:szCs w:val="24"/>
        </w:rPr>
        <w:t>i</w:t>
      </w:r>
      <w:r w:rsidRPr="00797DA5">
        <w:rPr>
          <w:rFonts w:ascii="Times New Roman" w:eastAsiaTheme="minorEastAsia" w:hAnsi="Times New Roman" w:cs="Times New Roman"/>
          <w:sz w:val="24"/>
          <w:szCs w:val="24"/>
        </w:rPr>
        <w:t xml:space="preserve"> quando seu status de tratamento é </w:t>
      </w:r>
      <w:r w:rsidRPr="00797DA5">
        <w:rPr>
          <w:rFonts w:ascii="Times New Roman" w:eastAsiaTheme="minorEastAsia" w:hAnsi="Times New Roman" w:cs="Times New Roman"/>
          <w:i/>
          <w:iCs/>
          <w:sz w:val="24"/>
          <w:szCs w:val="24"/>
        </w:rPr>
        <w:t>d</w:t>
      </w:r>
      <w:r w:rsidRPr="00797DA5">
        <w:rPr>
          <w:rFonts w:ascii="Times New Roman" w:eastAsiaTheme="minorEastAsia" w:hAnsi="Times New Roman" w:cs="Times New Roman"/>
          <w:sz w:val="24"/>
          <w:szCs w:val="24"/>
        </w:rPr>
        <w:t>. Para que este parâmetro corresponda ao efeito médio do tratamento sobre os tratados, é necessário que a hipótese seguinte seja válida:</w:t>
      </w:r>
    </w:p>
    <w:p w14:paraId="146DDB4A" w14:textId="77777777" w:rsidR="007B5CB5" w:rsidRPr="00797DA5" w:rsidRDefault="007B5CB5" w:rsidP="007B5CB5">
      <w:pPr>
        <w:spacing w:after="0" w:line="360" w:lineRule="auto"/>
        <w:jc w:val="right"/>
        <w:rPr>
          <w:rFonts w:ascii="Times New Roman" w:eastAsiaTheme="minorEastAsia" w:hAnsi="Times New Roman" w:cs="Times New Roman"/>
          <w:sz w:val="24"/>
          <w:szCs w:val="24"/>
        </w:rPr>
      </w:pPr>
      <w:r w:rsidRPr="00797DA5">
        <w:rPr>
          <w:rFonts w:ascii="Times New Roman" w:eastAsiaTheme="minorEastAsia" w:hAnsi="Times New Roman" w:cs="Times New Roman"/>
          <w:i/>
          <w:iCs/>
          <w:sz w:val="24"/>
          <w:szCs w:val="24"/>
        </w:rPr>
        <w:t>E</w:t>
      </w:r>
      <w:r w:rsidRPr="00797DA5">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it</m:t>
                </m:r>
              </m:e>
              <m:sub>
                <m:r>
                  <w:rPr>
                    <w:rFonts w:ascii="Cambria Math" w:hAnsi="Cambria Math" w:cs="Times New Roman"/>
                    <w:sz w:val="24"/>
                    <w:szCs w:val="24"/>
                  </w:rPr>
                  <m:t>1</m:t>
                </m:r>
              </m:sub>
            </m:sSub>
          </m:sub>
          <m:sup>
            <m:r>
              <w:rPr>
                <w:rFonts w:ascii="Cambria Math" w:eastAsiaTheme="minorEastAsia" w:hAnsi="Cambria Math" w:cs="Times New Roman"/>
                <w:sz w:val="24"/>
                <w:szCs w:val="24"/>
              </w:rPr>
              <m:t>0</m:t>
            </m:r>
          </m:sup>
        </m:sSubSup>
      </m:oMath>
      <w:r w:rsidRPr="00797DA5">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it</m:t>
                </m:r>
              </m:e>
              <m:sub>
                <m:r>
                  <w:rPr>
                    <w:rFonts w:ascii="Cambria Math" w:hAnsi="Cambria Math" w:cs="Times New Roman"/>
                    <w:sz w:val="24"/>
                    <w:szCs w:val="24"/>
                  </w:rPr>
                  <m:t>0</m:t>
                </m:r>
              </m:sub>
            </m:sSub>
          </m:sub>
          <m:sup>
            <m:r>
              <w:rPr>
                <w:rFonts w:ascii="Cambria Math" w:eastAsiaTheme="minorEastAsia" w:hAnsi="Cambria Math" w:cs="Times New Roman"/>
                <w:sz w:val="24"/>
                <w:szCs w:val="24"/>
              </w:rPr>
              <m:t>0</m:t>
            </m:r>
          </m:sup>
        </m:sSubSup>
      </m:oMath>
      <w:r w:rsidRPr="00797DA5">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797DA5">
        <w:rPr>
          <w:rFonts w:ascii="Times New Roman" w:eastAsiaTheme="minorEastAsia" w:hAnsi="Times New Roman" w:cs="Times New Roman"/>
          <w:sz w:val="24"/>
          <w:szCs w:val="24"/>
        </w:rPr>
        <w:t xml:space="preserve"> = 1, </w:t>
      </w:r>
      <w:proofErr w:type="gramStart"/>
      <w:r w:rsidRPr="00797DA5">
        <w:rPr>
          <w:rFonts w:ascii="Times New Roman" w:eastAsiaTheme="minorEastAsia" w:hAnsi="Times New Roman" w:cs="Times New Roman"/>
          <w:i/>
          <w:iCs/>
          <w:sz w:val="24"/>
          <w:szCs w:val="24"/>
        </w:rPr>
        <w:t>p</w:t>
      </w:r>
      <w:r w:rsidRPr="00797DA5">
        <w:rPr>
          <w:rFonts w:ascii="Times New Roman" w:eastAsiaTheme="minorEastAsia" w:hAnsi="Times New Roman" w:cs="Times New Roman"/>
          <w:sz w:val="24"/>
          <w:szCs w:val="24"/>
        </w:rPr>
        <w:t>(</w:t>
      </w:r>
      <w:proofErr w:type="gramEnd"/>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797DA5">
        <w:rPr>
          <w:rFonts w:ascii="Times New Roman" w:eastAsiaTheme="minorEastAsia" w:hAnsi="Times New Roman" w:cs="Times New Roman"/>
          <w:sz w:val="24"/>
          <w:szCs w:val="24"/>
        </w:rPr>
        <w:t xml:space="preserve">)] = </w:t>
      </w:r>
      <w:r w:rsidRPr="00797DA5">
        <w:rPr>
          <w:rFonts w:ascii="Times New Roman" w:eastAsiaTheme="minorEastAsia" w:hAnsi="Times New Roman" w:cs="Times New Roman"/>
          <w:i/>
          <w:iCs/>
          <w:sz w:val="24"/>
          <w:szCs w:val="24"/>
        </w:rPr>
        <w:t>E</w:t>
      </w:r>
      <w:r w:rsidRPr="00797DA5">
        <w:rPr>
          <w:rFonts w:ascii="Times New Roman" w:eastAsiaTheme="minorEastAsia" w:hAnsi="Times New Roman" w:cs="Times New Roman"/>
          <w:sz w:val="24"/>
          <w:szCs w:val="24"/>
        </w:rPr>
        <w:t xml:space="preserve">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it</m:t>
                </m:r>
              </m:e>
              <m:sub>
                <m:r>
                  <w:rPr>
                    <w:rFonts w:ascii="Cambria Math" w:hAnsi="Cambria Math" w:cs="Times New Roman"/>
                    <w:sz w:val="24"/>
                    <w:szCs w:val="24"/>
                  </w:rPr>
                  <m:t>1</m:t>
                </m:r>
              </m:sub>
            </m:sSub>
          </m:sub>
          <m:sup>
            <m:r>
              <w:rPr>
                <w:rFonts w:ascii="Cambria Math" w:eastAsiaTheme="minorEastAsia" w:hAnsi="Cambria Math" w:cs="Times New Roman"/>
                <w:sz w:val="24"/>
                <w:szCs w:val="24"/>
              </w:rPr>
              <m:t>0</m:t>
            </m:r>
          </m:sup>
        </m:sSubSup>
      </m:oMath>
      <w:r w:rsidRPr="00797DA5">
        <w:rPr>
          <w:rFonts w:ascii="Times New Roman" w:eastAsiaTheme="minorEastAsia" w:hAnsi="Times New Roman" w:cs="Times New Roman"/>
          <w:sz w:val="24"/>
          <w:szCs w:val="24"/>
        </w:rPr>
        <w:t xml:space="preserve"> - </w:t>
      </w:r>
      <m:oMath>
        <m:sSubSup>
          <m:sSubSupPr>
            <m:ctrlPr>
              <w:rPr>
                <w:rFonts w:ascii="Cambria Math" w:eastAsiaTheme="minorEastAsia" w:hAnsi="Cambria Math" w:cs="Times New Roman"/>
                <w:i/>
                <w:sz w:val="24"/>
                <w:szCs w:val="24"/>
              </w:rPr>
            </m:ctrlPr>
          </m:sSubSupPr>
          <m:e>
            <m:r>
              <w:rPr>
                <w:rFonts w:ascii="Cambria Math" w:eastAsiaTheme="minorEastAsia" w:hAnsi="Cambria Math" w:cs="Times New Roman"/>
                <w:sz w:val="24"/>
                <w:szCs w:val="24"/>
              </w:rPr>
              <m:t>Y</m:t>
            </m:r>
          </m:e>
          <m:sub>
            <m:sSub>
              <m:sSubPr>
                <m:ctrlPr>
                  <w:rPr>
                    <w:rFonts w:ascii="Cambria Math" w:hAnsi="Cambria Math" w:cs="Times New Roman"/>
                    <w:i/>
                    <w:sz w:val="24"/>
                    <w:szCs w:val="24"/>
                  </w:rPr>
                </m:ctrlPr>
              </m:sSubPr>
              <m:e>
                <m:r>
                  <m:rPr>
                    <m:sty m:val="p"/>
                  </m:rPr>
                  <w:rPr>
                    <w:rFonts w:ascii="Cambria Math" w:hAnsi="Cambria Math" w:cs="Times New Roman"/>
                    <w:sz w:val="24"/>
                    <w:szCs w:val="24"/>
                  </w:rPr>
                  <m:t>it</m:t>
                </m:r>
              </m:e>
              <m:sub>
                <m:r>
                  <w:rPr>
                    <w:rFonts w:ascii="Cambria Math" w:hAnsi="Cambria Math" w:cs="Times New Roman"/>
                    <w:sz w:val="24"/>
                    <w:szCs w:val="24"/>
                  </w:rPr>
                  <m:t>0</m:t>
                </m:r>
              </m:sub>
            </m:sSub>
          </m:sub>
          <m:sup>
            <m:r>
              <w:rPr>
                <w:rFonts w:ascii="Cambria Math" w:eastAsiaTheme="minorEastAsia" w:hAnsi="Cambria Math" w:cs="Times New Roman"/>
                <w:sz w:val="24"/>
                <w:szCs w:val="24"/>
              </w:rPr>
              <m:t>0</m:t>
            </m:r>
          </m:sup>
        </m:sSubSup>
      </m:oMath>
      <w:r w:rsidRPr="00797DA5">
        <w:rPr>
          <w:rFonts w:ascii="Times New Roman" w:eastAsiaTheme="minorEastAsia" w:hAnsi="Times New Roman" w:cs="Times New Roman"/>
          <w:sz w:val="24"/>
          <w:szCs w:val="24"/>
        </w:rPr>
        <w:t xml:space="preserve"> |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T</m:t>
            </m:r>
          </m:e>
          <m:sub>
            <m:r>
              <w:rPr>
                <w:rFonts w:ascii="Cambria Math" w:eastAsiaTheme="minorEastAsia" w:hAnsi="Cambria Math" w:cs="Times New Roman"/>
                <w:sz w:val="24"/>
                <w:szCs w:val="24"/>
              </w:rPr>
              <m:t>i</m:t>
            </m:r>
          </m:sub>
        </m:sSub>
      </m:oMath>
      <w:r w:rsidRPr="00797DA5">
        <w:rPr>
          <w:rFonts w:ascii="Times New Roman" w:eastAsiaTheme="minorEastAsia" w:hAnsi="Times New Roman" w:cs="Times New Roman"/>
          <w:sz w:val="24"/>
          <w:szCs w:val="24"/>
        </w:rPr>
        <w:t xml:space="preserve">  = 0, </w:t>
      </w:r>
      <w:r w:rsidRPr="00797DA5">
        <w:rPr>
          <w:rFonts w:ascii="Times New Roman" w:eastAsiaTheme="minorEastAsia" w:hAnsi="Times New Roman" w:cs="Times New Roman"/>
          <w:i/>
          <w:iCs/>
          <w:sz w:val="24"/>
          <w:szCs w:val="24"/>
        </w:rPr>
        <w:t>p</w:t>
      </w:r>
      <w:r w:rsidRPr="00797DA5">
        <w:rPr>
          <w:rFonts w:ascii="Times New Roman" w:eastAsiaTheme="minorEastAsia" w:hAnsi="Times New Roman" w:cs="Times New Roman"/>
          <w:sz w:val="24"/>
          <w:szCs w:val="24"/>
        </w:rPr>
        <w:t>(</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797DA5">
        <w:rPr>
          <w:rFonts w:ascii="Times New Roman" w:eastAsiaTheme="minorEastAsia" w:hAnsi="Times New Roman" w:cs="Times New Roman"/>
          <w:sz w:val="24"/>
          <w:szCs w:val="24"/>
        </w:rPr>
        <w:t>)]</w:t>
      </w:r>
      <w:r w:rsidRPr="00797DA5">
        <w:rPr>
          <w:rFonts w:ascii="Times New Roman" w:eastAsiaTheme="minorEastAsia" w:hAnsi="Times New Roman" w:cs="Times New Roman"/>
          <w:sz w:val="24"/>
          <w:szCs w:val="24"/>
        </w:rPr>
        <w:tab/>
      </w:r>
      <w:r w:rsidRPr="00797DA5">
        <w:rPr>
          <w:rFonts w:ascii="Times New Roman" w:eastAsiaTheme="minorEastAsia" w:hAnsi="Times New Roman" w:cs="Times New Roman"/>
          <w:sz w:val="24"/>
          <w:szCs w:val="24"/>
        </w:rPr>
        <w:tab/>
      </w:r>
      <w:r w:rsidRPr="00797DA5">
        <w:rPr>
          <w:rFonts w:ascii="Times New Roman" w:eastAsiaTheme="minorEastAsia" w:hAnsi="Times New Roman" w:cs="Times New Roman"/>
          <w:sz w:val="24"/>
          <w:szCs w:val="24"/>
        </w:rPr>
        <w:tab/>
        <w:t xml:space="preserve"> (6)</w:t>
      </w:r>
    </w:p>
    <w:p w14:paraId="55826A24" w14:textId="77777777" w:rsidR="007B5CB5" w:rsidRPr="00797DA5" w:rsidRDefault="007B5CB5" w:rsidP="007B5CB5">
      <w:pPr>
        <w:spacing w:after="0" w:line="360" w:lineRule="auto"/>
        <w:jc w:val="both"/>
        <w:rPr>
          <w:rFonts w:ascii="Times New Roman" w:eastAsiaTheme="minorEastAsia" w:hAnsi="Times New Roman" w:cs="Times New Roman"/>
          <w:sz w:val="24"/>
          <w:szCs w:val="24"/>
        </w:rPr>
      </w:pPr>
      <w:r w:rsidRPr="00797DA5">
        <w:rPr>
          <w:rFonts w:ascii="Times New Roman" w:eastAsiaTheme="minorEastAsia" w:hAnsi="Times New Roman" w:cs="Times New Roman"/>
          <w:sz w:val="24"/>
          <w:szCs w:val="24"/>
        </w:rPr>
        <w:tab/>
        <w:t>Essa hipótese é mais fraca do que a hipótese de seleção e variáveis observáveis, pois ainda é válida mesmo que existam fatores não observáveis que afetem a tomada de decisão e os resultados potenciais no período</w:t>
      </w:r>
      <w:r>
        <w:rPr>
          <w:rFonts w:ascii="Times New Roman" w:eastAsiaTheme="minorEastAsia" w:hAnsi="Times New Roman" w:cs="Times New Roman"/>
          <w:sz w:val="24"/>
          <w:szCs w:val="24"/>
        </w:rPr>
        <w:t xml:space="preserve"> analisado</w:t>
      </w:r>
      <w:r w:rsidRPr="00797DA5">
        <w:rPr>
          <w:rFonts w:ascii="Times New Roman" w:eastAsiaTheme="minorEastAsia" w:hAnsi="Times New Roman" w:cs="Times New Roman"/>
          <w:sz w:val="24"/>
          <w:szCs w:val="24"/>
        </w:rPr>
        <w:t xml:space="preserve">. Se a tendência na evolução dos resultados durante os períodos </w:t>
      </w:r>
      <w:proofErr w:type="spellStart"/>
      <w:r w:rsidRPr="00797DA5">
        <w:rPr>
          <w:rFonts w:ascii="Times New Roman" w:eastAsiaTheme="minorEastAsia" w:hAnsi="Times New Roman" w:cs="Times New Roman"/>
          <w:sz w:val="24"/>
          <w:szCs w:val="24"/>
        </w:rPr>
        <w:t>pré</w:t>
      </w:r>
      <w:proofErr w:type="spellEnd"/>
      <w:r w:rsidRPr="00797DA5">
        <w:rPr>
          <w:rFonts w:ascii="Times New Roman" w:eastAsiaTheme="minorEastAsia" w:hAnsi="Times New Roman" w:cs="Times New Roman"/>
          <w:sz w:val="24"/>
          <w:szCs w:val="24"/>
        </w:rPr>
        <w:t xml:space="preserve"> e pós adesão ao programa for a mesma no grupo de controle e tratamento, então a suposição está correta. O vetor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i</m:t>
            </m:r>
          </m:sub>
        </m:sSub>
      </m:oMath>
      <w:r w:rsidRPr="00797DA5">
        <w:rPr>
          <w:rFonts w:ascii="Times New Roman" w:eastAsiaTheme="minorEastAsia" w:hAnsi="Times New Roman" w:cs="Times New Roman"/>
          <w:sz w:val="24"/>
          <w:szCs w:val="24"/>
        </w:rPr>
        <w:t xml:space="preserve"> deve incluir todas as informações que um indivíduo pode obter ao decidir se deseja participar do programa, ou seja, são características observáveis antes do início do programa e são relevantes para a decisão de participar (GERTLER </w:t>
      </w:r>
      <w:r w:rsidRPr="00797DA5">
        <w:rPr>
          <w:rFonts w:ascii="Times New Roman" w:eastAsiaTheme="minorEastAsia" w:hAnsi="Times New Roman" w:cs="Times New Roman"/>
          <w:i/>
          <w:iCs/>
          <w:sz w:val="24"/>
          <w:szCs w:val="24"/>
        </w:rPr>
        <w:t>et al.</w:t>
      </w:r>
      <w:r w:rsidRPr="00797DA5">
        <w:rPr>
          <w:rFonts w:ascii="Times New Roman" w:eastAsiaTheme="minorEastAsia" w:hAnsi="Times New Roman" w:cs="Times New Roman"/>
          <w:sz w:val="24"/>
          <w:szCs w:val="24"/>
        </w:rPr>
        <w:t xml:space="preserve">, 2018; PEIXOTO, 2017) </w:t>
      </w:r>
    </w:p>
    <w:p w14:paraId="072ED321" w14:textId="77777777" w:rsidR="007B5CB5" w:rsidRPr="00797DA5" w:rsidRDefault="007B5CB5" w:rsidP="007B5CB5">
      <w:pPr>
        <w:spacing w:after="0" w:line="360" w:lineRule="auto"/>
        <w:jc w:val="both"/>
        <w:rPr>
          <w:rFonts w:ascii="Times New Roman" w:hAnsi="Times New Roman" w:cs="Times New Roman"/>
          <w:sz w:val="24"/>
          <w:szCs w:val="24"/>
        </w:rPr>
      </w:pPr>
      <w:r w:rsidRPr="00797DA5">
        <w:rPr>
          <w:rFonts w:ascii="Times New Roman" w:eastAsiaTheme="minorEastAsia" w:hAnsi="Times New Roman" w:cs="Times New Roman"/>
          <w:sz w:val="24"/>
          <w:szCs w:val="24"/>
        </w:rPr>
        <w:tab/>
        <w:t xml:space="preserve">De acordo com </w:t>
      </w:r>
      <w:proofErr w:type="spellStart"/>
      <w:r w:rsidRPr="00797DA5">
        <w:rPr>
          <w:rFonts w:ascii="Times New Roman" w:eastAsiaTheme="minorEastAsia" w:hAnsi="Times New Roman" w:cs="Times New Roman"/>
          <w:sz w:val="24"/>
          <w:szCs w:val="24"/>
        </w:rPr>
        <w:t>Gertler</w:t>
      </w:r>
      <w:proofErr w:type="spellEnd"/>
      <w:r w:rsidRPr="00797DA5">
        <w:rPr>
          <w:rFonts w:ascii="Times New Roman" w:eastAsiaTheme="minorEastAsia" w:hAnsi="Times New Roman" w:cs="Times New Roman"/>
          <w:sz w:val="24"/>
          <w:szCs w:val="24"/>
        </w:rPr>
        <w:t xml:space="preserve"> </w:t>
      </w:r>
      <w:r w:rsidRPr="00797DA5">
        <w:rPr>
          <w:rFonts w:ascii="Times New Roman" w:eastAsiaTheme="minorEastAsia" w:hAnsi="Times New Roman" w:cs="Times New Roman"/>
          <w:i/>
          <w:iCs/>
          <w:sz w:val="24"/>
          <w:szCs w:val="24"/>
        </w:rPr>
        <w:t>et al.</w:t>
      </w:r>
      <w:r w:rsidRPr="00797DA5">
        <w:rPr>
          <w:rFonts w:ascii="Times New Roman" w:eastAsiaTheme="minorEastAsia" w:hAnsi="Times New Roman" w:cs="Times New Roman"/>
          <w:sz w:val="24"/>
          <w:szCs w:val="24"/>
        </w:rPr>
        <w:t xml:space="preserve"> (2018), a combinação dos dois métodos (</w:t>
      </w:r>
      <w:r w:rsidRPr="00797DA5">
        <w:rPr>
          <w:rFonts w:ascii="Times New Roman" w:eastAsiaTheme="minorEastAsia" w:hAnsi="Times New Roman" w:cs="Times New Roman"/>
          <w:i/>
          <w:iCs/>
          <w:sz w:val="24"/>
          <w:szCs w:val="24"/>
        </w:rPr>
        <w:t>PSM</w:t>
      </w:r>
      <w:r w:rsidRPr="00797DA5">
        <w:rPr>
          <w:rFonts w:ascii="Times New Roman" w:hAnsi="Times New Roman" w:cs="Times New Roman"/>
          <w:sz w:val="24"/>
          <w:szCs w:val="24"/>
        </w:rPr>
        <w:t xml:space="preserve"> e </w:t>
      </w:r>
      <w:proofErr w:type="spellStart"/>
      <w:r w:rsidRPr="00797DA5">
        <w:rPr>
          <w:rFonts w:ascii="Times New Roman" w:hAnsi="Times New Roman" w:cs="Times New Roman"/>
          <w:i/>
          <w:iCs/>
          <w:sz w:val="24"/>
          <w:szCs w:val="24"/>
        </w:rPr>
        <w:t>diff</w:t>
      </w:r>
      <w:proofErr w:type="spellEnd"/>
      <w:r w:rsidRPr="00797DA5">
        <w:rPr>
          <w:rFonts w:ascii="Times New Roman" w:hAnsi="Times New Roman" w:cs="Times New Roman"/>
          <w:i/>
          <w:iCs/>
          <w:sz w:val="24"/>
          <w:szCs w:val="24"/>
        </w:rPr>
        <w:t>-</w:t>
      </w:r>
      <w:proofErr w:type="spellStart"/>
      <w:r w:rsidRPr="00797DA5">
        <w:rPr>
          <w:rFonts w:ascii="Times New Roman" w:hAnsi="Times New Roman" w:cs="Times New Roman"/>
          <w:i/>
          <w:iCs/>
          <w:sz w:val="24"/>
          <w:szCs w:val="24"/>
        </w:rPr>
        <w:t>in-diff</w:t>
      </w:r>
      <w:proofErr w:type="spellEnd"/>
      <w:r w:rsidRPr="00797DA5">
        <w:rPr>
          <w:rFonts w:ascii="Times New Roman" w:hAnsi="Times New Roman" w:cs="Times New Roman"/>
          <w:sz w:val="24"/>
          <w:szCs w:val="24"/>
        </w:rPr>
        <w:t xml:space="preserve">) pode ser aplicado seguindo estes procedimentos: i) obter o pareamento de acordo com as características observáveis; </w:t>
      </w:r>
      <w:proofErr w:type="spellStart"/>
      <w:r w:rsidRPr="00797DA5">
        <w:rPr>
          <w:rFonts w:ascii="Times New Roman" w:hAnsi="Times New Roman" w:cs="Times New Roman"/>
          <w:sz w:val="24"/>
          <w:szCs w:val="24"/>
        </w:rPr>
        <w:t>ii</w:t>
      </w:r>
      <w:proofErr w:type="spellEnd"/>
      <w:r w:rsidRPr="00797DA5">
        <w:rPr>
          <w:rFonts w:ascii="Times New Roman" w:hAnsi="Times New Roman" w:cs="Times New Roman"/>
          <w:sz w:val="24"/>
          <w:szCs w:val="24"/>
        </w:rPr>
        <w:t xml:space="preserve">) obter a primeira diferença, calcular a mudança nos resultados entre os períodos antes e depois do programa para cada unidade inscrita; </w:t>
      </w:r>
      <w:proofErr w:type="spellStart"/>
      <w:r w:rsidRPr="00797DA5">
        <w:rPr>
          <w:rFonts w:ascii="Times New Roman" w:hAnsi="Times New Roman" w:cs="Times New Roman"/>
          <w:sz w:val="24"/>
          <w:szCs w:val="24"/>
        </w:rPr>
        <w:t>iii</w:t>
      </w:r>
      <w:proofErr w:type="spellEnd"/>
      <w:r w:rsidRPr="00797DA5">
        <w:rPr>
          <w:rFonts w:ascii="Times New Roman" w:hAnsi="Times New Roman" w:cs="Times New Roman"/>
          <w:sz w:val="24"/>
          <w:szCs w:val="24"/>
        </w:rPr>
        <w:t xml:space="preserve">) calcular a mudança nos resultados entre os períodos anterior e posterior e depois para a comparação pareada dessa unidade, obtendo a segunda diferença; </w:t>
      </w:r>
      <w:proofErr w:type="spellStart"/>
      <w:r w:rsidRPr="00797DA5">
        <w:rPr>
          <w:rFonts w:ascii="Times New Roman" w:hAnsi="Times New Roman" w:cs="Times New Roman"/>
          <w:sz w:val="24"/>
          <w:szCs w:val="24"/>
        </w:rPr>
        <w:t>iv</w:t>
      </w:r>
      <w:proofErr w:type="spellEnd"/>
      <w:r w:rsidRPr="00797DA5">
        <w:rPr>
          <w:rFonts w:ascii="Times New Roman" w:hAnsi="Times New Roman" w:cs="Times New Roman"/>
          <w:sz w:val="24"/>
          <w:szCs w:val="24"/>
        </w:rPr>
        <w:t xml:space="preserve">) aplique o método de </w:t>
      </w:r>
      <w:proofErr w:type="spellStart"/>
      <w:r w:rsidRPr="00797DA5">
        <w:rPr>
          <w:rFonts w:ascii="Times New Roman" w:hAnsi="Times New Roman" w:cs="Times New Roman"/>
          <w:i/>
          <w:iCs/>
          <w:sz w:val="24"/>
          <w:szCs w:val="24"/>
        </w:rPr>
        <w:t>diff</w:t>
      </w:r>
      <w:proofErr w:type="spellEnd"/>
      <w:r w:rsidRPr="00797DA5">
        <w:rPr>
          <w:rFonts w:ascii="Times New Roman" w:hAnsi="Times New Roman" w:cs="Times New Roman"/>
          <w:i/>
          <w:iCs/>
          <w:sz w:val="24"/>
          <w:szCs w:val="24"/>
        </w:rPr>
        <w:t>-</w:t>
      </w:r>
      <w:proofErr w:type="spellStart"/>
      <w:r w:rsidRPr="00797DA5">
        <w:rPr>
          <w:rFonts w:ascii="Times New Roman" w:hAnsi="Times New Roman" w:cs="Times New Roman"/>
          <w:i/>
          <w:iCs/>
          <w:sz w:val="24"/>
          <w:szCs w:val="24"/>
        </w:rPr>
        <w:t>in-diff</w:t>
      </w:r>
      <w:proofErr w:type="spellEnd"/>
      <w:r w:rsidRPr="00797DA5">
        <w:rPr>
          <w:rFonts w:ascii="Times New Roman" w:hAnsi="Times New Roman" w:cs="Times New Roman"/>
          <w:sz w:val="24"/>
          <w:szCs w:val="24"/>
        </w:rPr>
        <w:t>, subtraindo a segunda diferença da primeira diferença; e v) obtenha a média dessas diferenças duplas.</w:t>
      </w:r>
    </w:p>
    <w:p w14:paraId="687E95E3" w14:textId="77777777" w:rsidR="007B5CB5" w:rsidRDefault="007B5CB5" w:rsidP="004A2094">
      <w:pPr>
        <w:spacing w:after="0" w:line="360" w:lineRule="auto"/>
        <w:ind w:firstLine="708"/>
        <w:jc w:val="both"/>
        <w:rPr>
          <w:rFonts w:ascii="Times New Roman" w:hAnsi="Times New Roman" w:cs="Times New Roman"/>
          <w:sz w:val="24"/>
          <w:szCs w:val="24"/>
        </w:rPr>
      </w:pPr>
      <w:r w:rsidRPr="00797DA5">
        <w:rPr>
          <w:rFonts w:ascii="Times New Roman" w:hAnsi="Times New Roman" w:cs="Times New Roman"/>
          <w:sz w:val="24"/>
          <w:szCs w:val="24"/>
        </w:rPr>
        <w:t>Conforme a metodologia apresentada,</w:t>
      </w:r>
      <w:r>
        <w:rPr>
          <w:rFonts w:ascii="Times New Roman" w:hAnsi="Times New Roman" w:cs="Times New Roman"/>
          <w:sz w:val="24"/>
          <w:szCs w:val="24"/>
        </w:rPr>
        <w:t xml:space="preserve"> a presente análise</w:t>
      </w:r>
      <w:r w:rsidRPr="00797DA5">
        <w:rPr>
          <w:rFonts w:ascii="Times New Roman" w:hAnsi="Times New Roman" w:cs="Times New Roman"/>
          <w:sz w:val="24"/>
          <w:szCs w:val="24"/>
        </w:rPr>
        <w:t xml:space="preserve"> pretende obter o efeito médio do tratamento sobre os tratados nos resultados de interesse, como: produtividade, renda média e salários das culturas relacionadas ao PNPB.</w:t>
      </w:r>
    </w:p>
    <w:p w14:paraId="1B1DC158" w14:textId="7E24E553" w:rsidR="00E677AA" w:rsidRPr="00222619" w:rsidRDefault="008F660A" w:rsidP="007B5CB5">
      <w:pPr>
        <w:spacing w:after="0" w:line="360" w:lineRule="auto"/>
        <w:ind w:left="360"/>
        <w:jc w:val="both"/>
        <w:rPr>
          <w:rFonts w:ascii="Times New Roman" w:hAnsi="Times New Roman" w:cs="Times New Roman"/>
          <w:sz w:val="24"/>
          <w:szCs w:val="24"/>
        </w:rPr>
      </w:pPr>
      <w:r>
        <w:rPr>
          <w:rFonts w:ascii="Times New Roman" w:hAnsi="Times New Roman" w:cs="Times New Roman"/>
          <w:sz w:val="24"/>
          <w:szCs w:val="24"/>
        </w:rPr>
        <w:tab/>
      </w:r>
    </w:p>
    <w:p w14:paraId="1D33B7A0" w14:textId="103F0330" w:rsidR="00951A85" w:rsidRDefault="007B5CB5" w:rsidP="00951A85">
      <w:pPr>
        <w:pStyle w:val="PargrafodaLista"/>
        <w:numPr>
          <w:ilvl w:val="0"/>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RESULTADOS E DISCUSSÕES</w:t>
      </w:r>
    </w:p>
    <w:p w14:paraId="5C69FFD8" w14:textId="77777777" w:rsidR="007B5CB5" w:rsidRDefault="007B5CB5" w:rsidP="007B5CB5">
      <w:pPr>
        <w:pStyle w:val="PargrafodaLista"/>
        <w:spacing w:after="0" w:line="360" w:lineRule="auto"/>
        <w:ind w:left="360"/>
        <w:jc w:val="both"/>
        <w:rPr>
          <w:rFonts w:ascii="Times New Roman" w:hAnsi="Times New Roman" w:cs="Times New Roman"/>
          <w:b/>
          <w:bCs/>
          <w:sz w:val="24"/>
          <w:szCs w:val="24"/>
        </w:rPr>
      </w:pPr>
    </w:p>
    <w:p w14:paraId="1F2CF4A8" w14:textId="040007FC" w:rsidR="007B5CB5" w:rsidRPr="006F75EC" w:rsidRDefault="007B5CB5" w:rsidP="007B5CB5">
      <w:pPr>
        <w:pStyle w:val="PargrafodaLista"/>
        <w:numPr>
          <w:ilvl w:val="1"/>
          <w:numId w:val="1"/>
        </w:numPr>
        <w:spacing w:after="0" w:line="360" w:lineRule="auto"/>
        <w:jc w:val="both"/>
        <w:rPr>
          <w:rFonts w:ascii="Times New Roman" w:hAnsi="Times New Roman" w:cs="Times New Roman"/>
          <w:b/>
          <w:bCs/>
          <w:sz w:val="24"/>
          <w:szCs w:val="24"/>
        </w:rPr>
      </w:pPr>
      <w:r>
        <w:rPr>
          <w:rFonts w:ascii="Times New Roman" w:hAnsi="Times New Roman" w:cs="Times New Roman"/>
          <w:b/>
          <w:bCs/>
          <w:sz w:val="24"/>
          <w:szCs w:val="24"/>
        </w:rPr>
        <w:t>ANÁLISE DESCRITIVA</w:t>
      </w:r>
    </w:p>
    <w:p w14:paraId="02B7EAB9" w14:textId="5A440FFE" w:rsidR="00EB12CD" w:rsidRDefault="00EB12CD" w:rsidP="00EB12CD">
      <w:pPr>
        <w:spacing w:after="0" w:line="360" w:lineRule="auto"/>
        <w:jc w:val="both"/>
        <w:rPr>
          <w:rFonts w:ascii="Times New Roman" w:hAnsi="Times New Roman" w:cs="Times New Roman"/>
          <w:sz w:val="24"/>
          <w:szCs w:val="24"/>
        </w:rPr>
      </w:pPr>
    </w:p>
    <w:p w14:paraId="0026765E" w14:textId="5E97A79F" w:rsidR="00EB12CD" w:rsidRDefault="00EB12CD" w:rsidP="00EB12CD">
      <w:pPr>
        <w:spacing w:after="0" w:line="360" w:lineRule="auto"/>
        <w:jc w:val="both"/>
        <w:rPr>
          <w:rFonts w:ascii="Times New Roman" w:hAnsi="Times New Roman" w:cs="Times New Roman"/>
          <w:sz w:val="24"/>
          <w:szCs w:val="24"/>
        </w:rPr>
      </w:pPr>
    </w:p>
    <w:p w14:paraId="7B0676CC" w14:textId="77777777" w:rsidR="00EB12CD" w:rsidRPr="00EB12CD" w:rsidRDefault="00EB12CD" w:rsidP="00EB12CD">
      <w:pPr>
        <w:spacing w:after="0" w:line="360" w:lineRule="auto"/>
        <w:jc w:val="both"/>
        <w:rPr>
          <w:rFonts w:ascii="Times New Roman" w:hAnsi="Times New Roman" w:cs="Times New Roman"/>
          <w:sz w:val="24"/>
          <w:szCs w:val="24"/>
        </w:rPr>
      </w:pPr>
    </w:p>
    <w:p w14:paraId="78693702" w14:textId="23777E62" w:rsidR="00951A85" w:rsidRPr="006F75EC" w:rsidRDefault="00951A85" w:rsidP="00951A85">
      <w:pPr>
        <w:pStyle w:val="PargrafodaLista"/>
        <w:numPr>
          <w:ilvl w:val="0"/>
          <w:numId w:val="1"/>
        </w:numPr>
        <w:spacing w:after="0" w:line="360" w:lineRule="auto"/>
        <w:jc w:val="both"/>
        <w:rPr>
          <w:rFonts w:ascii="Times New Roman" w:hAnsi="Times New Roman" w:cs="Times New Roman"/>
          <w:b/>
          <w:bCs/>
          <w:sz w:val="24"/>
          <w:szCs w:val="24"/>
        </w:rPr>
      </w:pPr>
      <w:r w:rsidRPr="006F75EC">
        <w:rPr>
          <w:rFonts w:ascii="Times New Roman" w:hAnsi="Times New Roman" w:cs="Times New Roman"/>
          <w:b/>
          <w:bCs/>
          <w:sz w:val="24"/>
          <w:szCs w:val="24"/>
        </w:rPr>
        <w:t>REFERENCIAS BIBLIOGRÁFICAS</w:t>
      </w:r>
    </w:p>
    <w:p w14:paraId="3A383794" w14:textId="74EDDBB0" w:rsidR="00BB1D35" w:rsidRDefault="00BB1D35" w:rsidP="00BB1D35">
      <w:pPr>
        <w:spacing w:after="0" w:line="240" w:lineRule="auto"/>
        <w:jc w:val="both"/>
        <w:rPr>
          <w:rFonts w:ascii="Times New Roman" w:hAnsi="Times New Roman" w:cs="Times New Roman"/>
          <w:sz w:val="24"/>
          <w:szCs w:val="24"/>
        </w:rPr>
      </w:pPr>
    </w:p>
    <w:p w14:paraId="1F9A039F" w14:textId="77777777" w:rsidR="004D5E7F" w:rsidRDefault="004D5E7F" w:rsidP="004D5E7F">
      <w:pPr>
        <w:spacing w:after="0" w:line="240" w:lineRule="auto"/>
        <w:jc w:val="both"/>
        <w:rPr>
          <w:rFonts w:ascii="Times New Roman" w:hAnsi="Times New Roman" w:cs="Times New Roman"/>
          <w:sz w:val="24"/>
          <w:szCs w:val="24"/>
        </w:rPr>
      </w:pPr>
      <w:r w:rsidRPr="008D383D">
        <w:rPr>
          <w:rFonts w:ascii="Times New Roman" w:hAnsi="Times New Roman" w:cs="Times New Roman"/>
          <w:sz w:val="24"/>
          <w:szCs w:val="24"/>
        </w:rPr>
        <w:t xml:space="preserve">ABRAMOVAY, R.; MAGALHÃES, R. </w:t>
      </w:r>
      <w:proofErr w:type="spellStart"/>
      <w:r w:rsidRPr="008D383D">
        <w:rPr>
          <w:rFonts w:ascii="Times New Roman" w:hAnsi="Times New Roman" w:cs="Times New Roman"/>
          <w:sz w:val="24"/>
          <w:szCs w:val="24"/>
        </w:rPr>
        <w:t>Brazil</w:t>
      </w:r>
      <w:proofErr w:type="spellEnd"/>
      <w:r w:rsidRPr="008D383D">
        <w:rPr>
          <w:rFonts w:ascii="Times New Roman" w:hAnsi="Times New Roman" w:cs="Times New Roman"/>
          <w:sz w:val="24"/>
          <w:szCs w:val="24"/>
        </w:rPr>
        <w:t xml:space="preserve">: Access </w:t>
      </w:r>
      <w:proofErr w:type="spellStart"/>
      <w:r w:rsidRPr="008D383D">
        <w:rPr>
          <w:rFonts w:ascii="Times New Roman" w:hAnsi="Times New Roman" w:cs="Times New Roman"/>
          <w:sz w:val="24"/>
          <w:szCs w:val="24"/>
        </w:rPr>
        <w:t>of</w:t>
      </w:r>
      <w:proofErr w:type="spellEnd"/>
      <w:r w:rsidRPr="008D383D">
        <w:rPr>
          <w:rFonts w:ascii="Times New Roman" w:hAnsi="Times New Roman" w:cs="Times New Roman"/>
          <w:sz w:val="24"/>
          <w:szCs w:val="24"/>
        </w:rPr>
        <w:t xml:space="preserve"> </w:t>
      </w:r>
      <w:proofErr w:type="spellStart"/>
      <w:r w:rsidRPr="008D383D">
        <w:rPr>
          <w:rFonts w:ascii="Times New Roman" w:hAnsi="Times New Roman" w:cs="Times New Roman"/>
          <w:sz w:val="24"/>
          <w:szCs w:val="24"/>
        </w:rPr>
        <w:t>family</w:t>
      </w:r>
      <w:proofErr w:type="spellEnd"/>
      <w:r w:rsidRPr="008D383D">
        <w:rPr>
          <w:rFonts w:ascii="Times New Roman" w:hAnsi="Times New Roman" w:cs="Times New Roman"/>
          <w:sz w:val="24"/>
          <w:szCs w:val="24"/>
        </w:rPr>
        <w:t xml:space="preserve"> </w:t>
      </w:r>
      <w:proofErr w:type="spellStart"/>
      <w:r w:rsidRPr="008D383D">
        <w:rPr>
          <w:rFonts w:ascii="Times New Roman" w:hAnsi="Times New Roman" w:cs="Times New Roman"/>
          <w:sz w:val="24"/>
          <w:szCs w:val="24"/>
        </w:rPr>
        <w:t>farmers</w:t>
      </w:r>
      <w:proofErr w:type="spellEnd"/>
      <w:r w:rsidRPr="008D383D">
        <w:rPr>
          <w:rFonts w:ascii="Times New Roman" w:hAnsi="Times New Roman" w:cs="Times New Roman"/>
          <w:sz w:val="24"/>
          <w:szCs w:val="24"/>
        </w:rPr>
        <w:t xml:space="preserve"> </w:t>
      </w:r>
      <w:proofErr w:type="spellStart"/>
      <w:r w:rsidRPr="008D383D">
        <w:rPr>
          <w:rFonts w:ascii="Times New Roman" w:hAnsi="Times New Roman" w:cs="Times New Roman"/>
          <w:sz w:val="24"/>
          <w:szCs w:val="24"/>
        </w:rPr>
        <w:t>to</w:t>
      </w:r>
      <w:proofErr w:type="spellEnd"/>
      <w:r w:rsidRPr="008D383D">
        <w:rPr>
          <w:rFonts w:ascii="Times New Roman" w:hAnsi="Times New Roman" w:cs="Times New Roman"/>
          <w:sz w:val="24"/>
          <w:szCs w:val="24"/>
        </w:rPr>
        <w:t xml:space="preserve"> biodiesel </w:t>
      </w:r>
      <w:proofErr w:type="spellStart"/>
      <w:r w:rsidRPr="008D383D">
        <w:rPr>
          <w:rFonts w:ascii="Times New Roman" w:hAnsi="Times New Roman" w:cs="Times New Roman"/>
          <w:sz w:val="24"/>
          <w:szCs w:val="24"/>
        </w:rPr>
        <w:t>markets</w:t>
      </w:r>
      <w:proofErr w:type="spellEnd"/>
      <w:r w:rsidRPr="008D383D">
        <w:rPr>
          <w:rFonts w:ascii="Times New Roman" w:hAnsi="Times New Roman" w:cs="Times New Roman"/>
          <w:sz w:val="24"/>
          <w:szCs w:val="24"/>
        </w:rPr>
        <w:t xml:space="preserve">: </w:t>
      </w:r>
      <w:proofErr w:type="spellStart"/>
      <w:r w:rsidRPr="008D383D">
        <w:rPr>
          <w:rFonts w:ascii="Times New Roman" w:hAnsi="Times New Roman" w:cs="Times New Roman"/>
          <w:sz w:val="24"/>
          <w:szCs w:val="24"/>
        </w:rPr>
        <w:t>partnerships</w:t>
      </w:r>
      <w:proofErr w:type="spellEnd"/>
      <w:r w:rsidRPr="008D383D">
        <w:rPr>
          <w:rFonts w:ascii="Times New Roman" w:hAnsi="Times New Roman" w:cs="Times New Roman"/>
          <w:sz w:val="24"/>
          <w:szCs w:val="24"/>
        </w:rPr>
        <w:t xml:space="preserve"> </w:t>
      </w:r>
      <w:proofErr w:type="spellStart"/>
      <w:r w:rsidRPr="008D383D">
        <w:rPr>
          <w:rFonts w:ascii="Times New Roman" w:hAnsi="Times New Roman" w:cs="Times New Roman"/>
          <w:sz w:val="24"/>
          <w:szCs w:val="24"/>
        </w:rPr>
        <w:t>between</w:t>
      </w:r>
      <w:proofErr w:type="spellEnd"/>
      <w:r w:rsidRPr="008D383D">
        <w:rPr>
          <w:rFonts w:ascii="Times New Roman" w:hAnsi="Times New Roman" w:cs="Times New Roman"/>
          <w:sz w:val="24"/>
          <w:szCs w:val="24"/>
        </w:rPr>
        <w:t xml:space="preserve"> </w:t>
      </w:r>
      <w:proofErr w:type="spellStart"/>
      <w:r w:rsidRPr="008D383D">
        <w:rPr>
          <w:rFonts w:ascii="Times New Roman" w:hAnsi="Times New Roman" w:cs="Times New Roman"/>
          <w:sz w:val="24"/>
          <w:szCs w:val="24"/>
        </w:rPr>
        <w:t>large</w:t>
      </w:r>
      <w:proofErr w:type="spellEnd"/>
      <w:r w:rsidRPr="008D383D">
        <w:rPr>
          <w:rFonts w:ascii="Times New Roman" w:hAnsi="Times New Roman" w:cs="Times New Roman"/>
          <w:sz w:val="24"/>
          <w:szCs w:val="24"/>
        </w:rPr>
        <w:t xml:space="preserve"> </w:t>
      </w:r>
      <w:proofErr w:type="spellStart"/>
      <w:r w:rsidRPr="008D383D">
        <w:rPr>
          <w:rFonts w:ascii="Times New Roman" w:hAnsi="Times New Roman" w:cs="Times New Roman"/>
          <w:sz w:val="24"/>
          <w:szCs w:val="24"/>
        </w:rPr>
        <w:t>companies</w:t>
      </w:r>
      <w:proofErr w:type="spellEnd"/>
      <w:r w:rsidRPr="008D383D">
        <w:rPr>
          <w:rFonts w:ascii="Times New Roman" w:hAnsi="Times New Roman" w:cs="Times New Roman"/>
          <w:sz w:val="24"/>
          <w:szCs w:val="24"/>
        </w:rPr>
        <w:t xml:space="preserve"> </w:t>
      </w:r>
      <w:proofErr w:type="spellStart"/>
      <w:r w:rsidRPr="008D383D">
        <w:rPr>
          <w:rFonts w:ascii="Times New Roman" w:hAnsi="Times New Roman" w:cs="Times New Roman"/>
          <w:sz w:val="24"/>
          <w:szCs w:val="24"/>
        </w:rPr>
        <w:t>and</w:t>
      </w:r>
      <w:proofErr w:type="spellEnd"/>
      <w:r w:rsidRPr="008D383D">
        <w:rPr>
          <w:rFonts w:ascii="Times New Roman" w:hAnsi="Times New Roman" w:cs="Times New Roman"/>
          <w:sz w:val="24"/>
          <w:szCs w:val="24"/>
        </w:rPr>
        <w:t xml:space="preserve"> social </w:t>
      </w:r>
      <w:proofErr w:type="spellStart"/>
      <w:r w:rsidRPr="008D383D">
        <w:rPr>
          <w:rFonts w:ascii="Times New Roman" w:hAnsi="Times New Roman" w:cs="Times New Roman"/>
          <w:sz w:val="24"/>
          <w:szCs w:val="24"/>
        </w:rPr>
        <w:t>movements</w:t>
      </w:r>
      <w:proofErr w:type="spellEnd"/>
      <w:r w:rsidRPr="008D383D">
        <w:rPr>
          <w:rFonts w:ascii="Times New Roman" w:hAnsi="Times New Roman" w:cs="Times New Roman"/>
          <w:sz w:val="24"/>
          <w:szCs w:val="24"/>
        </w:rPr>
        <w:t xml:space="preserve">. </w:t>
      </w:r>
      <w:proofErr w:type="spellStart"/>
      <w:r w:rsidRPr="008D383D">
        <w:rPr>
          <w:rFonts w:ascii="Times New Roman" w:hAnsi="Times New Roman" w:cs="Times New Roman"/>
          <w:b/>
          <w:bCs/>
          <w:sz w:val="24"/>
          <w:szCs w:val="24"/>
        </w:rPr>
        <w:t>Regoverning</w:t>
      </w:r>
      <w:proofErr w:type="spellEnd"/>
      <w:r w:rsidRPr="008D383D">
        <w:rPr>
          <w:rFonts w:ascii="Times New Roman" w:hAnsi="Times New Roman" w:cs="Times New Roman"/>
          <w:b/>
          <w:bCs/>
          <w:sz w:val="24"/>
          <w:szCs w:val="24"/>
        </w:rPr>
        <w:t xml:space="preserve"> </w:t>
      </w:r>
      <w:proofErr w:type="spellStart"/>
      <w:r w:rsidRPr="008D383D">
        <w:rPr>
          <w:rFonts w:ascii="Times New Roman" w:hAnsi="Times New Roman" w:cs="Times New Roman"/>
          <w:b/>
          <w:bCs/>
          <w:sz w:val="24"/>
          <w:szCs w:val="24"/>
        </w:rPr>
        <w:t>Markets</w:t>
      </w:r>
      <w:proofErr w:type="spellEnd"/>
      <w:r w:rsidRPr="008D383D">
        <w:rPr>
          <w:rFonts w:ascii="Times New Roman" w:hAnsi="Times New Roman" w:cs="Times New Roman"/>
          <w:b/>
          <w:bCs/>
          <w:sz w:val="24"/>
          <w:szCs w:val="24"/>
        </w:rPr>
        <w:t xml:space="preserve"> </w:t>
      </w:r>
      <w:proofErr w:type="spellStart"/>
      <w:r w:rsidRPr="008D383D">
        <w:rPr>
          <w:rFonts w:ascii="Times New Roman" w:hAnsi="Times New Roman" w:cs="Times New Roman"/>
          <w:b/>
          <w:bCs/>
          <w:sz w:val="24"/>
          <w:szCs w:val="24"/>
        </w:rPr>
        <w:t>Innovative</w:t>
      </w:r>
      <w:proofErr w:type="spellEnd"/>
      <w:r w:rsidRPr="008D383D">
        <w:rPr>
          <w:rFonts w:ascii="Times New Roman" w:hAnsi="Times New Roman" w:cs="Times New Roman"/>
          <w:b/>
          <w:bCs/>
          <w:sz w:val="24"/>
          <w:szCs w:val="24"/>
        </w:rPr>
        <w:t xml:space="preserve"> </w:t>
      </w:r>
      <w:proofErr w:type="spellStart"/>
      <w:r w:rsidRPr="008D383D">
        <w:rPr>
          <w:rFonts w:ascii="Times New Roman" w:hAnsi="Times New Roman" w:cs="Times New Roman"/>
          <w:b/>
          <w:bCs/>
          <w:sz w:val="24"/>
          <w:szCs w:val="24"/>
        </w:rPr>
        <w:t>Practice</w:t>
      </w:r>
      <w:proofErr w:type="spellEnd"/>
      <w:r w:rsidRPr="008D383D">
        <w:rPr>
          <w:rFonts w:ascii="Times New Roman" w:hAnsi="Times New Roman" w:cs="Times New Roman"/>
          <w:b/>
          <w:bCs/>
          <w:sz w:val="24"/>
          <w:szCs w:val="24"/>
        </w:rPr>
        <w:t xml:space="preserve"> Series</w:t>
      </w:r>
      <w:r w:rsidRPr="008D383D">
        <w:rPr>
          <w:rFonts w:ascii="Times New Roman" w:hAnsi="Times New Roman" w:cs="Times New Roman"/>
          <w:sz w:val="24"/>
          <w:szCs w:val="24"/>
        </w:rPr>
        <w:t>, 2007.</w:t>
      </w:r>
    </w:p>
    <w:p w14:paraId="72899EC2" w14:textId="77777777" w:rsidR="004D5E7F" w:rsidRDefault="004D5E7F" w:rsidP="004D5E7F">
      <w:pPr>
        <w:spacing w:after="0" w:line="240" w:lineRule="auto"/>
        <w:jc w:val="both"/>
        <w:rPr>
          <w:rFonts w:ascii="Times New Roman" w:hAnsi="Times New Roman" w:cs="Times New Roman"/>
          <w:sz w:val="24"/>
          <w:szCs w:val="24"/>
        </w:rPr>
      </w:pPr>
    </w:p>
    <w:p w14:paraId="249C7AEE" w14:textId="77777777" w:rsidR="004D5E7F" w:rsidRPr="00797DA5" w:rsidRDefault="004D5E7F" w:rsidP="004D5E7F">
      <w:pPr>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rPr>
        <w:t xml:space="preserve">ANP, </w:t>
      </w:r>
      <w:r w:rsidRPr="009773B0">
        <w:rPr>
          <w:rFonts w:ascii="Times New Roman" w:hAnsi="Times New Roman" w:cs="Times New Roman"/>
          <w:i/>
          <w:iCs/>
          <w:sz w:val="24"/>
          <w:szCs w:val="24"/>
        </w:rPr>
        <w:t>Leilões de Biodiesel</w:t>
      </w:r>
      <w:r>
        <w:rPr>
          <w:rFonts w:ascii="Times New Roman" w:hAnsi="Times New Roman" w:cs="Times New Roman"/>
          <w:sz w:val="24"/>
          <w:szCs w:val="24"/>
        </w:rPr>
        <w:t>. Disponível em: &lt;</w:t>
      </w:r>
      <w:r w:rsidRPr="009773B0">
        <w:rPr>
          <w:rFonts w:ascii="Times New Roman" w:hAnsi="Times New Roman" w:cs="Times New Roman"/>
          <w:sz w:val="24"/>
          <w:szCs w:val="24"/>
        </w:rPr>
        <w:t>https://www.gov.br/anp/pt-br/assuntos/distribuicao-e-revenda/leiloes-biodiesel</w:t>
      </w:r>
      <w:r>
        <w:rPr>
          <w:rFonts w:ascii="Times New Roman" w:hAnsi="Times New Roman" w:cs="Times New Roman"/>
          <w:sz w:val="24"/>
          <w:szCs w:val="24"/>
        </w:rPr>
        <w:t>&gt;. Acesso em 23 de novembro de 2020.</w:t>
      </w:r>
    </w:p>
    <w:p w14:paraId="2224B914"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75DD0C14"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lang w:val="en-US"/>
        </w:rPr>
        <w:t xml:space="preserve">BUSKENS, Vincent; BATENBURG, Ronald S.; WEESIE, Jeroen. Embedded partner selection in relations between firms. </w:t>
      </w:r>
      <w:r w:rsidRPr="00797DA5">
        <w:rPr>
          <w:rFonts w:ascii="Times New Roman" w:hAnsi="Times New Roman" w:cs="Times New Roman"/>
          <w:b/>
          <w:bCs/>
          <w:sz w:val="24"/>
          <w:szCs w:val="24"/>
          <w:lang w:val="en-US"/>
        </w:rPr>
        <w:t>Research in the Sociology of Organizations</w:t>
      </w:r>
      <w:r w:rsidRPr="00797DA5">
        <w:rPr>
          <w:rFonts w:ascii="Times New Roman" w:hAnsi="Times New Roman" w:cs="Times New Roman"/>
          <w:sz w:val="24"/>
          <w:szCs w:val="24"/>
          <w:lang w:val="en-US"/>
        </w:rPr>
        <w:t>, v. 20, p. 107-133, 2003.</w:t>
      </w:r>
    </w:p>
    <w:p w14:paraId="3C2556F9"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7F866419"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lang w:val="en-US"/>
        </w:rPr>
        <w:t xml:space="preserve">CERULLI, Giovanni et al. Econometric evaluation of socio-economic programs. </w:t>
      </w:r>
      <w:proofErr w:type="spellStart"/>
      <w:r w:rsidRPr="00797DA5">
        <w:rPr>
          <w:rFonts w:ascii="Times New Roman" w:hAnsi="Times New Roman" w:cs="Times New Roman"/>
          <w:b/>
          <w:bCs/>
          <w:sz w:val="24"/>
          <w:szCs w:val="24"/>
        </w:rPr>
        <w:t>Advanced</w:t>
      </w:r>
      <w:proofErr w:type="spellEnd"/>
      <w:r w:rsidRPr="00797DA5">
        <w:rPr>
          <w:rFonts w:ascii="Times New Roman" w:hAnsi="Times New Roman" w:cs="Times New Roman"/>
          <w:b/>
          <w:bCs/>
          <w:sz w:val="24"/>
          <w:szCs w:val="24"/>
        </w:rPr>
        <w:t xml:space="preserve"> </w:t>
      </w:r>
      <w:proofErr w:type="spellStart"/>
      <w:r w:rsidRPr="00797DA5">
        <w:rPr>
          <w:rFonts w:ascii="Times New Roman" w:hAnsi="Times New Roman" w:cs="Times New Roman"/>
          <w:b/>
          <w:bCs/>
          <w:sz w:val="24"/>
          <w:szCs w:val="24"/>
        </w:rPr>
        <w:t>Studies</w:t>
      </w:r>
      <w:proofErr w:type="spellEnd"/>
      <w:r w:rsidRPr="00797DA5">
        <w:rPr>
          <w:rFonts w:ascii="Times New Roman" w:hAnsi="Times New Roman" w:cs="Times New Roman"/>
          <w:b/>
          <w:bCs/>
          <w:sz w:val="24"/>
          <w:szCs w:val="24"/>
        </w:rPr>
        <w:t xml:space="preserve"> in </w:t>
      </w:r>
      <w:proofErr w:type="spellStart"/>
      <w:r w:rsidRPr="00797DA5">
        <w:rPr>
          <w:rFonts w:ascii="Times New Roman" w:hAnsi="Times New Roman" w:cs="Times New Roman"/>
          <w:b/>
          <w:bCs/>
          <w:sz w:val="24"/>
          <w:szCs w:val="24"/>
        </w:rPr>
        <w:t>Theoretical</w:t>
      </w:r>
      <w:proofErr w:type="spellEnd"/>
      <w:r w:rsidRPr="00797DA5">
        <w:rPr>
          <w:rFonts w:ascii="Times New Roman" w:hAnsi="Times New Roman" w:cs="Times New Roman"/>
          <w:b/>
          <w:bCs/>
          <w:sz w:val="24"/>
          <w:szCs w:val="24"/>
        </w:rPr>
        <w:t xml:space="preserve"> </w:t>
      </w:r>
      <w:proofErr w:type="spellStart"/>
      <w:r w:rsidRPr="00797DA5">
        <w:rPr>
          <w:rFonts w:ascii="Times New Roman" w:hAnsi="Times New Roman" w:cs="Times New Roman"/>
          <w:b/>
          <w:bCs/>
          <w:sz w:val="24"/>
          <w:szCs w:val="24"/>
        </w:rPr>
        <w:t>and</w:t>
      </w:r>
      <w:proofErr w:type="spellEnd"/>
      <w:r w:rsidRPr="00797DA5">
        <w:rPr>
          <w:rFonts w:ascii="Times New Roman" w:hAnsi="Times New Roman" w:cs="Times New Roman"/>
          <w:b/>
          <w:bCs/>
          <w:sz w:val="24"/>
          <w:szCs w:val="24"/>
        </w:rPr>
        <w:t xml:space="preserve"> Applied </w:t>
      </w:r>
      <w:proofErr w:type="spellStart"/>
      <w:r w:rsidRPr="00797DA5">
        <w:rPr>
          <w:rFonts w:ascii="Times New Roman" w:hAnsi="Times New Roman" w:cs="Times New Roman"/>
          <w:b/>
          <w:bCs/>
          <w:sz w:val="24"/>
          <w:szCs w:val="24"/>
        </w:rPr>
        <w:t>Econometrics</w:t>
      </w:r>
      <w:proofErr w:type="spellEnd"/>
      <w:r w:rsidRPr="00797DA5">
        <w:rPr>
          <w:rFonts w:ascii="Times New Roman" w:hAnsi="Times New Roman" w:cs="Times New Roman"/>
          <w:b/>
          <w:bCs/>
          <w:sz w:val="24"/>
          <w:szCs w:val="24"/>
        </w:rPr>
        <w:t xml:space="preserve"> Series</w:t>
      </w:r>
      <w:r w:rsidRPr="00797DA5">
        <w:rPr>
          <w:rFonts w:ascii="Times New Roman" w:hAnsi="Times New Roman" w:cs="Times New Roman"/>
          <w:sz w:val="24"/>
          <w:szCs w:val="24"/>
        </w:rPr>
        <w:t>, v. 49, 2015.</w:t>
      </w:r>
    </w:p>
    <w:p w14:paraId="61BB0486" w14:textId="77777777" w:rsidR="004D5E7F" w:rsidRPr="00797DA5" w:rsidRDefault="004D5E7F" w:rsidP="004D5E7F">
      <w:pPr>
        <w:spacing w:after="0" w:line="240" w:lineRule="auto"/>
        <w:jc w:val="both"/>
        <w:rPr>
          <w:rFonts w:ascii="Times New Roman" w:hAnsi="Times New Roman" w:cs="Times New Roman"/>
          <w:sz w:val="24"/>
          <w:szCs w:val="24"/>
        </w:rPr>
      </w:pPr>
    </w:p>
    <w:p w14:paraId="5EA962D1" w14:textId="77777777" w:rsidR="004D5E7F" w:rsidRPr="00797DA5" w:rsidRDefault="004D5E7F" w:rsidP="004D5E7F">
      <w:pPr>
        <w:spacing w:after="0" w:line="240" w:lineRule="auto"/>
        <w:jc w:val="both"/>
        <w:rPr>
          <w:rFonts w:ascii="Times New Roman" w:hAnsi="Times New Roman" w:cs="Times New Roman"/>
          <w:sz w:val="24"/>
          <w:szCs w:val="24"/>
        </w:rPr>
      </w:pPr>
      <w:r w:rsidRPr="005D6164">
        <w:rPr>
          <w:rFonts w:ascii="Times New Roman" w:hAnsi="Times New Roman" w:cs="Times New Roman"/>
          <w:sz w:val="24"/>
          <w:szCs w:val="24"/>
        </w:rPr>
        <w:t xml:space="preserve">CONEJERO, Marco </w:t>
      </w:r>
      <w:proofErr w:type="spellStart"/>
      <w:r w:rsidRPr="005D6164">
        <w:rPr>
          <w:rFonts w:ascii="Times New Roman" w:hAnsi="Times New Roman" w:cs="Times New Roman"/>
          <w:sz w:val="24"/>
          <w:szCs w:val="24"/>
        </w:rPr>
        <w:t>Antonio</w:t>
      </w:r>
      <w:proofErr w:type="spellEnd"/>
      <w:r w:rsidRPr="005D6164">
        <w:rPr>
          <w:rFonts w:ascii="Times New Roman" w:hAnsi="Times New Roman" w:cs="Times New Roman"/>
          <w:sz w:val="24"/>
          <w:szCs w:val="24"/>
        </w:rPr>
        <w:t xml:space="preserve">; CÉSAR, </w:t>
      </w:r>
      <w:proofErr w:type="spellStart"/>
      <w:r w:rsidRPr="005D6164">
        <w:rPr>
          <w:rFonts w:ascii="Times New Roman" w:hAnsi="Times New Roman" w:cs="Times New Roman"/>
          <w:sz w:val="24"/>
          <w:szCs w:val="24"/>
        </w:rPr>
        <w:t>Aldara</w:t>
      </w:r>
      <w:proofErr w:type="spellEnd"/>
      <w:r w:rsidRPr="005D6164">
        <w:rPr>
          <w:rFonts w:ascii="Times New Roman" w:hAnsi="Times New Roman" w:cs="Times New Roman"/>
          <w:sz w:val="24"/>
          <w:szCs w:val="24"/>
        </w:rPr>
        <w:t xml:space="preserve"> Da Silva; BATISTA, Angelita Pereira. </w:t>
      </w:r>
      <w:r w:rsidRPr="005D6164">
        <w:rPr>
          <w:rFonts w:ascii="Times New Roman" w:hAnsi="Times New Roman" w:cs="Times New Roman"/>
          <w:sz w:val="24"/>
          <w:szCs w:val="24"/>
          <w:lang w:val="en-US"/>
        </w:rPr>
        <w:t xml:space="preserve">The organizational arrangement of castor bean family farmers promoted by the Brazilian Biodiesel Program: A competitiveness analysis. </w:t>
      </w:r>
      <w:r w:rsidRPr="005D6164">
        <w:rPr>
          <w:rFonts w:ascii="Times New Roman" w:hAnsi="Times New Roman" w:cs="Times New Roman"/>
          <w:b/>
          <w:bCs/>
          <w:sz w:val="24"/>
          <w:szCs w:val="24"/>
        </w:rPr>
        <w:t xml:space="preserve">Energy </w:t>
      </w:r>
      <w:proofErr w:type="spellStart"/>
      <w:r w:rsidRPr="005D6164">
        <w:rPr>
          <w:rFonts w:ascii="Times New Roman" w:hAnsi="Times New Roman" w:cs="Times New Roman"/>
          <w:b/>
          <w:bCs/>
          <w:sz w:val="24"/>
          <w:szCs w:val="24"/>
        </w:rPr>
        <w:t>Policy</w:t>
      </w:r>
      <w:proofErr w:type="spellEnd"/>
      <w:r w:rsidRPr="005D6164">
        <w:rPr>
          <w:rFonts w:ascii="Times New Roman" w:hAnsi="Times New Roman" w:cs="Times New Roman"/>
          <w:sz w:val="24"/>
          <w:szCs w:val="24"/>
        </w:rPr>
        <w:t>, v. 110, p. 461-470, 2017.</w:t>
      </w:r>
    </w:p>
    <w:p w14:paraId="2340D979" w14:textId="77777777" w:rsidR="004D5E7F" w:rsidRPr="00797DA5" w:rsidRDefault="004D5E7F" w:rsidP="004D5E7F">
      <w:pPr>
        <w:spacing w:after="0" w:line="240" w:lineRule="auto"/>
        <w:jc w:val="both"/>
        <w:rPr>
          <w:rFonts w:ascii="Times New Roman" w:hAnsi="Times New Roman" w:cs="Times New Roman"/>
          <w:sz w:val="24"/>
          <w:szCs w:val="24"/>
        </w:rPr>
      </w:pPr>
    </w:p>
    <w:p w14:paraId="09E3BFDE"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DA SILVA CÉSAR, </w:t>
      </w:r>
      <w:proofErr w:type="spellStart"/>
      <w:r w:rsidRPr="00797DA5">
        <w:rPr>
          <w:rFonts w:ascii="Times New Roman" w:hAnsi="Times New Roman" w:cs="Times New Roman"/>
          <w:sz w:val="24"/>
          <w:szCs w:val="24"/>
        </w:rPr>
        <w:t>Aldara</w:t>
      </w:r>
      <w:proofErr w:type="spellEnd"/>
      <w:r w:rsidRPr="00797DA5">
        <w:rPr>
          <w:rFonts w:ascii="Times New Roman" w:hAnsi="Times New Roman" w:cs="Times New Roman"/>
          <w:sz w:val="24"/>
          <w:szCs w:val="24"/>
        </w:rPr>
        <w:t xml:space="preserve">; BATALHA, Mário Otávio. </w:t>
      </w:r>
      <w:r w:rsidRPr="00797DA5">
        <w:rPr>
          <w:rFonts w:ascii="Times New Roman" w:hAnsi="Times New Roman" w:cs="Times New Roman"/>
          <w:sz w:val="24"/>
          <w:szCs w:val="24"/>
          <w:lang w:val="en-US"/>
        </w:rPr>
        <w:t xml:space="preserve">Brazilian biodiesel: The case of the palm's social projects. </w:t>
      </w:r>
      <w:r w:rsidRPr="00797DA5">
        <w:rPr>
          <w:rFonts w:ascii="Times New Roman" w:hAnsi="Times New Roman" w:cs="Times New Roman"/>
          <w:b/>
          <w:bCs/>
          <w:sz w:val="24"/>
          <w:szCs w:val="24"/>
        </w:rPr>
        <w:t xml:space="preserve">Energy </w:t>
      </w:r>
      <w:proofErr w:type="spellStart"/>
      <w:r w:rsidRPr="00797DA5">
        <w:rPr>
          <w:rFonts w:ascii="Times New Roman" w:hAnsi="Times New Roman" w:cs="Times New Roman"/>
          <w:b/>
          <w:bCs/>
          <w:sz w:val="24"/>
          <w:szCs w:val="24"/>
        </w:rPr>
        <w:t>Policy</w:t>
      </w:r>
      <w:proofErr w:type="spellEnd"/>
      <w:r w:rsidRPr="00797DA5">
        <w:rPr>
          <w:rFonts w:ascii="Times New Roman" w:hAnsi="Times New Roman" w:cs="Times New Roman"/>
          <w:sz w:val="24"/>
          <w:szCs w:val="24"/>
        </w:rPr>
        <w:t>, v. 56, p. 165-174, 2013.</w:t>
      </w:r>
    </w:p>
    <w:p w14:paraId="01445103" w14:textId="77777777" w:rsidR="004D5E7F" w:rsidRPr="00797DA5" w:rsidRDefault="004D5E7F" w:rsidP="004D5E7F">
      <w:pPr>
        <w:spacing w:after="0" w:line="240" w:lineRule="auto"/>
        <w:jc w:val="both"/>
        <w:rPr>
          <w:rFonts w:ascii="Times New Roman" w:hAnsi="Times New Roman" w:cs="Times New Roman"/>
          <w:sz w:val="24"/>
          <w:szCs w:val="24"/>
        </w:rPr>
      </w:pPr>
    </w:p>
    <w:p w14:paraId="34E49DC2"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DE BORBA, Márcia Maria; FERREIRA, Marcelo Dias Paes. VARIAÇÃO DA RENDA DOS AGRICULTORES FAMILIARES E A COMPETIÇÃO POR ÁREA AGRÍCOLA NO CONTEXTO DO PNPB NA BAHIA E NO CEARÁ. </w:t>
      </w:r>
      <w:r w:rsidRPr="00797DA5">
        <w:rPr>
          <w:rFonts w:ascii="Times New Roman" w:hAnsi="Times New Roman" w:cs="Times New Roman"/>
          <w:b/>
          <w:bCs/>
          <w:sz w:val="24"/>
          <w:szCs w:val="24"/>
        </w:rPr>
        <w:t>Revista Econômica do Nordeste</w:t>
      </w:r>
      <w:r w:rsidRPr="00797DA5">
        <w:rPr>
          <w:rFonts w:ascii="Times New Roman" w:hAnsi="Times New Roman" w:cs="Times New Roman"/>
          <w:sz w:val="24"/>
          <w:szCs w:val="24"/>
        </w:rPr>
        <w:t>, v. 50, n. 2, p. 163-181, 2019.</w:t>
      </w:r>
    </w:p>
    <w:p w14:paraId="4184E1C3" w14:textId="77777777" w:rsidR="004D5E7F" w:rsidRPr="00797DA5" w:rsidRDefault="004D5E7F" w:rsidP="004D5E7F">
      <w:pPr>
        <w:spacing w:after="0" w:line="240" w:lineRule="auto"/>
        <w:jc w:val="both"/>
        <w:rPr>
          <w:rFonts w:ascii="Times New Roman" w:hAnsi="Times New Roman" w:cs="Times New Roman"/>
          <w:sz w:val="24"/>
          <w:szCs w:val="24"/>
        </w:rPr>
      </w:pPr>
    </w:p>
    <w:p w14:paraId="21D5C35B"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5D6164">
        <w:rPr>
          <w:rFonts w:ascii="Times New Roman" w:hAnsi="Times New Roman" w:cs="Times New Roman"/>
          <w:sz w:val="24"/>
          <w:szCs w:val="24"/>
        </w:rPr>
        <w:t xml:space="preserve">DOS SANTOS ALVES, Camila Elisa; BELARMINO, Luiz Clovis; PADULA, </w:t>
      </w:r>
      <w:proofErr w:type="spellStart"/>
      <w:r w:rsidRPr="005D6164">
        <w:rPr>
          <w:rFonts w:ascii="Times New Roman" w:hAnsi="Times New Roman" w:cs="Times New Roman"/>
          <w:sz w:val="24"/>
          <w:szCs w:val="24"/>
        </w:rPr>
        <w:t>Antonio</w:t>
      </w:r>
      <w:proofErr w:type="spellEnd"/>
      <w:r w:rsidRPr="005D6164">
        <w:rPr>
          <w:rFonts w:ascii="Times New Roman" w:hAnsi="Times New Roman" w:cs="Times New Roman"/>
          <w:sz w:val="24"/>
          <w:szCs w:val="24"/>
        </w:rPr>
        <w:t xml:space="preserve"> Domingos. </w:t>
      </w:r>
      <w:r w:rsidRPr="005D6164">
        <w:rPr>
          <w:rFonts w:ascii="Times New Roman" w:hAnsi="Times New Roman" w:cs="Times New Roman"/>
          <w:sz w:val="24"/>
          <w:szCs w:val="24"/>
          <w:lang w:val="en-US"/>
        </w:rPr>
        <w:t xml:space="preserve">Feedstock diversification for biodiesel production in Brazil: Using the Policy Analysis Matrix (PAM) to evaluate the impact of the PNPB and the economic competitiveness of alternative oilseeds. </w:t>
      </w:r>
      <w:r w:rsidRPr="005D6164">
        <w:rPr>
          <w:rFonts w:ascii="Times New Roman" w:hAnsi="Times New Roman" w:cs="Times New Roman"/>
          <w:b/>
          <w:bCs/>
          <w:sz w:val="24"/>
          <w:szCs w:val="24"/>
          <w:lang w:val="en-US"/>
        </w:rPr>
        <w:t>Energy Policy</w:t>
      </w:r>
      <w:r w:rsidRPr="005D6164">
        <w:rPr>
          <w:rFonts w:ascii="Times New Roman" w:hAnsi="Times New Roman" w:cs="Times New Roman"/>
          <w:sz w:val="24"/>
          <w:szCs w:val="24"/>
          <w:lang w:val="en-US"/>
        </w:rPr>
        <w:t>, v. 109, p. 297-309, 2017.</w:t>
      </w:r>
    </w:p>
    <w:p w14:paraId="20B43D32"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3D9C776A"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lang w:val="en-US"/>
        </w:rPr>
        <w:t xml:space="preserve">FINCO, Marcus Vinicius Alves; DOPPLER, Werner. The Brazilian biodiesel program and family farmers: what is the social inclusion reality in the Brazilian savannah? </w:t>
      </w:r>
      <w:proofErr w:type="spellStart"/>
      <w:r w:rsidRPr="00797DA5">
        <w:rPr>
          <w:rFonts w:ascii="Times New Roman" w:hAnsi="Times New Roman" w:cs="Times New Roman"/>
          <w:b/>
          <w:bCs/>
          <w:sz w:val="24"/>
          <w:szCs w:val="24"/>
          <w:lang w:val="en-US"/>
        </w:rPr>
        <w:t>Pesquisa</w:t>
      </w:r>
      <w:proofErr w:type="spellEnd"/>
      <w:r w:rsidRPr="00797DA5">
        <w:rPr>
          <w:rFonts w:ascii="Times New Roman" w:hAnsi="Times New Roman" w:cs="Times New Roman"/>
          <w:b/>
          <w:bCs/>
          <w:sz w:val="24"/>
          <w:szCs w:val="24"/>
          <w:lang w:val="en-US"/>
        </w:rPr>
        <w:t xml:space="preserve"> </w:t>
      </w:r>
      <w:proofErr w:type="spellStart"/>
      <w:r w:rsidRPr="00797DA5">
        <w:rPr>
          <w:rFonts w:ascii="Times New Roman" w:hAnsi="Times New Roman" w:cs="Times New Roman"/>
          <w:b/>
          <w:bCs/>
          <w:sz w:val="24"/>
          <w:szCs w:val="24"/>
          <w:lang w:val="en-US"/>
        </w:rPr>
        <w:t>Agropecuária</w:t>
      </w:r>
      <w:proofErr w:type="spellEnd"/>
      <w:r w:rsidRPr="00797DA5">
        <w:rPr>
          <w:rFonts w:ascii="Times New Roman" w:hAnsi="Times New Roman" w:cs="Times New Roman"/>
          <w:b/>
          <w:bCs/>
          <w:sz w:val="24"/>
          <w:szCs w:val="24"/>
          <w:lang w:val="en-US"/>
        </w:rPr>
        <w:t xml:space="preserve"> Tropical</w:t>
      </w:r>
      <w:r w:rsidRPr="00797DA5">
        <w:rPr>
          <w:rFonts w:ascii="Times New Roman" w:hAnsi="Times New Roman" w:cs="Times New Roman"/>
          <w:sz w:val="24"/>
          <w:szCs w:val="24"/>
          <w:lang w:val="en-US"/>
        </w:rPr>
        <w:t>, v. 40, n. 4, p. 430-438, 2010.</w:t>
      </w:r>
    </w:p>
    <w:p w14:paraId="369DE597"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627DA1A7"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lang w:val="en-US"/>
        </w:rPr>
        <w:t xml:space="preserve">FLIGSTEIN, Neil. The architecture of markets: An economic sociology of twenty-first-century capitalist societies. </w:t>
      </w:r>
      <w:r w:rsidRPr="00797DA5">
        <w:rPr>
          <w:rFonts w:ascii="Times New Roman" w:hAnsi="Times New Roman" w:cs="Times New Roman"/>
          <w:b/>
          <w:bCs/>
          <w:sz w:val="24"/>
          <w:szCs w:val="24"/>
          <w:lang w:val="en-US"/>
        </w:rPr>
        <w:t>Princeton University Press</w:t>
      </w:r>
      <w:r w:rsidRPr="00797DA5">
        <w:rPr>
          <w:rFonts w:ascii="Times New Roman" w:hAnsi="Times New Roman" w:cs="Times New Roman"/>
          <w:sz w:val="24"/>
          <w:szCs w:val="24"/>
          <w:lang w:val="en-US"/>
        </w:rPr>
        <w:t>, 2002.</w:t>
      </w:r>
    </w:p>
    <w:p w14:paraId="08AF6EAB"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4D355848"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lang w:val="en-US"/>
        </w:rPr>
        <w:lastRenderedPageBreak/>
        <w:t xml:space="preserve">FLORIN, Madeleine J.; VAN ITTERSUM, Martin K.; VAN DE VEN, Gerrie WJ. Family farmers and biodiesel production: systems thinking and multi-level decisions in Northern Minas Gerais, Brazil. </w:t>
      </w:r>
      <w:proofErr w:type="spellStart"/>
      <w:r w:rsidRPr="00797DA5">
        <w:rPr>
          <w:rFonts w:ascii="Times New Roman" w:hAnsi="Times New Roman" w:cs="Times New Roman"/>
          <w:b/>
          <w:bCs/>
          <w:sz w:val="24"/>
          <w:szCs w:val="24"/>
        </w:rPr>
        <w:t>Agricultural</w:t>
      </w:r>
      <w:proofErr w:type="spellEnd"/>
      <w:r w:rsidRPr="00797DA5">
        <w:rPr>
          <w:rFonts w:ascii="Times New Roman" w:hAnsi="Times New Roman" w:cs="Times New Roman"/>
          <w:b/>
          <w:bCs/>
          <w:sz w:val="24"/>
          <w:szCs w:val="24"/>
        </w:rPr>
        <w:t xml:space="preserve"> Systems</w:t>
      </w:r>
      <w:r w:rsidRPr="00797DA5">
        <w:rPr>
          <w:rFonts w:ascii="Times New Roman" w:hAnsi="Times New Roman" w:cs="Times New Roman"/>
          <w:sz w:val="24"/>
          <w:szCs w:val="24"/>
        </w:rPr>
        <w:t>, 2013, 121: 81-95.</w:t>
      </w:r>
    </w:p>
    <w:p w14:paraId="1288AAE9" w14:textId="77777777" w:rsidR="004D5E7F" w:rsidRPr="00797DA5" w:rsidRDefault="004D5E7F" w:rsidP="004D5E7F">
      <w:pPr>
        <w:spacing w:after="0" w:line="240" w:lineRule="auto"/>
        <w:jc w:val="both"/>
        <w:rPr>
          <w:rFonts w:ascii="Times New Roman" w:hAnsi="Times New Roman" w:cs="Times New Roman"/>
          <w:sz w:val="24"/>
          <w:szCs w:val="24"/>
        </w:rPr>
      </w:pPr>
    </w:p>
    <w:p w14:paraId="20115D93"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rPr>
        <w:t xml:space="preserve">GARCEZ, Catherine </w:t>
      </w:r>
      <w:proofErr w:type="spellStart"/>
      <w:r w:rsidRPr="00797DA5">
        <w:rPr>
          <w:rFonts w:ascii="Times New Roman" w:hAnsi="Times New Roman" w:cs="Times New Roman"/>
          <w:sz w:val="24"/>
          <w:szCs w:val="24"/>
        </w:rPr>
        <w:t>Aliana</w:t>
      </w:r>
      <w:proofErr w:type="spellEnd"/>
      <w:r w:rsidRPr="00797DA5">
        <w:rPr>
          <w:rFonts w:ascii="Times New Roman" w:hAnsi="Times New Roman" w:cs="Times New Roman"/>
          <w:sz w:val="24"/>
          <w:szCs w:val="24"/>
        </w:rPr>
        <w:t xml:space="preserve"> </w:t>
      </w:r>
      <w:proofErr w:type="spellStart"/>
      <w:r w:rsidRPr="00797DA5">
        <w:rPr>
          <w:rFonts w:ascii="Times New Roman" w:hAnsi="Times New Roman" w:cs="Times New Roman"/>
          <w:sz w:val="24"/>
          <w:szCs w:val="24"/>
        </w:rPr>
        <w:t>Gucciardi</w:t>
      </w:r>
      <w:proofErr w:type="spellEnd"/>
      <w:r w:rsidRPr="00797DA5">
        <w:rPr>
          <w:rFonts w:ascii="Times New Roman" w:hAnsi="Times New Roman" w:cs="Times New Roman"/>
          <w:sz w:val="24"/>
          <w:szCs w:val="24"/>
        </w:rPr>
        <w:t xml:space="preserve">; DE SOUZA VIANNA, João </w:t>
      </w:r>
      <w:proofErr w:type="spellStart"/>
      <w:r w:rsidRPr="00797DA5">
        <w:rPr>
          <w:rFonts w:ascii="Times New Roman" w:hAnsi="Times New Roman" w:cs="Times New Roman"/>
          <w:sz w:val="24"/>
          <w:szCs w:val="24"/>
        </w:rPr>
        <w:t>Nildo</w:t>
      </w:r>
      <w:proofErr w:type="spellEnd"/>
      <w:r w:rsidRPr="00797DA5">
        <w:rPr>
          <w:rFonts w:ascii="Times New Roman" w:hAnsi="Times New Roman" w:cs="Times New Roman"/>
          <w:sz w:val="24"/>
          <w:szCs w:val="24"/>
        </w:rPr>
        <w:t xml:space="preserve">. </w:t>
      </w:r>
      <w:r w:rsidRPr="00797DA5">
        <w:rPr>
          <w:rFonts w:ascii="Times New Roman" w:hAnsi="Times New Roman" w:cs="Times New Roman"/>
          <w:sz w:val="24"/>
          <w:szCs w:val="24"/>
          <w:lang w:val="en-US"/>
        </w:rPr>
        <w:t xml:space="preserve">Brazilian biodiesel policy: social and environmental considerations of sustainability. </w:t>
      </w:r>
      <w:r w:rsidRPr="00797DA5">
        <w:rPr>
          <w:rFonts w:ascii="Times New Roman" w:hAnsi="Times New Roman" w:cs="Times New Roman"/>
          <w:b/>
          <w:bCs/>
          <w:sz w:val="24"/>
          <w:szCs w:val="24"/>
          <w:lang w:val="en-US"/>
        </w:rPr>
        <w:t>Energy</w:t>
      </w:r>
      <w:r w:rsidRPr="00797DA5">
        <w:rPr>
          <w:rFonts w:ascii="Times New Roman" w:hAnsi="Times New Roman" w:cs="Times New Roman"/>
          <w:sz w:val="24"/>
          <w:szCs w:val="24"/>
          <w:lang w:val="en-US"/>
        </w:rPr>
        <w:t>, v. 34, n. 5, p. 645-654, 2009.</w:t>
      </w:r>
    </w:p>
    <w:p w14:paraId="553F9B54"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0436D7EF"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lang w:val="en-US"/>
        </w:rPr>
        <w:t xml:space="preserve">GERTLER, Paul J. et al. </w:t>
      </w:r>
      <w:r w:rsidRPr="00797DA5">
        <w:rPr>
          <w:rFonts w:ascii="Times New Roman" w:hAnsi="Times New Roman" w:cs="Times New Roman"/>
          <w:sz w:val="24"/>
          <w:szCs w:val="24"/>
        </w:rPr>
        <w:t xml:space="preserve">Avaliação de Impacto na Prática, segunda edição. </w:t>
      </w:r>
      <w:r w:rsidRPr="00797DA5">
        <w:rPr>
          <w:rFonts w:ascii="Times New Roman" w:hAnsi="Times New Roman" w:cs="Times New Roman"/>
          <w:b/>
          <w:bCs/>
          <w:sz w:val="24"/>
          <w:szCs w:val="24"/>
          <w:lang w:val="en-US"/>
        </w:rPr>
        <w:t>World Bank Publications</w:t>
      </w:r>
      <w:r w:rsidRPr="00797DA5">
        <w:rPr>
          <w:rFonts w:ascii="Times New Roman" w:hAnsi="Times New Roman" w:cs="Times New Roman"/>
          <w:sz w:val="24"/>
          <w:szCs w:val="24"/>
          <w:lang w:val="en-US"/>
        </w:rPr>
        <w:t>, 2018.</w:t>
      </w:r>
    </w:p>
    <w:p w14:paraId="4706AD50"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6633A675"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lang w:val="en-US"/>
        </w:rPr>
        <w:t xml:space="preserve">GRANOVETTER, Mark. Coase revisited: Business groups in the modern economy. </w:t>
      </w:r>
      <w:r w:rsidRPr="00797DA5">
        <w:rPr>
          <w:rFonts w:ascii="Times New Roman" w:hAnsi="Times New Roman" w:cs="Times New Roman"/>
          <w:b/>
          <w:bCs/>
          <w:sz w:val="24"/>
          <w:szCs w:val="24"/>
          <w:lang w:val="en-US"/>
        </w:rPr>
        <w:t>Industrial and corporate change</w:t>
      </w:r>
      <w:r w:rsidRPr="00797DA5">
        <w:rPr>
          <w:rFonts w:ascii="Times New Roman" w:hAnsi="Times New Roman" w:cs="Times New Roman"/>
          <w:sz w:val="24"/>
          <w:szCs w:val="24"/>
          <w:lang w:val="en-US"/>
        </w:rPr>
        <w:t>, v. 4, n. 1, p. 93-130, 1995.</w:t>
      </w:r>
    </w:p>
    <w:p w14:paraId="6685D2E2"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36F81606"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lang w:val="en-US"/>
        </w:rPr>
        <w:t xml:space="preserve">GREENE, William H. Econometric Analysis 7th ed (International). </w:t>
      </w:r>
      <w:r w:rsidRPr="00797DA5">
        <w:rPr>
          <w:rFonts w:ascii="Times New Roman" w:hAnsi="Times New Roman" w:cs="Times New Roman"/>
          <w:sz w:val="24"/>
          <w:szCs w:val="24"/>
        </w:rPr>
        <w:t>2012.</w:t>
      </w:r>
    </w:p>
    <w:p w14:paraId="6671A990" w14:textId="77777777" w:rsidR="004D5E7F" w:rsidRPr="00797DA5" w:rsidRDefault="004D5E7F" w:rsidP="004D5E7F">
      <w:pPr>
        <w:spacing w:after="0" w:line="240" w:lineRule="auto"/>
        <w:jc w:val="both"/>
        <w:rPr>
          <w:rFonts w:ascii="Times New Roman" w:hAnsi="Times New Roman" w:cs="Times New Roman"/>
          <w:sz w:val="24"/>
          <w:szCs w:val="24"/>
        </w:rPr>
      </w:pPr>
    </w:p>
    <w:p w14:paraId="3182DACC"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GUJARATI, </w:t>
      </w:r>
      <w:proofErr w:type="spellStart"/>
      <w:r w:rsidRPr="00797DA5">
        <w:rPr>
          <w:rFonts w:ascii="Times New Roman" w:hAnsi="Times New Roman" w:cs="Times New Roman"/>
          <w:sz w:val="24"/>
          <w:szCs w:val="24"/>
        </w:rPr>
        <w:t>Damodar</w:t>
      </w:r>
      <w:proofErr w:type="spellEnd"/>
      <w:r w:rsidRPr="00797DA5">
        <w:rPr>
          <w:rFonts w:ascii="Times New Roman" w:hAnsi="Times New Roman" w:cs="Times New Roman"/>
          <w:sz w:val="24"/>
          <w:szCs w:val="24"/>
        </w:rPr>
        <w:t xml:space="preserve"> N.; PORTER, Dawn C. </w:t>
      </w:r>
      <w:r w:rsidRPr="00797DA5">
        <w:rPr>
          <w:rFonts w:ascii="Times New Roman" w:hAnsi="Times New Roman" w:cs="Times New Roman"/>
          <w:b/>
          <w:bCs/>
          <w:sz w:val="24"/>
          <w:szCs w:val="24"/>
        </w:rPr>
        <w:t>Econometria básica-5</w:t>
      </w:r>
      <w:r w:rsidRPr="00797DA5">
        <w:rPr>
          <w:rFonts w:ascii="Times New Roman" w:hAnsi="Times New Roman" w:cs="Times New Roman"/>
          <w:sz w:val="24"/>
          <w:szCs w:val="24"/>
        </w:rPr>
        <w:t xml:space="preserve">. </w:t>
      </w:r>
      <w:proofErr w:type="spellStart"/>
      <w:r w:rsidRPr="00797DA5">
        <w:rPr>
          <w:rFonts w:ascii="Times New Roman" w:hAnsi="Times New Roman" w:cs="Times New Roman"/>
          <w:sz w:val="24"/>
          <w:szCs w:val="24"/>
        </w:rPr>
        <w:t>Amgh</w:t>
      </w:r>
      <w:proofErr w:type="spellEnd"/>
      <w:r w:rsidRPr="00797DA5">
        <w:rPr>
          <w:rFonts w:ascii="Times New Roman" w:hAnsi="Times New Roman" w:cs="Times New Roman"/>
          <w:sz w:val="24"/>
          <w:szCs w:val="24"/>
        </w:rPr>
        <w:t xml:space="preserve"> Editora, 2011.</w:t>
      </w:r>
    </w:p>
    <w:p w14:paraId="041083A7" w14:textId="77777777" w:rsidR="004D5E7F" w:rsidRPr="00797DA5" w:rsidRDefault="004D5E7F" w:rsidP="004D5E7F">
      <w:pPr>
        <w:spacing w:after="0" w:line="240" w:lineRule="auto"/>
        <w:jc w:val="both"/>
        <w:rPr>
          <w:rFonts w:ascii="Times New Roman" w:hAnsi="Times New Roman" w:cs="Times New Roman"/>
          <w:sz w:val="24"/>
          <w:szCs w:val="24"/>
        </w:rPr>
      </w:pPr>
    </w:p>
    <w:p w14:paraId="08975259"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IBGE, </w:t>
      </w:r>
      <w:r w:rsidRPr="00797DA5">
        <w:rPr>
          <w:rFonts w:ascii="Times New Roman" w:hAnsi="Times New Roman" w:cs="Times New Roman"/>
          <w:i/>
          <w:iCs/>
          <w:sz w:val="24"/>
          <w:szCs w:val="24"/>
        </w:rPr>
        <w:t>Censo Agropecuário 2017</w:t>
      </w:r>
      <w:r w:rsidRPr="00797DA5">
        <w:rPr>
          <w:rFonts w:ascii="Times New Roman" w:hAnsi="Times New Roman" w:cs="Times New Roman"/>
          <w:sz w:val="24"/>
          <w:szCs w:val="24"/>
        </w:rPr>
        <w:t>. Disponível em: &lt;https://sidra.ibge.gov.br/pesquisa/censo-agropecuario/censo-agropecuario-2017&gt;. Acesso em 22 de abril de 2020.</w:t>
      </w:r>
    </w:p>
    <w:p w14:paraId="303EC80C" w14:textId="77777777" w:rsidR="004D5E7F" w:rsidRPr="00797DA5" w:rsidRDefault="004D5E7F" w:rsidP="004D5E7F">
      <w:pPr>
        <w:spacing w:after="0" w:line="240" w:lineRule="auto"/>
        <w:jc w:val="both"/>
        <w:rPr>
          <w:rFonts w:ascii="Times New Roman" w:hAnsi="Times New Roman" w:cs="Times New Roman"/>
          <w:sz w:val="24"/>
          <w:szCs w:val="24"/>
        </w:rPr>
      </w:pPr>
    </w:p>
    <w:p w14:paraId="738D322C" w14:textId="77777777" w:rsidR="004D5E7F"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IBGE, </w:t>
      </w:r>
      <w:r w:rsidRPr="00797DA5">
        <w:rPr>
          <w:rFonts w:ascii="Times New Roman" w:hAnsi="Times New Roman" w:cs="Times New Roman"/>
          <w:i/>
          <w:iCs/>
          <w:sz w:val="24"/>
          <w:szCs w:val="24"/>
        </w:rPr>
        <w:t>Semiárido Brasileiro</w:t>
      </w:r>
      <w:r w:rsidRPr="00797DA5">
        <w:rPr>
          <w:rFonts w:ascii="Times New Roman" w:hAnsi="Times New Roman" w:cs="Times New Roman"/>
          <w:sz w:val="24"/>
          <w:szCs w:val="24"/>
        </w:rPr>
        <w:t>. Disponível em: &lt;https://www.ibge.gov.br/geociencias/cartas-e-mapas/mapas-regionais/15974-semiarido-brasileiro.html?=&amp;t=o-que-e&gt;. Acesso em 16 de maio de 2020.</w:t>
      </w:r>
    </w:p>
    <w:p w14:paraId="0ACABC92" w14:textId="77777777" w:rsidR="004D5E7F" w:rsidRDefault="004D5E7F" w:rsidP="004D5E7F">
      <w:pPr>
        <w:spacing w:after="0" w:line="240" w:lineRule="auto"/>
        <w:jc w:val="both"/>
        <w:rPr>
          <w:rFonts w:ascii="Times New Roman" w:hAnsi="Times New Roman" w:cs="Times New Roman"/>
          <w:sz w:val="24"/>
          <w:szCs w:val="24"/>
        </w:rPr>
      </w:pPr>
    </w:p>
    <w:p w14:paraId="1EB0E6D0" w14:textId="77777777" w:rsidR="004D5E7F" w:rsidRPr="00797DA5" w:rsidRDefault="004D5E7F" w:rsidP="004D5E7F">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MAPA, </w:t>
      </w:r>
      <w:r w:rsidRPr="009F11B8">
        <w:rPr>
          <w:rFonts w:ascii="Times New Roman" w:hAnsi="Times New Roman" w:cs="Times New Roman"/>
          <w:i/>
          <w:iCs/>
          <w:sz w:val="24"/>
          <w:szCs w:val="24"/>
        </w:rPr>
        <w:t>Cartilha do Programa Nacional de Produção e Uso de Biodiesel (PNPB)</w:t>
      </w:r>
      <w:r>
        <w:rPr>
          <w:rFonts w:ascii="Times New Roman" w:hAnsi="Times New Roman" w:cs="Times New Roman"/>
          <w:sz w:val="24"/>
          <w:szCs w:val="24"/>
        </w:rPr>
        <w:t>. Disponível em: &lt;</w:t>
      </w:r>
      <w:r w:rsidRPr="009F11B8">
        <w:rPr>
          <w:rFonts w:ascii="Times New Roman" w:hAnsi="Times New Roman" w:cs="Times New Roman"/>
          <w:sz w:val="24"/>
          <w:szCs w:val="24"/>
        </w:rPr>
        <w:t>https://www.gov.br/agricultura/pt-br/assuntos/agricultura-familiar/biodiesel/arquivos/cartilha-do-programa-nacional-de-producao-e-uso-de-biodiesel-pnpb.pdf/view</w:t>
      </w:r>
      <w:r>
        <w:rPr>
          <w:rFonts w:ascii="Times New Roman" w:hAnsi="Times New Roman" w:cs="Times New Roman"/>
          <w:sz w:val="24"/>
          <w:szCs w:val="24"/>
        </w:rPr>
        <w:t>&gt;. Acesso em 18 de março de 2020.</w:t>
      </w:r>
    </w:p>
    <w:p w14:paraId="03936EC4" w14:textId="77777777" w:rsidR="004D5E7F" w:rsidRPr="00797DA5" w:rsidRDefault="004D5E7F" w:rsidP="004D5E7F">
      <w:pPr>
        <w:spacing w:after="0" w:line="240" w:lineRule="auto"/>
        <w:jc w:val="both"/>
        <w:rPr>
          <w:rFonts w:ascii="Times New Roman" w:hAnsi="Times New Roman" w:cs="Times New Roman"/>
          <w:sz w:val="24"/>
          <w:szCs w:val="24"/>
        </w:rPr>
      </w:pPr>
    </w:p>
    <w:p w14:paraId="4A0D0754"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MAPA, </w:t>
      </w:r>
      <w:r w:rsidRPr="00797DA5">
        <w:rPr>
          <w:rFonts w:ascii="Times New Roman" w:hAnsi="Times New Roman" w:cs="Times New Roman"/>
          <w:i/>
          <w:iCs/>
          <w:sz w:val="24"/>
          <w:szCs w:val="24"/>
        </w:rPr>
        <w:t>Programa Nacional de Produção e Uso do Biodiesel (PNPB)</w:t>
      </w:r>
      <w:r w:rsidRPr="00797DA5">
        <w:rPr>
          <w:rFonts w:ascii="Times New Roman" w:hAnsi="Times New Roman" w:cs="Times New Roman"/>
          <w:sz w:val="24"/>
          <w:szCs w:val="24"/>
        </w:rPr>
        <w:t>. Disponível em: &lt;https://www.gov.br/agricultura/pt-br/assuntos/agricultura-familiar/biodiesel/programa-nacional-de-producao-e-uso-do-biodiesel-pnpb&gt;. Acesso em 18 de março de 2020.</w:t>
      </w:r>
    </w:p>
    <w:p w14:paraId="70DF0F35" w14:textId="77777777" w:rsidR="004D5E7F" w:rsidRPr="00797DA5" w:rsidRDefault="004D5E7F" w:rsidP="004D5E7F">
      <w:pPr>
        <w:spacing w:after="0" w:line="240" w:lineRule="auto"/>
        <w:jc w:val="both"/>
        <w:rPr>
          <w:rFonts w:ascii="Times New Roman" w:hAnsi="Times New Roman" w:cs="Times New Roman"/>
          <w:sz w:val="24"/>
          <w:szCs w:val="24"/>
        </w:rPr>
      </w:pPr>
    </w:p>
    <w:p w14:paraId="38576176"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MAPA, </w:t>
      </w:r>
      <w:r w:rsidRPr="00797DA5">
        <w:rPr>
          <w:rFonts w:ascii="Times New Roman" w:hAnsi="Times New Roman" w:cs="Times New Roman"/>
          <w:i/>
          <w:iCs/>
          <w:sz w:val="24"/>
          <w:szCs w:val="24"/>
        </w:rPr>
        <w:t>Balanço do Selo Combustível Social</w:t>
      </w:r>
      <w:r w:rsidRPr="00797DA5">
        <w:rPr>
          <w:rFonts w:ascii="Times New Roman" w:hAnsi="Times New Roman" w:cs="Times New Roman"/>
          <w:sz w:val="24"/>
          <w:szCs w:val="24"/>
        </w:rPr>
        <w:t>. Disponível em: &lt;http://antigo.agricultura.gov.br/assuntos/agricultura-familiar/biodiesel/arquivos/balanco-do-selo-combustivel-social.pdf&gt;. Acesso em 18 de março de 2020.</w:t>
      </w:r>
    </w:p>
    <w:p w14:paraId="0B42B36D" w14:textId="77777777" w:rsidR="004D5E7F" w:rsidRPr="00797DA5" w:rsidRDefault="004D5E7F" w:rsidP="004D5E7F">
      <w:pPr>
        <w:spacing w:after="0" w:line="240" w:lineRule="auto"/>
        <w:jc w:val="both"/>
        <w:rPr>
          <w:rFonts w:ascii="Times New Roman" w:hAnsi="Times New Roman" w:cs="Times New Roman"/>
          <w:sz w:val="24"/>
          <w:szCs w:val="24"/>
        </w:rPr>
      </w:pPr>
    </w:p>
    <w:p w14:paraId="18EA21FC"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MATTEI, Lauro. Programa nacional para produção e uso do biodiesel no Brasil (PNPB): trajetória, situação atual e desafios. </w:t>
      </w:r>
      <w:r w:rsidRPr="00797DA5">
        <w:rPr>
          <w:rFonts w:ascii="Times New Roman" w:hAnsi="Times New Roman" w:cs="Times New Roman"/>
          <w:b/>
          <w:bCs/>
          <w:sz w:val="24"/>
          <w:szCs w:val="24"/>
        </w:rPr>
        <w:t>Revista Econômica do Nordeste</w:t>
      </w:r>
      <w:r w:rsidRPr="00797DA5">
        <w:rPr>
          <w:rFonts w:ascii="Times New Roman" w:hAnsi="Times New Roman" w:cs="Times New Roman"/>
          <w:sz w:val="24"/>
          <w:szCs w:val="24"/>
        </w:rPr>
        <w:t>, v. 41, n. 4, p. 731-740, 2010.</w:t>
      </w:r>
    </w:p>
    <w:p w14:paraId="69267BAA" w14:textId="77777777" w:rsidR="004D5E7F" w:rsidRPr="00797DA5" w:rsidRDefault="004D5E7F" w:rsidP="004D5E7F">
      <w:pPr>
        <w:spacing w:after="0" w:line="240" w:lineRule="auto"/>
        <w:jc w:val="both"/>
        <w:rPr>
          <w:rFonts w:ascii="Times New Roman" w:hAnsi="Times New Roman" w:cs="Times New Roman"/>
          <w:sz w:val="24"/>
          <w:szCs w:val="24"/>
        </w:rPr>
      </w:pPr>
    </w:p>
    <w:p w14:paraId="04630EAA"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MATTEI, Lauro. O papel e a importância da agricultura familiar no desenvolvimento rural brasileiro contemporâneo. </w:t>
      </w:r>
      <w:r w:rsidRPr="00797DA5">
        <w:rPr>
          <w:rFonts w:ascii="Times New Roman" w:hAnsi="Times New Roman" w:cs="Times New Roman"/>
          <w:b/>
          <w:bCs/>
          <w:sz w:val="24"/>
          <w:szCs w:val="24"/>
        </w:rPr>
        <w:t>Revista Econômica do Nordeste</w:t>
      </w:r>
      <w:r w:rsidRPr="00797DA5">
        <w:rPr>
          <w:rFonts w:ascii="Times New Roman" w:hAnsi="Times New Roman" w:cs="Times New Roman"/>
          <w:sz w:val="24"/>
          <w:szCs w:val="24"/>
        </w:rPr>
        <w:t>, v. 45, n. 2, p. 1-9, 2014.</w:t>
      </w:r>
    </w:p>
    <w:p w14:paraId="6736446E" w14:textId="77777777" w:rsidR="004D5E7F" w:rsidRPr="00797DA5" w:rsidRDefault="004D5E7F" w:rsidP="004D5E7F">
      <w:pPr>
        <w:spacing w:after="0" w:line="240" w:lineRule="auto"/>
        <w:jc w:val="both"/>
        <w:rPr>
          <w:rFonts w:ascii="Times New Roman" w:hAnsi="Times New Roman" w:cs="Times New Roman"/>
          <w:sz w:val="24"/>
          <w:szCs w:val="24"/>
        </w:rPr>
      </w:pPr>
    </w:p>
    <w:p w14:paraId="27EC2467"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MME, </w:t>
      </w:r>
      <w:proofErr w:type="gramStart"/>
      <w:r w:rsidRPr="00797DA5">
        <w:rPr>
          <w:rFonts w:ascii="Times New Roman" w:hAnsi="Times New Roman" w:cs="Times New Roman"/>
          <w:i/>
          <w:iCs/>
          <w:sz w:val="24"/>
          <w:szCs w:val="24"/>
        </w:rPr>
        <w:t>Sobre</w:t>
      </w:r>
      <w:proofErr w:type="gramEnd"/>
      <w:r w:rsidRPr="00797DA5">
        <w:rPr>
          <w:rFonts w:ascii="Times New Roman" w:hAnsi="Times New Roman" w:cs="Times New Roman"/>
          <w:i/>
          <w:iCs/>
          <w:sz w:val="24"/>
          <w:szCs w:val="24"/>
        </w:rPr>
        <w:t xml:space="preserve"> o Programa Nacional de Produção e Uso do Biodiesel – PNPB</w:t>
      </w:r>
      <w:r w:rsidRPr="00797DA5">
        <w:rPr>
          <w:rFonts w:ascii="Times New Roman" w:hAnsi="Times New Roman" w:cs="Times New Roman"/>
          <w:sz w:val="24"/>
          <w:szCs w:val="24"/>
        </w:rPr>
        <w:t>. Disponível em: &lt;http://www.mme.gov.br/Busca-Portal-MME/DBIO-Programas-BioDiesel-Sobre-o-PNPB&gt;. Acesso em 18 de março de 2020.</w:t>
      </w:r>
    </w:p>
    <w:p w14:paraId="293D413C" w14:textId="77777777" w:rsidR="004D5E7F" w:rsidRPr="00797DA5" w:rsidRDefault="004D5E7F" w:rsidP="004D5E7F">
      <w:pPr>
        <w:spacing w:after="0" w:line="240" w:lineRule="auto"/>
        <w:jc w:val="both"/>
        <w:rPr>
          <w:rFonts w:ascii="Times New Roman" w:hAnsi="Times New Roman" w:cs="Times New Roman"/>
          <w:sz w:val="24"/>
          <w:szCs w:val="24"/>
        </w:rPr>
      </w:pPr>
    </w:p>
    <w:p w14:paraId="2DFC6F05"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PEIXOTO, </w:t>
      </w:r>
      <w:proofErr w:type="spellStart"/>
      <w:r w:rsidRPr="00797DA5">
        <w:rPr>
          <w:rFonts w:ascii="Times New Roman" w:hAnsi="Times New Roman" w:cs="Times New Roman"/>
          <w:sz w:val="24"/>
          <w:szCs w:val="24"/>
        </w:rPr>
        <w:t>Betania</w:t>
      </w:r>
      <w:proofErr w:type="spellEnd"/>
      <w:r w:rsidRPr="00797DA5">
        <w:rPr>
          <w:rFonts w:ascii="Times New Roman" w:hAnsi="Times New Roman" w:cs="Times New Roman"/>
          <w:sz w:val="24"/>
          <w:szCs w:val="24"/>
        </w:rPr>
        <w:t xml:space="preserve">. Avaliação econômica de projetos sociais. </w:t>
      </w:r>
      <w:r w:rsidRPr="00797DA5">
        <w:rPr>
          <w:rFonts w:ascii="Times New Roman" w:hAnsi="Times New Roman" w:cs="Times New Roman"/>
          <w:b/>
          <w:bCs/>
          <w:sz w:val="24"/>
          <w:szCs w:val="24"/>
        </w:rPr>
        <w:t>Fundação Itaú Social</w:t>
      </w:r>
      <w:r w:rsidRPr="00797DA5">
        <w:rPr>
          <w:rFonts w:ascii="Times New Roman" w:hAnsi="Times New Roman" w:cs="Times New Roman"/>
          <w:sz w:val="24"/>
          <w:szCs w:val="24"/>
        </w:rPr>
        <w:t>, 2017.</w:t>
      </w:r>
    </w:p>
    <w:p w14:paraId="483BCC96" w14:textId="77777777" w:rsidR="004D5E7F" w:rsidRPr="00797DA5" w:rsidRDefault="004D5E7F" w:rsidP="004D5E7F">
      <w:pPr>
        <w:spacing w:after="0" w:line="240" w:lineRule="auto"/>
        <w:jc w:val="both"/>
        <w:rPr>
          <w:rFonts w:ascii="Times New Roman" w:hAnsi="Times New Roman" w:cs="Times New Roman"/>
          <w:sz w:val="24"/>
          <w:szCs w:val="24"/>
        </w:rPr>
      </w:pPr>
    </w:p>
    <w:p w14:paraId="3924720E"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rPr>
        <w:t xml:space="preserve">POMPELLI, Marcelo Francisco et al. Crise energética mundial e o papel do Brasil na problemática de biocombustíveis. </w:t>
      </w:r>
      <w:proofErr w:type="spellStart"/>
      <w:r w:rsidRPr="00797DA5">
        <w:rPr>
          <w:rFonts w:ascii="Times New Roman" w:hAnsi="Times New Roman" w:cs="Times New Roman"/>
          <w:b/>
          <w:bCs/>
          <w:sz w:val="24"/>
          <w:szCs w:val="24"/>
          <w:lang w:val="en-US"/>
        </w:rPr>
        <w:t>Agronomía</w:t>
      </w:r>
      <w:proofErr w:type="spellEnd"/>
      <w:r w:rsidRPr="00797DA5">
        <w:rPr>
          <w:rFonts w:ascii="Times New Roman" w:hAnsi="Times New Roman" w:cs="Times New Roman"/>
          <w:b/>
          <w:bCs/>
          <w:sz w:val="24"/>
          <w:szCs w:val="24"/>
          <w:lang w:val="en-US"/>
        </w:rPr>
        <w:t xml:space="preserve"> </w:t>
      </w:r>
      <w:proofErr w:type="spellStart"/>
      <w:r w:rsidRPr="00797DA5">
        <w:rPr>
          <w:rFonts w:ascii="Times New Roman" w:hAnsi="Times New Roman" w:cs="Times New Roman"/>
          <w:b/>
          <w:bCs/>
          <w:sz w:val="24"/>
          <w:szCs w:val="24"/>
          <w:lang w:val="en-US"/>
        </w:rPr>
        <w:t>Colombiana</w:t>
      </w:r>
      <w:proofErr w:type="spellEnd"/>
      <w:r w:rsidRPr="00797DA5">
        <w:rPr>
          <w:rFonts w:ascii="Times New Roman" w:hAnsi="Times New Roman" w:cs="Times New Roman"/>
          <w:sz w:val="24"/>
          <w:szCs w:val="24"/>
          <w:lang w:val="en-US"/>
        </w:rPr>
        <w:t>, v. 29, n. 2, p. 231-240, 2011.</w:t>
      </w:r>
    </w:p>
    <w:p w14:paraId="46385B94"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7B1E0418"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lang w:val="en-US"/>
        </w:rPr>
        <w:t xml:space="preserve">PRADOY, Jefferson N. do; CHEIN, </w:t>
      </w:r>
      <w:proofErr w:type="spellStart"/>
      <w:r w:rsidRPr="00797DA5">
        <w:rPr>
          <w:rFonts w:ascii="Times New Roman" w:hAnsi="Times New Roman" w:cs="Times New Roman"/>
          <w:sz w:val="24"/>
          <w:szCs w:val="24"/>
          <w:lang w:val="en-US"/>
        </w:rPr>
        <w:t>Flávia</w:t>
      </w:r>
      <w:proofErr w:type="spellEnd"/>
      <w:r w:rsidRPr="00797DA5">
        <w:rPr>
          <w:rFonts w:ascii="Times New Roman" w:hAnsi="Times New Roman" w:cs="Times New Roman"/>
          <w:sz w:val="24"/>
          <w:szCs w:val="24"/>
          <w:lang w:val="en-US"/>
        </w:rPr>
        <w:t xml:space="preserve">; ASSUNÇÃO, </w:t>
      </w:r>
      <w:proofErr w:type="spellStart"/>
      <w:r w:rsidRPr="00797DA5">
        <w:rPr>
          <w:rFonts w:ascii="Times New Roman" w:hAnsi="Times New Roman" w:cs="Times New Roman"/>
          <w:sz w:val="24"/>
          <w:szCs w:val="24"/>
          <w:lang w:val="en-US"/>
        </w:rPr>
        <w:t>Juliano</w:t>
      </w:r>
      <w:proofErr w:type="spellEnd"/>
      <w:r w:rsidRPr="00797DA5">
        <w:rPr>
          <w:rFonts w:ascii="Times New Roman" w:hAnsi="Times New Roman" w:cs="Times New Roman"/>
          <w:sz w:val="24"/>
          <w:szCs w:val="24"/>
          <w:lang w:val="en-US"/>
        </w:rPr>
        <w:t xml:space="preserve"> J. "Biodiesel Production, Soybean Cultivation and Family Agriculture: Evaluation of Brazilian Experience," </w:t>
      </w:r>
      <w:r w:rsidRPr="00797DA5">
        <w:rPr>
          <w:rFonts w:ascii="Times New Roman" w:hAnsi="Times New Roman" w:cs="Times New Roman"/>
          <w:b/>
          <w:bCs/>
          <w:sz w:val="24"/>
          <w:szCs w:val="24"/>
          <w:lang w:val="en-US"/>
        </w:rPr>
        <w:t>Advances in Economics and Business</w:t>
      </w:r>
      <w:r w:rsidRPr="00797DA5">
        <w:rPr>
          <w:rFonts w:ascii="Times New Roman" w:hAnsi="Times New Roman" w:cs="Times New Roman"/>
          <w:sz w:val="24"/>
          <w:szCs w:val="24"/>
          <w:lang w:val="en-US"/>
        </w:rPr>
        <w:t>, Vol. 5, No. 8, pp. 476 - 486, 2017.</w:t>
      </w:r>
    </w:p>
    <w:p w14:paraId="499009EC"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35D990A8"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lang w:val="en-US"/>
        </w:rPr>
        <w:t xml:space="preserve">ROSENBAUM, Paul R.; RUBIN, Donald B. The central role of the propensity score in observational studies for causal effects. </w:t>
      </w:r>
      <w:proofErr w:type="spellStart"/>
      <w:r w:rsidRPr="00797DA5">
        <w:rPr>
          <w:rFonts w:ascii="Times New Roman" w:hAnsi="Times New Roman" w:cs="Times New Roman"/>
          <w:b/>
          <w:bCs/>
          <w:sz w:val="24"/>
          <w:szCs w:val="24"/>
        </w:rPr>
        <w:t>Biometrika</w:t>
      </w:r>
      <w:proofErr w:type="spellEnd"/>
      <w:r w:rsidRPr="00797DA5">
        <w:rPr>
          <w:rFonts w:ascii="Times New Roman" w:hAnsi="Times New Roman" w:cs="Times New Roman"/>
          <w:sz w:val="24"/>
          <w:szCs w:val="24"/>
        </w:rPr>
        <w:t>, v. 70, n. 1, p. 41-55, 1983.</w:t>
      </w:r>
    </w:p>
    <w:p w14:paraId="768F4269" w14:textId="77777777" w:rsidR="004D5E7F" w:rsidRPr="00797DA5" w:rsidRDefault="004D5E7F" w:rsidP="004D5E7F">
      <w:pPr>
        <w:spacing w:after="0" w:line="240" w:lineRule="auto"/>
        <w:jc w:val="both"/>
        <w:rPr>
          <w:rFonts w:ascii="Times New Roman" w:hAnsi="Times New Roman" w:cs="Times New Roman"/>
          <w:sz w:val="24"/>
          <w:szCs w:val="24"/>
        </w:rPr>
      </w:pPr>
    </w:p>
    <w:p w14:paraId="70F3BDFD"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SILVA, José </w:t>
      </w:r>
      <w:proofErr w:type="spellStart"/>
      <w:r w:rsidRPr="00797DA5">
        <w:rPr>
          <w:rFonts w:ascii="Times New Roman" w:hAnsi="Times New Roman" w:cs="Times New Roman"/>
          <w:sz w:val="24"/>
          <w:szCs w:val="24"/>
        </w:rPr>
        <w:t>Alderir</w:t>
      </w:r>
      <w:proofErr w:type="spellEnd"/>
      <w:r w:rsidRPr="00797DA5">
        <w:rPr>
          <w:rFonts w:ascii="Times New Roman" w:hAnsi="Times New Roman" w:cs="Times New Roman"/>
          <w:sz w:val="24"/>
          <w:szCs w:val="24"/>
        </w:rPr>
        <w:t xml:space="preserve"> da. Avaliação do programa nacional de produção e uso do biodiesel no Brasil–PNPB. </w:t>
      </w:r>
      <w:r w:rsidRPr="00797DA5">
        <w:rPr>
          <w:rFonts w:ascii="Times New Roman" w:hAnsi="Times New Roman" w:cs="Times New Roman"/>
          <w:b/>
          <w:bCs/>
          <w:sz w:val="24"/>
          <w:szCs w:val="24"/>
        </w:rPr>
        <w:t>Revista de Política Agrícola</w:t>
      </w:r>
      <w:r w:rsidRPr="00797DA5">
        <w:rPr>
          <w:rFonts w:ascii="Times New Roman" w:hAnsi="Times New Roman" w:cs="Times New Roman"/>
          <w:sz w:val="24"/>
          <w:szCs w:val="24"/>
        </w:rPr>
        <w:t>, v. 22, n. 3, p. 18-31, 2013.</w:t>
      </w:r>
    </w:p>
    <w:p w14:paraId="51CC78E3" w14:textId="77777777" w:rsidR="004D5E7F" w:rsidRPr="00797DA5" w:rsidRDefault="004D5E7F" w:rsidP="004D5E7F">
      <w:pPr>
        <w:spacing w:after="0" w:line="240" w:lineRule="auto"/>
        <w:jc w:val="both"/>
        <w:rPr>
          <w:rFonts w:ascii="Times New Roman" w:hAnsi="Times New Roman" w:cs="Times New Roman"/>
          <w:sz w:val="24"/>
          <w:szCs w:val="24"/>
        </w:rPr>
      </w:pPr>
    </w:p>
    <w:p w14:paraId="2C467E8C"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rPr>
        <w:t xml:space="preserve">SCHAFFEL, Silvia, et al. </w:t>
      </w:r>
      <w:r w:rsidRPr="00797DA5">
        <w:rPr>
          <w:rFonts w:ascii="Times New Roman" w:hAnsi="Times New Roman" w:cs="Times New Roman"/>
          <w:sz w:val="24"/>
          <w:szCs w:val="24"/>
          <w:lang w:val="en-US"/>
        </w:rPr>
        <w:t xml:space="preserve">Can family farmers benefit from biofuel sustainability standards? Evidence from the Brazilian Social Fuel Certificate. </w:t>
      </w:r>
      <w:r w:rsidRPr="00797DA5">
        <w:rPr>
          <w:rFonts w:ascii="Times New Roman" w:hAnsi="Times New Roman" w:cs="Times New Roman"/>
          <w:b/>
          <w:bCs/>
          <w:sz w:val="24"/>
          <w:szCs w:val="24"/>
          <w:lang w:val="en-US"/>
        </w:rPr>
        <w:t>Biofuels</w:t>
      </w:r>
      <w:r w:rsidRPr="00797DA5">
        <w:rPr>
          <w:rFonts w:ascii="Times New Roman" w:hAnsi="Times New Roman" w:cs="Times New Roman"/>
          <w:sz w:val="24"/>
          <w:szCs w:val="24"/>
          <w:lang w:val="en-US"/>
        </w:rPr>
        <w:t>, 2012, 3.6: 725-736.</w:t>
      </w:r>
    </w:p>
    <w:p w14:paraId="277191C9"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4AF28617" w14:textId="77777777" w:rsidR="004D5E7F" w:rsidRPr="00797DA5" w:rsidRDefault="004D5E7F" w:rsidP="004D5E7F">
      <w:pPr>
        <w:spacing w:after="0" w:line="240" w:lineRule="auto"/>
        <w:jc w:val="both"/>
        <w:rPr>
          <w:rFonts w:ascii="Times New Roman" w:hAnsi="Times New Roman" w:cs="Times New Roman"/>
          <w:sz w:val="24"/>
          <w:szCs w:val="24"/>
          <w:lang w:val="en-US"/>
        </w:rPr>
      </w:pPr>
      <w:r w:rsidRPr="00797DA5">
        <w:rPr>
          <w:rFonts w:ascii="Times New Roman" w:hAnsi="Times New Roman" w:cs="Times New Roman"/>
          <w:sz w:val="24"/>
          <w:szCs w:val="24"/>
          <w:lang w:val="en-US"/>
        </w:rPr>
        <w:t xml:space="preserve">STATTMAN, Sarah L.; HOSPES, Otto; MOL, Arthur PJ. Governing biofuels in Brazil: A comparison of ethanol and biodiesel policies. </w:t>
      </w:r>
      <w:r w:rsidRPr="00797DA5">
        <w:rPr>
          <w:rFonts w:ascii="Times New Roman" w:hAnsi="Times New Roman" w:cs="Times New Roman"/>
          <w:b/>
          <w:bCs/>
          <w:sz w:val="24"/>
          <w:szCs w:val="24"/>
          <w:lang w:val="en-US"/>
        </w:rPr>
        <w:t>Energy Policy</w:t>
      </w:r>
      <w:r w:rsidRPr="00797DA5">
        <w:rPr>
          <w:rFonts w:ascii="Times New Roman" w:hAnsi="Times New Roman" w:cs="Times New Roman"/>
          <w:sz w:val="24"/>
          <w:szCs w:val="24"/>
          <w:lang w:val="en-US"/>
        </w:rPr>
        <w:t>, v. 61, p. 22-30, 2013.</w:t>
      </w:r>
    </w:p>
    <w:p w14:paraId="550EF16D" w14:textId="77777777" w:rsidR="004D5E7F" w:rsidRPr="00797DA5" w:rsidRDefault="004D5E7F" w:rsidP="004D5E7F">
      <w:pPr>
        <w:spacing w:after="0" w:line="240" w:lineRule="auto"/>
        <w:jc w:val="both"/>
        <w:rPr>
          <w:rFonts w:ascii="Times New Roman" w:hAnsi="Times New Roman" w:cs="Times New Roman"/>
          <w:sz w:val="24"/>
          <w:szCs w:val="24"/>
          <w:lang w:val="en-US"/>
        </w:rPr>
      </w:pPr>
    </w:p>
    <w:p w14:paraId="3950D0F8" w14:textId="77777777" w:rsidR="004D5E7F" w:rsidRPr="00797DA5"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lang w:val="en-US"/>
        </w:rPr>
        <w:t xml:space="preserve">STATTMAN, Sarah L.; MOL, Arthur PJ. Social sustainability of Brazilian biodiesel: The role of agricultural cooperatives. </w:t>
      </w:r>
      <w:proofErr w:type="spellStart"/>
      <w:r w:rsidRPr="00797DA5">
        <w:rPr>
          <w:rFonts w:ascii="Times New Roman" w:hAnsi="Times New Roman" w:cs="Times New Roman"/>
          <w:b/>
          <w:bCs/>
          <w:sz w:val="24"/>
          <w:szCs w:val="24"/>
        </w:rPr>
        <w:t>Geoforum</w:t>
      </w:r>
      <w:proofErr w:type="spellEnd"/>
      <w:r w:rsidRPr="00797DA5">
        <w:rPr>
          <w:rFonts w:ascii="Times New Roman" w:hAnsi="Times New Roman" w:cs="Times New Roman"/>
          <w:sz w:val="24"/>
          <w:szCs w:val="24"/>
        </w:rPr>
        <w:t>, v. 54, p. 282-294, 2014.</w:t>
      </w:r>
    </w:p>
    <w:p w14:paraId="6C6D82EC" w14:textId="77777777" w:rsidR="004D5E7F" w:rsidRPr="00797DA5" w:rsidRDefault="004D5E7F" w:rsidP="004D5E7F">
      <w:pPr>
        <w:spacing w:after="0" w:line="240" w:lineRule="auto"/>
        <w:jc w:val="both"/>
        <w:rPr>
          <w:rFonts w:ascii="Times New Roman" w:hAnsi="Times New Roman" w:cs="Times New Roman"/>
          <w:sz w:val="24"/>
          <w:szCs w:val="24"/>
        </w:rPr>
      </w:pPr>
    </w:p>
    <w:p w14:paraId="6411F2BC" w14:textId="73DD9BAF" w:rsidR="004D5E7F" w:rsidRDefault="004D5E7F" w:rsidP="004D5E7F">
      <w:pPr>
        <w:spacing w:after="0" w:line="240" w:lineRule="auto"/>
        <w:jc w:val="both"/>
        <w:rPr>
          <w:rFonts w:ascii="Times New Roman" w:hAnsi="Times New Roman" w:cs="Times New Roman"/>
          <w:sz w:val="24"/>
          <w:szCs w:val="24"/>
        </w:rPr>
      </w:pPr>
      <w:r w:rsidRPr="00797DA5">
        <w:rPr>
          <w:rFonts w:ascii="Times New Roman" w:hAnsi="Times New Roman" w:cs="Times New Roman"/>
          <w:sz w:val="24"/>
          <w:szCs w:val="24"/>
        </w:rPr>
        <w:t xml:space="preserve">TAVARES, </w:t>
      </w:r>
      <w:proofErr w:type="spellStart"/>
      <w:r w:rsidRPr="00797DA5">
        <w:rPr>
          <w:rFonts w:ascii="Times New Roman" w:hAnsi="Times New Roman" w:cs="Times New Roman"/>
          <w:sz w:val="24"/>
          <w:szCs w:val="24"/>
        </w:rPr>
        <w:t>Válter</w:t>
      </w:r>
      <w:proofErr w:type="spellEnd"/>
      <w:r w:rsidRPr="00797DA5">
        <w:rPr>
          <w:rFonts w:ascii="Times New Roman" w:hAnsi="Times New Roman" w:cs="Times New Roman"/>
          <w:sz w:val="24"/>
          <w:szCs w:val="24"/>
        </w:rPr>
        <w:t xml:space="preserve"> Cardoso; DE ARRUDA, Ítalo Rodrigo Paulino; DA SILVA, Danielle Gomes. Desertificação, mudanças climáticas e secas no semiárido brasileiro: uma revisão bibliográfica. </w:t>
      </w:r>
      <w:proofErr w:type="spellStart"/>
      <w:r w:rsidRPr="00797DA5">
        <w:rPr>
          <w:rFonts w:ascii="Times New Roman" w:hAnsi="Times New Roman" w:cs="Times New Roman"/>
          <w:b/>
          <w:bCs/>
          <w:sz w:val="24"/>
          <w:szCs w:val="24"/>
        </w:rPr>
        <w:t>Geosul</w:t>
      </w:r>
      <w:proofErr w:type="spellEnd"/>
      <w:r w:rsidRPr="00797DA5">
        <w:rPr>
          <w:rFonts w:ascii="Times New Roman" w:hAnsi="Times New Roman" w:cs="Times New Roman"/>
          <w:sz w:val="24"/>
          <w:szCs w:val="24"/>
        </w:rPr>
        <w:t>, v. 34, n. 70, p. 385-405, 2019.</w:t>
      </w:r>
    </w:p>
    <w:p w14:paraId="17AA6F14" w14:textId="00741854" w:rsidR="0084613C" w:rsidRDefault="0084613C" w:rsidP="004D5E7F">
      <w:pPr>
        <w:spacing w:after="0" w:line="240" w:lineRule="auto"/>
        <w:jc w:val="both"/>
        <w:rPr>
          <w:rFonts w:ascii="Times New Roman" w:hAnsi="Times New Roman" w:cs="Times New Roman"/>
          <w:sz w:val="24"/>
          <w:szCs w:val="24"/>
        </w:rPr>
      </w:pPr>
    </w:p>
    <w:p w14:paraId="00D5FBA0" w14:textId="2C22E9F1" w:rsidR="0084613C" w:rsidRDefault="0084613C" w:rsidP="004D5E7F">
      <w:pPr>
        <w:spacing w:after="0" w:line="240" w:lineRule="auto"/>
        <w:jc w:val="both"/>
        <w:rPr>
          <w:rFonts w:ascii="Times New Roman" w:hAnsi="Times New Roman" w:cs="Times New Roman"/>
          <w:sz w:val="24"/>
          <w:szCs w:val="24"/>
        </w:rPr>
      </w:pPr>
    </w:p>
    <w:p w14:paraId="52758618" w14:textId="01A6397A" w:rsidR="0084613C" w:rsidRDefault="0084613C" w:rsidP="004D5E7F">
      <w:pPr>
        <w:spacing w:after="0" w:line="240" w:lineRule="auto"/>
        <w:jc w:val="both"/>
        <w:rPr>
          <w:rFonts w:ascii="Times New Roman" w:hAnsi="Times New Roman" w:cs="Times New Roman"/>
          <w:sz w:val="24"/>
          <w:szCs w:val="24"/>
        </w:rPr>
      </w:pPr>
    </w:p>
    <w:p w14:paraId="60F7A495" w14:textId="1771C8DE" w:rsidR="0084613C" w:rsidRDefault="0084613C" w:rsidP="004D5E7F">
      <w:pPr>
        <w:spacing w:after="0" w:line="240" w:lineRule="auto"/>
        <w:jc w:val="both"/>
        <w:rPr>
          <w:rFonts w:ascii="Times New Roman" w:hAnsi="Times New Roman" w:cs="Times New Roman"/>
          <w:sz w:val="24"/>
          <w:szCs w:val="24"/>
        </w:rPr>
      </w:pPr>
    </w:p>
    <w:p w14:paraId="03339856" w14:textId="6D67CABF" w:rsidR="0084613C" w:rsidRDefault="0084613C" w:rsidP="004D5E7F">
      <w:pPr>
        <w:spacing w:after="0" w:line="240" w:lineRule="auto"/>
        <w:jc w:val="both"/>
        <w:rPr>
          <w:rFonts w:ascii="Times New Roman" w:hAnsi="Times New Roman" w:cs="Times New Roman"/>
          <w:sz w:val="24"/>
          <w:szCs w:val="24"/>
        </w:rPr>
      </w:pPr>
    </w:p>
    <w:p w14:paraId="41D9E15F" w14:textId="5EA7DE24" w:rsidR="0084613C" w:rsidRDefault="0084613C" w:rsidP="004D5E7F">
      <w:pPr>
        <w:spacing w:after="0" w:line="240" w:lineRule="auto"/>
        <w:jc w:val="both"/>
        <w:rPr>
          <w:rFonts w:ascii="Times New Roman" w:hAnsi="Times New Roman" w:cs="Times New Roman"/>
          <w:sz w:val="24"/>
          <w:szCs w:val="24"/>
        </w:rPr>
      </w:pPr>
    </w:p>
    <w:p w14:paraId="6901E2BE" w14:textId="086480CC" w:rsidR="0084613C" w:rsidRDefault="0084613C" w:rsidP="004D5E7F">
      <w:pPr>
        <w:spacing w:after="0" w:line="240" w:lineRule="auto"/>
        <w:jc w:val="both"/>
        <w:rPr>
          <w:rFonts w:ascii="Times New Roman" w:hAnsi="Times New Roman" w:cs="Times New Roman"/>
          <w:sz w:val="24"/>
          <w:szCs w:val="24"/>
        </w:rPr>
      </w:pPr>
    </w:p>
    <w:p w14:paraId="12ADC98F" w14:textId="301A3650" w:rsidR="0084613C" w:rsidRDefault="0084613C" w:rsidP="004D5E7F">
      <w:pPr>
        <w:spacing w:after="0" w:line="240" w:lineRule="auto"/>
        <w:jc w:val="both"/>
        <w:rPr>
          <w:rFonts w:ascii="Times New Roman" w:hAnsi="Times New Roman" w:cs="Times New Roman"/>
          <w:sz w:val="24"/>
          <w:szCs w:val="24"/>
        </w:rPr>
      </w:pPr>
    </w:p>
    <w:p w14:paraId="78A259D9" w14:textId="075DE248" w:rsidR="0084613C" w:rsidRDefault="0084613C" w:rsidP="004D5E7F">
      <w:pPr>
        <w:spacing w:after="0" w:line="240" w:lineRule="auto"/>
        <w:jc w:val="both"/>
        <w:rPr>
          <w:rFonts w:ascii="Times New Roman" w:hAnsi="Times New Roman" w:cs="Times New Roman"/>
          <w:sz w:val="24"/>
          <w:szCs w:val="24"/>
        </w:rPr>
      </w:pPr>
    </w:p>
    <w:p w14:paraId="37BE8ECB" w14:textId="2478C2C9" w:rsidR="0084613C" w:rsidRDefault="0084613C" w:rsidP="004D5E7F">
      <w:pPr>
        <w:spacing w:after="0" w:line="240" w:lineRule="auto"/>
        <w:jc w:val="both"/>
        <w:rPr>
          <w:rFonts w:ascii="Times New Roman" w:hAnsi="Times New Roman" w:cs="Times New Roman"/>
          <w:sz w:val="24"/>
          <w:szCs w:val="24"/>
        </w:rPr>
      </w:pPr>
    </w:p>
    <w:p w14:paraId="47D565F9" w14:textId="60B5C9D6" w:rsidR="0084613C" w:rsidRDefault="0084613C" w:rsidP="004D5E7F">
      <w:pPr>
        <w:spacing w:after="0" w:line="240" w:lineRule="auto"/>
        <w:jc w:val="both"/>
        <w:rPr>
          <w:rFonts w:ascii="Times New Roman" w:hAnsi="Times New Roman" w:cs="Times New Roman"/>
          <w:sz w:val="24"/>
          <w:szCs w:val="24"/>
        </w:rPr>
      </w:pPr>
    </w:p>
    <w:p w14:paraId="390D026A" w14:textId="43227705" w:rsidR="0084613C" w:rsidRDefault="0084613C" w:rsidP="004D5E7F">
      <w:pPr>
        <w:spacing w:after="0" w:line="240" w:lineRule="auto"/>
        <w:jc w:val="both"/>
        <w:rPr>
          <w:rFonts w:ascii="Times New Roman" w:hAnsi="Times New Roman" w:cs="Times New Roman"/>
          <w:sz w:val="24"/>
          <w:szCs w:val="24"/>
        </w:rPr>
      </w:pPr>
    </w:p>
    <w:p w14:paraId="1C3CE4D8" w14:textId="6723E6C4" w:rsidR="0084613C" w:rsidRDefault="0084613C" w:rsidP="004D5E7F">
      <w:pPr>
        <w:spacing w:after="0" w:line="240" w:lineRule="auto"/>
        <w:jc w:val="both"/>
        <w:rPr>
          <w:rFonts w:ascii="Times New Roman" w:hAnsi="Times New Roman" w:cs="Times New Roman"/>
          <w:sz w:val="24"/>
          <w:szCs w:val="24"/>
        </w:rPr>
      </w:pPr>
    </w:p>
    <w:p w14:paraId="6758E529" w14:textId="585C4EAE" w:rsidR="0084613C" w:rsidRDefault="0084613C" w:rsidP="004D5E7F">
      <w:pPr>
        <w:spacing w:after="0" w:line="240" w:lineRule="auto"/>
        <w:jc w:val="both"/>
        <w:rPr>
          <w:rFonts w:ascii="Times New Roman" w:hAnsi="Times New Roman" w:cs="Times New Roman"/>
          <w:sz w:val="24"/>
          <w:szCs w:val="24"/>
        </w:rPr>
      </w:pPr>
    </w:p>
    <w:p w14:paraId="68433B8E" w14:textId="7650A853" w:rsidR="0084613C" w:rsidRDefault="0084613C" w:rsidP="004D5E7F">
      <w:pPr>
        <w:spacing w:after="0" w:line="240" w:lineRule="auto"/>
        <w:jc w:val="both"/>
        <w:rPr>
          <w:rFonts w:ascii="Times New Roman" w:hAnsi="Times New Roman" w:cs="Times New Roman"/>
          <w:sz w:val="24"/>
          <w:szCs w:val="24"/>
        </w:rPr>
      </w:pPr>
    </w:p>
    <w:p w14:paraId="0F566E05" w14:textId="01C75EA8" w:rsidR="0084613C" w:rsidRDefault="0084613C" w:rsidP="004D5E7F">
      <w:pPr>
        <w:spacing w:after="0" w:line="240" w:lineRule="auto"/>
        <w:jc w:val="both"/>
        <w:rPr>
          <w:rFonts w:ascii="Times New Roman" w:hAnsi="Times New Roman" w:cs="Times New Roman"/>
          <w:sz w:val="24"/>
          <w:szCs w:val="24"/>
        </w:rPr>
      </w:pPr>
    </w:p>
    <w:p w14:paraId="58870648" w14:textId="4F08DB4A" w:rsidR="0084613C" w:rsidRDefault="0084613C" w:rsidP="004D5E7F">
      <w:pPr>
        <w:spacing w:after="0" w:line="240" w:lineRule="auto"/>
        <w:jc w:val="both"/>
        <w:rPr>
          <w:rFonts w:ascii="Times New Roman" w:hAnsi="Times New Roman" w:cs="Times New Roman"/>
          <w:sz w:val="24"/>
          <w:szCs w:val="24"/>
        </w:rPr>
      </w:pPr>
    </w:p>
    <w:p w14:paraId="21D17C47" w14:textId="7C9973D3" w:rsidR="0084613C" w:rsidRDefault="0084613C" w:rsidP="004D5E7F">
      <w:pPr>
        <w:spacing w:after="0" w:line="240" w:lineRule="auto"/>
        <w:jc w:val="both"/>
        <w:rPr>
          <w:rFonts w:ascii="Times New Roman" w:hAnsi="Times New Roman" w:cs="Times New Roman"/>
          <w:sz w:val="24"/>
          <w:szCs w:val="24"/>
        </w:rPr>
      </w:pPr>
    </w:p>
    <w:p w14:paraId="714B6710" w14:textId="22A505EA" w:rsidR="0084613C" w:rsidRDefault="002C5E85">
      <w:r>
        <w:br w:type="page"/>
      </w:r>
    </w:p>
    <w:tbl>
      <w:tblPr>
        <w:tblStyle w:val="Tabelacomgrade"/>
        <w:tblW w:w="0" w:type="auto"/>
        <w:tblBorders>
          <w:top w:val="double" w:sz="4" w:space="0" w:color="auto"/>
          <w:left w:val="none" w:sz="0" w:space="0" w:color="auto"/>
          <w:bottom w:val="double" w:sz="4" w:space="0" w:color="auto"/>
          <w:right w:val="none" w:sz="0" w:space="0" w:color="auto"/>
          <w:insideH w:val="dotted" w:sz="4" w:space="0" w:color="auto"/>
          <w:insideV w:val="dotted" w:sz="4" w:space="0" w:color="auto"/>
        </w:tblBorders>
        <w:tblLook w:val="04A0" w:firstRow="1" w:lastRow="0" w:firstColumn="1" w:lastColumn="0" w:noHBand="0" w:noVBand="1"/>
      </w:tblPr>
      <w:tblGrid>
        <w:gridCol w:w="539"/>
        <w:gridCol w:w="638"/>
        <w:gridCol w:w="781"/>
        <w:gridCol w:w="637"/>
        <w:gridCol w:w="780"/>
        <w:gridCol w:w="637"/>
        <w:gridCol w:w="807"/>
        <w:gridCol w:w="637"/>
        <w:gridCol w:w="780"/>
        <w:gridCol w:w="637"/>
        <w:gridCol w:w="780"/>
        <w:gridCol w:w="637"/>
        <w:gridCol w:w="780"/>
      </w:tblGrid>
      <w:tr w:rsidR="0084613C" w14:paraId="6BE7C028" w14:textId="382A7E9E" w:rsidTr="00171F8A">
        <w:tc>
          <w:tcPr>
            <w:tcW w:w="539" w:type="dxa"/>
            <w:vMerge w:val="restart"/>
            <w:tcBorders>
              <w:top w:val="double" w:sz="4" w:space="0" w:color="auto"/>
              <w:bottom w:val="dotted" w:sz="4" w:space="0" w:color="auto"/>
            </w:tcBorders>
            <w:vAlign w:val="center"/>
          </w:tcPr>
          <w:p w14:paraId="42526D3B" w14:textId="4DA2956D" w:rsidR="0084613C" w:rsidRPr="000646F8" w:rsidRDefault="0084613C" w:rsidP="000E1847">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lastRenderedPageBreak/>
              <w:t>ano</w:t>
            </w:r>
          </w:p>
        </w:tc>
        <w:tc>
          <w:tcPr>
            <w:tcW w:w="4280" w:type="dxa"/>
            <w:gridSpan w:val="6"/>
            <w:tcBorders>
              <w:top w:val="double" w:sz="4" w:space="0" w:color="auto"/>
              <w:bottom w:val="dotted" w:sz="4" w:space="0" w:color="auto"/>
            </w:tcBorders>
            <w:vAlign w:val="center"/>
          </w:tcPr>
          <w:p w14:paraId="6F355416" w14:textId="77777777" w:rsidR="0084613C" w:rsidRPr="000646F8" w:rsidRDefault="0084613C" w:rsidP="000E1847">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Tratamento</w:t>
            </w:r>
          </w:p>
        </w:tc>
        <w:tc>
          <w:tcPr>
            <w:tcW w:w="4251" w:type="dxa"/>
            <w:gridSpan w:val="6"/>
            <w:tcBorders>
              <w:top w:val="double" w:sz="4" w:space="0" w:color="auto"/>
              <w:bottom w:val="dotted" w:sz="4" w:space="0" w:color="auto"/>
            </w:tcBorders>
          </w:tcPr>
          <w:p w14:paraId="5148504F" w14:textId="4F82BE3F" w:rsidR="0084613C" w:rsidRPr="000646F8" w:rsidRDefault="0084613C" w:rsidP="000E1847">
            <w:pPr>
              <w:spacing w:line="360" w:lineRule="auto"/>
              <w:jc w:val="center"/>
              <w:rPr>
                <w:rFonts w:ascii="Times New Roman" w:hAnsi="Times New Roman" w:cs="Times New Roman"/>
                <w:b/>
                <w:bCs/>
                <w:sz w:val="20"/>
                <w:szCs w:val="20"/>
              </w:rPr>
            </w:pPr>
            <w:r>
              <w:rPr>
                <w:rFonts w:ascii="Times New Roman" w:hAnsi="Times New Roman" w:cs="Times New Roman"/>
                <w:b/>
                <w:bCs/>
                <w:sz w:val="20"/>
                <w:szCs w:val="20"/>
              </w:rPr>
              <w:t>Controle</w:t>
            </w:r>
          </w:p>
        </w:tc>
      </w:tr>
      <w:tr w:rsidR="0084613C" w14:paraId="3849A4E3" w14:textId="5E3DC987" w:rsidTr="00664201">
        <w:tc>
          <w:tcPr>
            <w:tcW w:w="539" w:type="dxa"/>
            <w:vMerge/>
            <w:tcBorders>
              <w:top w:val="double" w:sz="4" w:space="0" w:color="auto"/>
              <w:bottom w:val="dotted" w:sz="4" w:space="0" w:color="auto"/>
            </w:tcBorders>
            <w:vAlign w:val="center"/>
          </w:tcPr>
          <w:p w14:paraId="34C3BB96" w14:textId="77777777" w:rsidR="0084613C" w:rsidRPr="000646F8" w:rsidRDefault="0084613C" w:rsidP="0084613C">
            <w:pPr>
              <w:spacing w:line="360" w:lineRule="auto"/>
              <w:jc w:val="center"/>
              <w:rPr>
                <w:rFonts w:ascii="Times New Roman" w:hAnsi="Times New Roman" w:cs="Times New Roman"/>
                <w:b/>
                <w:bCs/>
                <w:sz w:val="20"/>
                <w:szCs w:val="20"/>
              </w:rPr>
            </w:pPr>
          </w:p>
        </w:tc>
        <w:tc>
          <w:tcPr>
            <w:tcW w:w="1419" w:type="dxa"/>
            <w:gridSpan w:val="2"/>
            <w:tcBorders>
              <w:top w:val="double" w:sz="4" w:space="0" w:color="auto"/>
              <w:bottom w:val="dotted" w:sz="4" w:space="0" w:color="auto"/>
            </w:tcBorders>
            <w:vAlign w:val="center"/>
          </w:tcPr>
          <w:p w14:paraId="54004979" w14:textId="77777777" w:rsidR="0084613C" w:rsidRPr="000646F8" w:rsidRDefault="0084613C" w:rsidP="0084613C">
            <w:pPr>
              <w:spacing w:line="360" w:lineRule="auto"/>
              <w:jc w:val="center"/>
              <w:rPr>
                <w:rFonts w:ascii="Times New Roman" w:hAnsi="Times New Roman" w:cs="Times New Roman"/>
                <w:b/>
                <w:bCs/>
                <w:sz w:val="20"/>
                <w:szCs w:val="20"/>
              </w:rPr>
            </w:pPr>
            <w:proofErr w:type="spellStart"/>
            <w:r>
              <w:rPr>
                <w:rFonts w:ascii="Times New Roman" w:hAnsi="Times New Roman" w:cs="Times New Roman"/>
                <w:b/>
                <w:bCs/>
                <w:sz w:val="20"/>
                <w:szCs w:val="20"/>
              </w:rPr>
              <w:t>prod_soja</w:t>
            </w:r>
            <w:proofErr w:type="spellEnd"/>
          </w:p>
        </w:tc>
        <w:tc>
          <w:tcPr>
            <w:tcW w:w="1417" w:type="dxa"/>
            <w:gridSpan w:val="2"/>
            <w:tcBorders>
              <w:top w:val="double" w:sz="4" w:space="0" w:color="auto"/>
              <w:bottom w:val="dotted" w:sz="4" w:space="0" w:color="auto"/>
            </w:tcBorders>
            <w:vAlign w:val="center"/>
          </w:tcPr>
          <w:p w14:paraId="2A0F9AF3" w14:textId="77777777" w:rsidR="0084613C" w:rsidRPr="000646F8" w:rsidRDefault="0084613C" w:rsidP="0084613C">
            <w:pPr>
              <w:spacing w:line="360" w:lineRule="auto"/>
              <w:jc w:val="center"/>
              <w:rPr>
                <w:rFonts w:ascii="Times New Roman" w:hAnsi="Times New Roman" w:cs="Times New Roman"/>
                <w:b/>
                <w:bCs/>
                <w:sz w:val="20"/>
                <w:szCs w:val="20"/>
              </w:rPr>
            </w:pPr>
            <w:proofErr w:type="spellStart"/>
            <w:r>
              <w:rPr>
                <w:rFonts w:ascii="Times New Roman" w:hAnsi="Times New Roman" w:cs="Times New Roman"/>
                <w:b/>
                <w:bCs/>
                <w:sz w:val="20"/>
                <w:szCs w:val="20"/>
              </w:rPr>
              <w:t>rm_soja</w:t>
            </w:r>
            <w:proofErr w:type="spellEnd"/>
          </w:p>
        </w:tc>
        <w:tc>
          <w:tcPr>
            <w:tcW w:w="1444" w:type="dxa"/>
            <w:gridSpan w:val="2"/>
            <w:tcBorders>
              <w:top w:val="double" w:sz="4" w:space="0" w:color="auto"/>
              <w:bottom w:val="dotted" w:sz="4" w:space="0" w:color="auto"/>
            </w:tcBorders>
            <w:vAlign w:val="center"/>
          </w:tcPr>
          <w:p w14:paraId="33B816A6" w14:textId="77777777" w:rsidR="0084613C" w:rsidRPr="000646F8" w:rsidRDefault="0084613C" w:rsidP="0084613C">
            <w:pPr>
              <w:spacing w:line="360" w:lineRule="auto"/>
              <w:jc w:val="center"/>
              <w:rPr>
                <w:rFonts w:ascii="Times New Roman" w:hAnsi="Times New Roman" w:cs="Times New Roman"/>
                <w:b/>
                <w:bCs/>
                <w:sz w:val="20"/>
                <w:szCs w:val="20"/>
              </w:rPr>
            </w:pPr>
            <w:proofErr w:type="spellStart"/>
            <w:proofErr w:type="gramStart"/>
            <w:r>
              <w:rPr>
                <w:rFonts w:ascii="Times New Roman" w:hAnsi="Times New Roman" w:cs="Times New Roman"/>
                <w:b/>
                <w:bCs/>
                <w:sz w:val="20"/>
                <w:szCs w:val="20"/>
              </w:rPr>
              <w:t>s.soja</w:t>
            </w:r>
            <w:proofErr w:type="spellEnd"/>
            <w:proofErr w:type="gramEnd"/>
          </w:p>
        </w:tc>
        <w:tc>
          <w:tcPr>
            <w:tcW w:w="1417" w:type="dxa"/>
            <w:gridSpan w:val="2"/>
            <w:tcBorders>
              <w:top w:val="double" w:sz="4" w:space="0" w:color="auto"/>
              <w:bottom w:val="dotted" w:sz="4" w:space="0" w:color="auto"/>
            </w:tcBorders>
          </w:tcPr>
          <w:p w14:paraId="328FD11F" w14:textId="12FF9DF0" w:rsidR="0084613C" w:rsidRDefault="0084613C" w:rsidP="0084613C">
            <w:pPr>
              <w:spacing w:line="360" w:lineRule="auto"/>
              <w:jc w:val="center"/>
              <w:rPr>
                <w:rFonts w:ascii="Times New Roman" w:hAnsi="Times New Roman" w:cs="Times New Roman"/>
                <w:b/>
                <w:bCs/>
                <w:sz w:val="20"/>
                <w:szCs w:val="20"/>
              </w:rPr>
            </w:pPr>
            <w:proofErr w:type="spellStart"/>
            <w:r>
              <w:rPr>
                <w:rFonts w:ascii="Times New Roman" w:hAnsi="Times New Roman" w:cs="Times New Roman"/>
                <w:b/>
                <w:bCs/>
                <w:sz w:val="20"/>
                <w:szCs w:val="20"/>
              </w:rPr>
              <w:t>prod_soja</w:t>
            </w:r>
            <w:proofErr w:type="spellEnd"/>
          </w:p>
        </w:tc>
        <w:tc>
          <w:tcPr>
            <w:tcW w:w="1417" w:type="dxa"/>
            <w:gridSpan w:val="2"/>
            <w:tcBorders>
              <w:top w:val="double" w:sz="4" w:space="0" w:color="auto"/>
              <w:bottom w:val="dotted" w:sz="4" w:space="0" w:color="auto"/>
            </w:tcBorders>
          </w:tcPr>
          <w:p w14:paraId="22865B8E" w14:textId="605D9264" w:rsidR="0084613C" w:rsidRDefault="0084613C" w:rsidP="0084613C">
            <w:pPr>
              <w:spacing w:line="360" w:lineRule="auto"/>
              <w:jc w:val="center"/>
              <w:rPr>
                <w:rFonts w:ascii="Times New Roman" w:hAnsi="Times New Roman" w:cs="Times New Roman"/>
                <w:b/>
                <w:bCs/>
                <w:sz w:val="20"/>
                <w:szCs w:val="20"/>
              </w:rPr>
            </w:pPr>
            <w:proofErr w:type="spellStart"/>
            <w:r>
              <w:rPr>
                <w:rFonts w:ascii="Times New Roman" w:hAnsi="Times New Roman" w:cs="Times New Roman"/>
                <w:b/>
                <w:bCs/>
                <w:sz w:val="20"/>
                <w:szCs w:val="20"/>
              </w:rPr>
              <w:t>rm_soja</w:t>
            </w:r>
            <w:proofErr w:type="spellEnd"/>
          </w:p>
        </w:tc>
        <w:tc>
          <w:tcPr>
            <w:tcW w:w="1417" w:type="dxa"/>
            <w:gridSpan w:val="2"/>
            <w:tcBorders>
              <w:top w:val="double" w:sz="4" w:space="0" w:color="auto"/>
              <w:bottom w:val="dotted" w:sz="4" w:space="0" w:color="auto"/>
            </w:tcBorders>
            <w:vAlign w:val="center"/>
          </w:tcPr>
          <w:p w14:paraId="0369304A" w14:textId="75097569" w:rsidR="0084613C" w:rsidRDefault="0084613C" w:rsidP="0084613C">
            <w:pPr>
              <w:spacing w:line="360" w:lineRule="auto"/>
              <w:jc w:val="center"/>
              <w:rPr>
                <w:rFonts w:ascii="Times New Roman" w:hAnsi="Times New Roman" w:cs="Times New Roman"/>
                <w:b/>
                <w:bCs/>
                <w:sz w:val="20"/>
                <w:szCs w:val="20"/>
              </w:rPr>
            </w:pPr>
            <w:proofErr w:type="spellStart"/>
            <w:proofErr w:type="gramStart"/>
            <w:r>
              <w:rPr>
                <w:rFonts w:ascii="Times New Roman" w:hAnsi="Times New Roman" w:cs="Times New Roman"/>
                <w:b/>
                <w:bCs/>
                <w:sz w:val="20"/>
                <w:szCs w:val="20"/>
              </w:rPr>
              <w:t>s.soja</w:t>
            </w:r>
            <w:proofErr w:type="spellEnd"/>
            <w:proofErr w:type="gramEnd"/>
          </w:p>
        </w:tc>
      </w:tr>
      <w:tr w:rsidR="0084613C" w14:paraId="126119A8" w14:textId="756E3E1A" w:rsidTr="0084613C">
        <w:tc>
          <w:tcPr>
            <w:tcW w:w="539" w:type="dxa"/>
            <w:vMerge/>
            <w:tcBorders>
              <w:top w:val="dotted" w:sz="4" w:space="0" w:color="auto"/>
              <w:bottom w:val="single" w:sz="4" w:space="0" w:color="auto"/>
            </w:tcBorders>
            <w:vAlign w:val="center"/>
          </w:tcPr>
          <w:p w14:paraId="7C477659" w14:textId="77777777" w:rsidR="0084613C" w:rsidRPr="000646F8" w:rsidRDefault="0084613C" w:rsidP="0084613C">
            <w:pPr>
              <w:spacing w:line="360" w:lineRule="auto"/>
              <w:jc w:val="center"/>
              <w:rPr>
                <w:rFonts w:ascii="Times New Roman" w:hAnsi="Times New Roman" w:cs="Times New Roman"/>
                <w:b/>
                <w:bCs/>
                <w:sz w:val="20"/>
                <w:szCs w:val="20"/>
              </w:rPr>
            </w:pPr>
          </w:p>
        </w:tc>
        <w:tc>
          <w:tcPr>
            <w:tcW w:w="638" w:type="dxa"/>
            <w:tcBorders>
              <w:top w:val="dotted" w:sz="4" w:space="0" w:color="auto"/>
              <w:bottom w:val="single" w:sz="4" w:space="0" w:color="auto"/>
            </w:tcBorders>
            <w:vAlign w:val="center"/>
          </w:tcPr>
          <w:p w14:paraId="5C942506"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média</w:t>
            </w:r>
          </w:p>
        </w:tc>
        <w:tc>
          <w:tcPr>
            <w:tcW w:w="781" w:type="dxa"/>
            <w:tcBorders>
              <w:top w:val="dotted" w:sz="4" w:space="0" w:color="auto"/>
              <w:bottom w:val="single" w:sz="4" w:space="0" w:color="auto"/>
            </w:tcBorders>
            <w:vAlign w:val="center"/>
          </w:tcPr>
          <w:p w14:paraId="3A5D3836" w14:textId="77777777" w:rsidR="0084613C" w:rsidRPr="000646F8" w:rsidRDefault="0084613C" w:rsidP="0084613C">
            <w:pPr>
              <w:spacing w:line="360" w:lineRule="auto"/>
              <w:jc w:val="center"/>
              <w:rPr>
                <w:rFonts w:ascii="Times New Roman" w:hAnsi="Times New Roman" w:cs="Times New Roman"/>
                <w:b/>
                <w:bCs/>
                <w:sz w:val="20"/>
                <w:szCs w:val="20"/>
              </w:rPr>
            </w:pPr>
            <w:proofErr w:type="spellStart"/>
            <w:r w:rsidRPr="000646F8">
              <w:rPr>
                <w:rFonts w:ascii="Times New Roman" w:hAnsi="Times New Roman" w:cs="Times New Roman"/>
                <w:b/>
                <w:bCs/>
                <w:sz w:val="20"/>
                <w:szCs w:val="20"/>
              </w:rPr>
              <w:t>desvpad</w:t>
            </w:r>
            <w:proofErr w:type="spellEnd"/>
          </w:p>
        </w:tc>
        <w:tc>
          <w:tcPr>
            <w:tcW w:w="637" w:type="dxa"/>
            <w:tcBorders>
              <w:top w:val="dotted" w:sz="4" w:space="0" w:color="auto"/>
              <w:bottom w:val="single" w:sz="4" w:space="0" w:color="auto"/>
            </w:tcBorders>
            <w:vAlign w:val="center"/>
          </w:tcPr>
          <w:p w14:paraId="25425213"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média</w:t>
            </w:r>
          </w:p>
        </w:tc>
        <w:tc>
          <w:tcPr>
            <w:tcW w:w="780" w:type="dxa"/>
            <w:tcBorders>
              <w:top w:val="dotted" w:sz="4" w:space="0" w:color="auto"/>
              <w:bottom w:val="single" w:sz="4" w:space="0" w:color="auto"/>
            </w:tcBorders>
            <w:vAlign w:val="center"/>
          </w:tcPr>
          <w:p w14:paraId="7C53704D" w14:textId="77777777" w:rsidR="0084613C" w:rsidRPr="000646F8" w:rsidRDefault="0084613C" w:rsidP="0084613C">
            <w:pPr>
              <w:spacing w:line="360" w:lineRule="auto"/>
              <w:jc w:val="center"/>
              <w:rPr>
                <w:rFonts w:ascii="Times New Roman" w:hAnsi="Times New Roman" w:cs="Times New Roman"/>
                <w:b/>
                <w:bCs/>
                <w:sz w:val="20"/>
                <w:szCs w:val="20"/>
              </w:rPr>
            </w:pPr>
            <w:proofErr w:type="spellStart"/>
            <w:r w:rsidRPr="000646F8">
              <w:rPr>
                <w:rFonts w:ascii="Times New Roman" w:hAnsi="Times New Roman" w:cs="Times New Roman"/>
                <w:b/>
                <w:bCs/>
                <w:sz w:val="20"/>
                <w:szCs w:val="20"/>
              </w:rPr>
              <w:t>desvpad</w:t>
            </w:r>
            <w:proofErr w:type="spellEnd"/>
          </w:p>
        </w:tc>
        <w:tc>
          <w:tcPr>
            <w:tcW w:w="637" w:type="dxa"/>
            <w:tcBorders>
              <w:top w:val="dotted" w:sz="4" w:space="0" w:color="auto"/>
              <w:bottom w:val="single" w:sz="4" w:space="0" w:color="auto"/>
            </w:tcBorders>
            <w:vAlign w:val="center"/>
          </w:tcPr>
          <w:p w14:paraId="28082C2A"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média</w:t>
            </w:r>
          </w:p>
        </w:tc>
        <w:tc>
          <w:tcPr>
            <w:tcW w:w="807" w:type="dxa"/>
            <w:tcBorders>
              <w:top w:val="dotted" w:sz="4" w:space="0" w:color="auto"/>
              <w:bottom w:val="single" w:sz="4" w:space="0" w:color="auto"/>
            </w:tcBorders>
            <w:vAlign w:val="center"/>
          </w:tcPr>
          <w:p w14:paraId="5C931A34" w14:textId="77777777" w:rsidR="0084613C" w:rsidRPr="000646F8" w:rsidRDefault="0084613C" w:rsidP="0084613C">
            <w:pPr>
              <w:spacing w:line="360" w:lineRule="auto"/>
              <w:jc w:val="center"/>
              <w:rPr>
                <w:rFonts w:ascii="Times New Roman" w:hAnsi="Times New Roman" w:cs="Times New Roman"/>
                <w:b/>
                <w:bCs/>
                <w:sz w:val="20"/>
                <w:szCs w:val="20"/>
              </w:rPr>
            </w:pPr>
            <w:proofErr w:type="spellStart"/>
            <w:r w:rsidRPr="000646F8">
              <w:rPr>
                <w:rFonts w:ascii="Times New Roman" w:hAnsi="Times New Roman" w:cs="Times New Roman"/>
                <w:b/>
                <w:bCs/>
                <w:sz w:val="20"/>
                <w:szCs w:val="20"/>
              </w:rPr>
              <w:t>Desvpad</w:t>
            </w:r>
            <w:proofErr w:type="spellEnd"/>
          </w:p>
        </w:tc>
        <w:tc>
          <w:tcPr>
            <w:tcW w:w="637" w:type="dxa"/>
            <w:tcBorders>
              <w:top w:val="dotted" w:sz="4" w:space="0" w:color="auto"/>
              <w:bottom w:val="single" w:sz="4" w:space="0" w:color="auto"/>
            </w:tcBorders>
            <w:vAlign w:val="center"/>
          </w:tcPr>
          <w:p w14:paraId="70C347B0" w14:textId="4B128B85"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média</w:t>
            </w:r>
          </w:p>
        </w:tc>
        <w:tc>
          <w:tcPr>
            <w:tcW w:w="780" w:type="dxa"/>
            <w:tcBorders>
              <w:top w:val="dotted" w:sz="4" w:space="0" w:color="auto"/>
              <w:bottom w:val="single" w:sz="4" w:space="0" w:color="auto"/>
            </w:tcBorders>
            <w:vAlign w:val="center"/>
          </w:tcPr>
          <w:p w14:paraId="588C5278" w14:textId="217F523F" w:rsidR="0084613C" w:rsidRPr="000646F8" w:rsidRDefault="0084613C" w:rsidP="0084613C">
            <w:pPr>
              <w:spacing w:line="360" w:lineRule="auto"/>
              <w:jc w:val="center"/>
              <w:rPr>
                <w:rFonts w:ascii="Times New Roman" w:hAnsi="Times New Roman" w:cs="Times New Roman"/>
                <w:b/>
                <w:bCs/>
                <w:sz w:val="20"/>
                <w:szCs w:val="20"/>
              </w:rPr>
            </w:pPr>
            <w:proofErr w:type="spellStart"/>
            <w:r w:rsidRPr="000646F8">
              <w:rPr>
                <w:rFonts w:ascii="Times New Roman" w:hAnsi="Times New Roman" w:cs="Times New Roman"/>
                <w:b/>
                <w:bCs/>
                <w:sz w:val="20"/>
                <w:szCs w:val="20"/>
              </w:rPr>
              <w:t>desvpad</w:t>
            </w:r>
            <w:proofErr w:type="spellEnd"/>
          </w:p>
        </w:tc>
        <w:tc>
          <w:tcPr>
            <w:tcW w:w="637" w:type="dxa"/>
            <w:tcBorders>
              <w:top w:val="dotted" w:sz="4" w:space="0" w:color="auto"/>
              <w:bottom w:val="single" w:sz="4" w:space="0" w:color="auto"/>
            </w:tcBorders>
            <w:vAlign w:val="center"/>
          </w:tcPr>
          <w:p w14:paraId="0A8D9399" w14:textId="38C0E331"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média</w:t>
            </w:r>
          </w:p>
        </w:tc>
        <w:tc>
          <w:tcPr>
            <w:tcW w:w="780" w:type="dxa"/>
            <w:tcBorders>
              <w:top w:val="dotted" w:sz="4" w:space="0" w:color="auto"/>
              <w:bottom w:val="single" w:sz="4" w:space="0" w:color="auto"/>
            </w:tcBorders>
            <w:vAlign w:val="center"/>
          </w:tcPr>
          <w:p w14:paraId="369773FB" w14:textId="5AD89203" w:rsidR="0084613C" w:rsidRPr="000646F8" w:rsidRDefault="0084613C" w:rsidP="0084613C">
            <w:pPr>
              <w:spacing w:line="360" w:lineRule="auto"/>
              <w:jc w:val="center"/>
              <w:rPr>
                <w:rFonts w:ascii="Times New Roman" w:hAnsi="Times New Roman" w:cs="Times New Roman"/>
                <w:b/>
                <w:bCs/>
                <w:sz w:val="20"/>
                <w:szCs w:val="20"/>
              </w:rPr>
            </w:pPr>
            <w:proofErr w:type="spellStart"/>
            <w:r w:rsidRPr="000646F8">
              <w:rPr>
                <w:rFonts w:ascii="Times New Roman" w:hAnsi="Times New Roman" w:cs="Times New Roman"/>
                <w:b/>
                <w:bCs/>
                <w:sz w:val="20"/>
                <w:szCs w:val="20"/>
              </w:rPr>
              <w:t>desvpad</w:t>
            </w:r>
            <w:proofErr w:type="spellEnd"/>
          </w:p>
        </w:tc>
        <w:tc>
          <w:tcPr>
            <w:tcW w:w="637" w:type="dxa"/>
            <w:tcBorders>
              <w:top w:val="dotted" w:sz="4" w:space="0" w:color="auto"/>
              <w:bottom w:val="single" w:sz="4" w:space="0" w:color="auto"/>
            </w:tcBorders>
            <w:vAlign w:val="center"/>
          </w:tcPr>
          <w:p w14:paraId="139C92F5" w14:textId="6E9D9716"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média</w:t>
            </w:r>
          </w:p>
        </w:tc>
        <w:tc>
          <w:tcPr>
            <w:tcW w:w="780" w:type="dxa"/>
            <w:tcBorders>
              <w:top w:val="dotted" w:sz="4" w:space="0" w:color="auto"/>
              <w:bottom w:val="single" w:sz="4" w:space="0" w:color="auto"/>
            </w:tcBorders>
            <w:vAlign w:val="center"/>
          </w:tcPr>
          <w:p w14:paraId="215166A1" w14:textId="2EBA119E" w:rsidR="0084613C" w:rsidRPr="000646F8" w:rsidRDefault="0084613C" w:rsidP="0084613C">
            <w:pPr>
              <w:spacing w:line="360" w:lineRule="auto"/>
              <w:jc w:val="center"/>
              <w:rPr>
                <w:rFonts w:ascii="Times New Roman" w:hAnsi="Times New Roman" w:cs="Times New Roman"/>
                <w:b/>
                <w:bCs/>
                <w:sz w:val="20"/>
                <w:szCs w:val="20"/>
              </w:rPr>
            </w:pPr>
            <w:proofErr w:type="spellStart"/>
            <w:r w:rsidRPr="000646F8">
              <w:rPr>
                <w:rFonts w:ascii="Times New Roman" w:hAnsi="Times New Roman" w:cs="Times New Roman"/>
                <w:b/>
                <w:bCs/>
                <w:sz w:val="20"/>
                <w:szCs w:val="20"/>
              </w:rPr>
              <w:t>desvpad</w:t>
            </w:r>
            <w:proofErr w:type="spellEnd"/>
          </w:p>
        </w:tc>
      </w:tr>
      <w:tr w:rsidR="0084613C" w14:paraId="18B8440A" w14:textId="4ADAF9A4" w:rsidTr="0084613C">
        <w:tc>
          <w:tcPr>
            <w:tcW w:w="539" w:type="dxa"/>
            <w:tcBorders>
              <w:top w:val="single" w:sz="4" w:space="0" w:color="auto"/>
            </w:tcBorders>
            <w:vAlign w:val="center"/>
          </w:tcPr>
          <w:p w14:paraId="3221F090"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2003</w:t>
            </w:r>
          </w:p>
        </w:tc>
        <w:tc>
          <w:tcPr>
            <w:tcW w:w="638" w:type="dxa"/>
            <w:tcBorders>
              <w:top w:val="single" w:sz="4" w:space="0" w:color="auto"/>
            </w:tcBorders>
          </w:tcPr>
          <w:p w14:paraId="5B16966F"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1,31</w:t>
            </w:r>
          </w:p>
        </w:tc>
        <w:tc>
          <w:tcPr>
            <w:tcW w:w="781" w:type="dxa"/>
            <w:tcBorders>
              <w:top w:val="single" w:sz="4" w:space="0" w:color="auto"/>
            </w:tcBorders>
          </w:tcPr>
          <w:p w14:paraId="0C95FD2A"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1,35</w:t>
            </w:r>
          </w:p>
        </w:tc>
        <w:tc>
          <w:tcPr>
            <w:tcW w:w="637" w:type="dxa"/>
            <w:tcBorders>
              <w:top w:val="single" w:sz="4" w:space="0" w:color="auto"/>
            </w:tcBorders>
          </w:tcPr>
          <w:p w14:paraId="711DE9C1"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0,13</w:t>
            </w:r>
          </w:p>
        </w:tc>
        <w:tc>
          <w:tcPr>
            <w:tcW w:w="780" w:type="dxa"/>
            <w:tcBorders>
              <w:top w:val="single" w:sz="4" w:space="0" w:color="auto"/>
            </w:tcBorders>
          </w:tcPr>
          <w:p w14:paraId="239D857B"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0,13</w:t>
            </w:r>
          </w:p>
        </w:tc>
        <w:tc>
          <w:tcPr>
            <w:tcW w:w="637" w:type="dxa"/>
            <w:tcBorders>
              <w:top w:val="single" w:sz="4" w:space="0" w:color="auto"/>
            </w:tcBorders>
          </w:tcPr>
          <w:p w14:paraId="6D16769B"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7,19</w:t>
            </w:r>
          </w:p>
        </w:tc>
        <w:tc>
          <w:tcPr>
            <w:tcW w:w="807" w:type="dxa"/>
            <w:tcBorders>
              <w:top w:val="single" w:sz="4" w:space="0" w:color="auto"/>
            </w:tcBorders>
          </w:tcPr>
          <w:p w14:paraId="11D0F79F"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65,86</w:t>
            </w:r>
          </w:p>
        </w:tc>
        <w:tc>
          <w:tcPr>
            <w:tcW w:w="637" w:type="dxa"/>
            <w:tcBorders>
              <w:top w:val="single" w:sz="4" w:space="0" w:color="auto"/>
            </w:tcBorders>
          </w:tcPr>
          <w:p w14:paraId="7B361A3D"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Borders>
              <w:top w:val="single" w:sz="4" w:space="0" w:color="auto"/>
            </w:tcBorders>
          </w:tcPr>
          <w:p w14:paraId="583D391F"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Borders>
              <w:top w:val="single" w:sz="4" w:space="0" w:color="auto"/>
            </w:tcBorders>
          </w:tcPr>
          <w:p w14:paraId="3C429CDF"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Borders>
              <w:top w:val="single" w:sz="4" w:space="0" w:color="auto"/>
            </w:tcBorders>
          </w:tcPr>
          <w:p w14:paraId="72EBC8B6"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Borders>
              <w:top w:val="single" w:sz="4" w:space="0" w:color="auto"/>
            </w:tcBorders>
          </w:tcPr>
          <w:p w14:paraId="3ED1F57C"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Borders>
              <w:top w:val="single" w:sz="4" w:space="0" w:color="auto"/>
            </w:tcBorders>
          </w:tcPr>
          <w:p w14:paraId="4DA7E989"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6D20B2D7" w14:textId="3DB70842" w:rsidTr="0084613C">
        <w:tc>
          <w:tcPr>
            <w:tcW w:w="539" w:type="dxa"/>
            <w:vAlign w:val="center"/>
          </w:tcPr>
          <w:p w14:paraId="7016ECBA"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2004</w:t>
            </w:r>
          </w:p>
        </w:tc>
        <w:tc>
          <w:tcPr>
            <w:tcW w:w="638" w:type="dxa"/>
          </w:tcPr>
          <w:p w14:paraId="3A848525"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0,91</w:t>
            </w:r>
          </w:p>
        </w:tc>
        <w:tc>
          <w:tcPr>
            <w:tcW w:w="781" w:type="dxa"/>
          </w:tcPr>
          <w:p w14:paraId="08F4B3BD"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1,00</w:t>
            </w:r>
          </w:p>
        </w:tc>
        <w:tc>
          <w:tcPr>
            <w:tcW w:w="637" w:type="dxa"/>
          </w:tcPr>
          <w:p w14:paraId="2E9FFE3A"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0,17</w:t>
            </w:r>
          </w:p>
        </w:tc>
        <w:tc>
          <w:tcPr>
            <w:tcW w:w="780" w:type="dxa"/>
          </w:tcPr>
          <w:p w14:paraId="4AE8C31F"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0,17</w:t>
            </w:r>
          </w:p>
        </w:tc>
        <w:tc>
          <w:tcPr>
            <w:tcW w:w="637" w:type="dxa"/>
          </w:tcPr>
          <w:p w14:paraId="5E92641C"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8,89</w:t>
            </w:r>
          </w:p>
        </w:tc>
        <w:tc>
          <w:tcPr>
            <w:tcW w:w="807" w:type="dxa"/>
          </w:tcPr>
          <w:p w14:paraId="31177CEF"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79,12</w:t>
            </w:r>
          </w:p>
        </w:tc>
        <w:tc>
          <w:tcPr>
            <w:tcW w:w="637" w:type="dxa"/>
          </w:tcPr>
          <w:p w14:paraId="4D80FE42"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0C6C6F9C"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3B27E5E2"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78FD9080"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3D918131"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31C49D80"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616A0DCD" w14:textId="5EDB02F4" w:rsidTr="0084613C">
        <w:tc>
          <w:tcPr>
            <w:tcW w:w="539" w:type="dxa"/>
            <w:vAlign w:val="center"/>
          </w:tcPr>
          <w:p w14:paraId="1A79D007"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2005</w:t>
            </w:r>
          </w:p>
        </w:tc>
        <w:tc>
          <w:tcPr>
            <w:tcW w:w="638" w:type="dxa"/>
          </w:tcPr>
          <w:p w14:paraId="4E2E6200"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0,66</w:t>
            </w:r>
          </w:p>
        </w:tc>
        <w:tc>
          <w:tcPr>
            <w:tcW w:w="781" w:type="dxa"/>
          </w:tcPr>
          <w:p w14:paraId="64728273"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0,94</w:t>
            </w:r>
          </w:p>
        </w:tc>
        <w:tc>
          <w:tcPr>
            <w:tcW w:w="637" w:type="dxa"/>
          </w:tcPr>
          <w:p w14:paraId="18035790"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0,12</w:t>
            </w:r>
          </w:p>
        </w:tc>
        <w:tc>
          <w:tcPr>
            <w:tcW w:w="780" w:type="dxa"/>
          </w:tcPr>
          <w:p w14:paraId="5342E45C"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0,12</w:t>
            </w:r>
          </w:p>
        </w:tc>
        <w:tc>
          <w:tcPr>
            <w:tcW w:w="637" w:type="dxa"/>
          </w:tcPr>
          <w:p w14:paraId="483F8E57"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4,20</w:t>
            </w:r>
          </w:p>
        </w:tc>
        <w:tc>
          <w:tcPr>
            <w:tcW w:w="807" w:type="dxa"/>
          </w:tcPr>
          <w:p w14:paraId="49446F2E"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41,16</w:t>
            </w:r>
          </w:p>
        </w:tc>
        <w:tc>
          <w:tcPr>
            <w:tcW w:w="637" w:type="dxa"/>
          </w:tcPr>
          <w:p w14:paraId="69336724"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74B17227"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2CCB2ACF"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5B1BDEDD"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730E7D51"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130D211C"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28B092F3" w14:textId="79BBFA2C" w:rsidTr="0084613C">
        <w:tc>
          <w:tcPr>
            <w:tcW w:w="539" w:type="dxa"/>
            <w:vAlign w:val="center"/>
          </w:tcPr>
          <w:p w14:paraId="3CA0665C"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2006</w:t>
            </w:r>
          </w:p>
        </w:tc>
        <w:tc>
          <w:tcPr>
            <w:tcW w:w="638" w:type="dxa"/>
          </w:tcPr>
          <w:p w14:paraId="7083BF0C"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1,11</w:t>
            </w:r>
          </w:p>
        </w:tc>
        <w:tc>
          <w:tcPr>
            <w:tcW w:w="781" w:type="dxa"/>
          </w:tcPr>
          <w:p w14:paraId="09451138"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1,16</w:t>
            </w:r>
          </w:p>
        </w:tc>
        <w:tc>
          <w:tcPr>
            <w:tcW w:w="637" w:type="dxa"/>
          </w:tcPr>
          <w:p w14:paraId="39B24D83"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0,10</w:t>
            </w:r>
          </w:p>
        </w:tc>
        <w:tc>
          <w:tcPr>
            <w:tcW w:w="780" w:type="dxa"/>
          </w:tcPr>
          <w:p w14:paraId="08546EF6"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0,10</w:t>
            </w:r>
          </w:p>
        </w:tc>
        <w:tc>
          <w:tcPr>
            <w:tcW w:w="637" w:type="dxa"/>
          </w:tcPr>
          <w:p w14:paraId="2A319B13"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4,60</w:t>
            </w:r>
          </w:p>
        </w:tc>
        <w:tc>
          <w:tcPr>
            <w:tcW w:w="807" w:type="dxa"/>
          </w:tcPr>
          <w:p w14:paraId="4C16FB39"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42,02</w:t>
            </w:r>
          </w:p>
        </w:tc>
        <w:tc>
          <w:tcPr>
            <w:tcW w:w="637" w:type="dxa"/>
          </w:tcPr>
          <w:p w14:paraId="0DC43304"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68698BBF"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7AC123C5"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0CEB9153"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7872A1A1"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3B79635E"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7E5A8116" w14:textId="3AE5F0E1" w:rsidTr="0084613C">
        <w:tc>
          <w:tcPr>
            <w:tcW w:w="539" w:type="dxa"/>
            <w:vAlign w:val="center"/>
          </w:tcPr>
          <w:p w14:paraId="19023492"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2007</w:t>
            </w:r>
          </w:p>
        </w:tc>
        <w:tc>
          <w:tcPr>
            <w:tcW w:w="638" w:type="dxa"/>
          </w:tcPr>
          <w:p w14:paraId="04A772AD"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1,34</w:t>
            </w:r>
          </w:p>
        </w:tc>
        <w:tc>
          <w:tcPr>
            <w:tcW w:w="781" w:type="dxa"/>
          </w:tcPr>
          <w:p w14:paraId="26E6FBB7"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1,35</w:t>
            </w:r>
          </w:p>
        </w:tc>
        <w:tc>
          <w:tcPr>
            <w:tcW w:w="637" w:type="dxa"/>
          </w:tcPr>
          <w:p w14:paraId="06535D0C"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0,13</w:t>
            </w:r>
          </w:p>
        </w:tc>
        <w:tc>
          <w:tcPr>
            <w:tcW w:w="780" w:type="dxa"/>
          </w:tcPr>
          <w:p w14:paraId="4725465D"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0,13</w:t>
            </w:r>
          </w:p>
        </w:tc>
        <w:tc>
          <w:tcPr>
            <w:tcW w:w="637" w:type="dxa"/>
          </w:tcPr>
          <w:p w14:paraId="7C092FAE"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11,31</w:t>
            </w:r>
          </w:p>
        </w:tc>
        <w:tc>
          <w:tcPr>
            <w:tcW w:w="807" w:type="dxa"/>
          </w:tcPr>
          <w:p w14:paraId="07771482"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124,40</w:t>
            </w:r>
          </w:p>
        </w:tc>
        <w:tc>
          <w:tcPr>
            <w:tcW w:w="637" w:type="dxa"/>
          </w:tcPr>
          <w:p w14:paraId="21197F71"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3FA497B2"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5DCDAF36"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6CCDDE68"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4DE22E38"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2256B883"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6D1D846E" w14:textId="73F14C15" w:rsidTr="0084613C">
        <w:tc>
          <w:tcPr>
            <w:tcW w:w="539" w:type="dxa"/>
            <w:vAlign w:val="center"/>
          </w:tcPr>
          <w:p w14:paraId="71171C3B"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2008</w:t>
            </w:r>
          </w:p>
        </w:tc>
        <w:tc>
          <w:tcPr>
            <w:tcW w:w="638" w:type="dxa"/>
          </w:tcPr>
          <w:p w14:paraId="1EA2EB5D"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1,21</w:t>
            </w:r>
          </w:p>
        </w:tc>
        <w:tc>
          <w:tcPr>
            <w:tcW w:w="781" w:type="dxa"/>
          </w:tcPr>
          <w:p w14:paraId="6B2BFFDC"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1,26</w:t>
            </w:r>
          </w:p>
        </w:tc>
        <w:tc>
          <w:tcPr>
            <w:tcW w:w="637" w:type="dxa"/>
          </w:tcPr>
          <w:p w14:paraId="12039A27"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0,21</w:t>
            </w:r>
          </w:p>
        </w:tc>
        <w:tc>
          <w:tcPr>
            <w:tcW w:w="780" w:type="dxa"/>
          </w:tcPr>
          <w:p w14:paraId="2F3D8E21"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0,21</w:t>
            </w:r>
          </w:p>
        </w:tc>
        <w:tc>
          <w:tcPr>
            <w:tcW w:w="637" w:type="dxa"/>
          </w:tcPr>
          <w:p w14:paraId="67825829"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6,66</w:t>
            </w:r>
          </w:p>
        </w:tc>
        <w:tc>
          <w:tcPr>
            <w:tcW w:w="807" w:type="dxa"/>
          </w:tcPr>
          <w:p w14:paraId="0E7D0460"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68,06</w:t>
            </w:r>
          </w:p>
        </w:tc>
        <w:tc>
          <w:tcPr>
            <w:tcW w:w="637" w:type="dxa"/>
          </w:tcPr>
          <w:p w14:paraId="6DACC736"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7A604BAE"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1F7EEAB0"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3E812CC6"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0FEA0576"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0B00C14F"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700E8D4D" w14:textId="3704BAF5" w:rsidTr="0084613C">
        <w:tc>
          <w:tcPr>
            <w:tcW w:w="539" w:type="dxa"/>
            <w:vAlign w:val="center"/>
          </w:tcPr>
          <w:p w14:paraId="206E5A96"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2009</w:t>
            </w:r>
          </w:p>
        </w:tc>
        <w:tc>
          <w:tcPr>
            <w:tcW w:w="638" w:type="dxa"/>
          </w:tcPr>
          <w:p w14:paraId="4495F240"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1,19</w:t>
            </w:r>
          </w:p>
        </w:tc>
        <w:tc>
          <w:tcPr>
            <w:tcW w:w="781" w:type="dxa"/>
          </w:tcPr>
          <w:p w14:paraId="477B5F36"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1,24</w:t>
            </w:r>
          </w:p>
        </w:tc>
        <w:tc>
          <w:tcPr>
            <w:tcW w:w="637" w:type="dxa"/>
          </w:tcPr>
          <w:p w14:paraId="63006BEA"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0,22</w:t>
            </w:r>
          </w:p>
        </w:tc>
        <w:tc>
          <w:tcPr>
            <w:tcW w:w="780" w:type="dxa"/>
          </w:tcPr>
          <w:p w14:paraId="2238CCEC"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0,22</w:t>
            </w:r>
          </w:p>
        </w:tc>
        <w:tc>
          <w:tcPr>
            <w:tcW w:w="637" w:type="dxa"/>
          </w:tcPr>
          <w:p w14:paraId="781A3633"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5,02</w:t>
            </w:r>
          </w:p>
        </w:tc>
        <w:tc>
          <w:tcPr>
            <w:tcW w:w="807" w:type="dxa"/>
          </w:tcPr>
          <w:p w14:paraId="209E32C6"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62,10</w:t>
            </w:r>
          </w:p>
        </w:tc>
        <w:tc>
          <w:tcPr>
            <w:tcW w:w="637" w:type="dxa"/>
          </w:tcPr>
          <w:p w14:paraId="33C81298"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65B32E7E"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4909AF5C"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102DBE20"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78FBB32B"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4B8518E1"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405636E7" w14:textId="4C183B57" w:rsidTr="0084613C">
        <w:tc>
          <w:tcPr>
            <w:tcW w:w="539" w:type="dxa"/>
            <w:vAlign w:val="center"/>
          </w:tcPr>
          <w:p w14:paraId="794FA5BA"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2010</w:t>
            </w:r>
          </w:p>
        </w:tc>
        <w:tc>
          <w:tcPr>
            <w:tcW w:w="638" w:type="dxa"/>
          </w:tcPr>
          <w:p w14:paraId="7F95B9FE"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1,41</w:t>
            </w:r>
          </w:p>
        </w:tc>
        <w:tc>
          <w:tcPr>
            <w:tcW w:w="781" w:type="dxa"/>
          </w:tcPr>
          <w:p w14:paraId="2E0D34FE"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1,42</w:t>
            </w:r>
          </w:p>
        </w:tc>
        <w:tc>
          <w:tcPr>
            <w:tcW w:w="637" w:type="dxa"/>
          </w:tcPr>
          <w:p w14:paraId="4BB6C785"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0,19</w:t>
            </w:r>
          </w:p>
        </w:tc>
        <w:tc>
          <w:tcPr>
            <w:tcW w:w="780" w:type="dxa"/>
          </w:tcPr>
          <w:p w14:paraId="3E110B97"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0,19</w:t>
            </w:r>
          </w:p>
        </w:tc>
        <w:tc>
          <w:tcPr>
            <w:tcW w:w="637" w:type="dxa"/>
          </w:tcPr>
          <w:p w14:paraId="2EF66444"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10,97</w:t>
            </w:r>
          </w:p>
        </w:tc>
        <w:tc>
          <w:tcPr>
            <w:tcW w:w="807" w:type="dxa"/>
          </w:tcPr>
          <w:p w14:paraId="3D715853"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93,10</w:t>
            </w:r>
          </w:p>
        </w:tc>
        <w:tc>
          <w:tcPr>
            <w:tcW w:w="637" w:type="dxa"/>
          </w:tcPr>
          <w:p w14:paraId="0B5DDA9A"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248D521C"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78A68FCB"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48081EFE"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32AEFE0E"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58A95D02"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4991BB16" w14:textId="7461FED9" w:rsidTr="0084613C">
        <w:tc>
          <w:tcPr>
            <w:tcW w:w="539" w:type="dxa"/>
            <w:vAlign w:val="center"/>
          </w:tcPr>
          <w:p w14:paraId="46851216"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2011</w:t>
            </w:r>
          </w:p>
        </w:tc>
        <w:tc>
          <w:tcPr>
            <w:tcW w:w="638" w:type="dxa"/>
          </w:tcPr>
          <w:p w14:paraId="7A13AB7B"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1,52</w:t>
            </w:r>
          </w:p>
        </w:tc>
        <w:tc>
          <w:tcPr>
            <w:tcW w:w="781" w:type="dxa"/>
          </w:tcPr>
          <w:p w14:paraId="5FA6978D"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1,52</w:t>
            </w:r>
          </w:p>
        </w:tc>
        <w:tc>
          <w:tcPr>
            <w:tcW w:w="637" w:type="dxa"/>
          </w:tcPr>
          <w:p w14:paraId="1510DE75"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0,24</w:t>
            </w:r>
          </w:p>
        </w:tc>
        <w:tc>
          <w:tcPr>
            <w:tcW w:w="780" w:type="dxa"/>
          </w:tcPr>
          <w:p w14:paraId="4332E700"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0,24</w:t>
            </w:r>
          </w:p>
        </w:tc>
        <w:tc>
          <w:tcPr>
            <w:tcW w:w="637" w:type="dxa"/>
          </w:tcPr>
          <w:p w14:paraId="12D4C332"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10,67</w:t>
            </w:r>
          </w:p>
        </w:tc>
        <w:tc>
          <w:tcPr>
            <w:tcW w:w="807" w:type="dxa"/>
          </w:tcPr>
          <w:p w14:paraId="075100A0"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103,47</w:t>
            </w:r>
          </w:p>
        </w:tc>
        <w:tc>
          <w:tcPr>
            <w:tcW w:w="637" w:type="dxa"/>
          </w:tcPr>
          <w:p w14:paraId="217F6A79"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29811C92"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4C5562ED"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78D4C596"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2408C9B5"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6E7AC4F6"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0764B8CC" w14:textId="76E31490" w:rsidTr="0084613C">
        <w:tc>
          <w:tcPr>
            <w:tcW w:w="539" w:type="dxa"/>
            <w:vAlign w:val="center"/>
          </w:tcPr>
          <w:p w14:paraId="76C32756"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2012</w:t>
            </w:r>
          </w:p>
        </w:tc>
        <w:tc>
          <w:tcPr>
            <w:tcW w:w="638" w:type="dxa"/>
          </w:tcPr>
          <w:p w14:paraId="37C9011C"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1,06</w:t>
            </w:r>
          </w:p>
        </w:tc>
        <w:tc>
          <w:tcPr>
            <w:tcW w:w="781" w:type="dxa"/>
          </w:tcPr>
          <w:p w14:paraId="353C542F"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1,20</w:t>
            </w:r>
          </w:p>
        </w:tc>
        <w:tc>
          <w:tcPr>
            <w:tcW w:w="637" w:type="dxa"/>
          </w:tcPr>
          <w:p w14:paraId="66764DB6"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0,32</w:t>
            </w:r>
          </w:p>
        </w:tc>
        <w:tc>
          <w:tcPr>
            <w:tcW w:w="780" w:type="dxa"/>
          </w:tcPr>
          <w:p w14:paraId="639039A0"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0,31</w:t>
            </w:r>
          </w:p>
        </w:tc>
        <w:tc>
          <w:tcPr>
            <w:tcW w:w="637" w:type="dxa"/>
          </w:tcPr>
          <w:p w14:paraId="2EFF884B"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26,15</w:t>
            </w:r>
          </w:p>
        </w:tc>
        <w:tc>
          <w:tcPr>
            <w:tcW w:w="807" w:type="dxa"/>
          </w:tcPr>
          <w:p w14:paraId="1C1C5E92"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341,35</w:t>
            </w:r>
          </w:p>
        </w:tc>
        <w:tc>
          <w:tcPr>
            <w:tcW w:w="637" w:type="dxa"/>
          </w:tcPr>
          <w:p w14:paraId="7D9FAA77"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6A7BB705"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42250AA4"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27762224"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2149942D"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0098DA9E"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35548BD5" w14:textId="03078E15" w:rsidTr="0084613C">
        <w:tc>
          <w:tcPr>
            <w:tcW w:w="539" w:type="dxa"/>
            <w:vAlign w:val="center"/>
          </w:tcPr>
          <w:p w14:paraId="3E120E9A"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2013</w:t>
            </w:r>
          </w:p>
        </w:tc>
        <w:tc>
          <w:tcPr>
            <w:tcW w:w="638" w:type="dxa"/>
          </w:tcPr>
          <w:p w14:paraId="55C6EF07"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1,46</w:t>
            </w:r>
          </w:p>
        </w:tc>
        <w:tc>
          <w:tcPr>
            <w:tcW w:w="781" w:type="dxa"/>
          </w:tcPr>
          <w:p w14:paraId="4BCCCB84"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1,44</w:t>
            </w:r>
          </w:p>
        </w:tc>
        <w:tc>
          <w:tcPr>
            <w:tcW w:w="637" w:type="dxa"/>
          </w:tcPr>
          <w:p w14:paraId="0AA856FB"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0,35</w:t>
            </w:r>
          </w:p>
        </w:tc>
        <w:tc>
          <w:tcPr>
            <w:tcW w:w="780" w:type="dxa"/>
          </w:tcPr>
          <w:p w14:paraId="771D8E5B"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0,34</w:t>
            </w:r>
          </w:p>
        </w:tc>
        <w:tc>
          <w:tcPr>
            <w:tcW w:w="637" w:type="dxa"/>
          </w:tcPr>
          <w:p w14:paraId="43EB3B95"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29,06</w:t>
            </w:r>
          </w:p>
        </w:tc>
        <w:tc>
          <w:tcPr>
            <w:tcW w:w="807" w:type="dxa"/>
          </w:tcPr>
          <w:p w14:paraId="3259AD27"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292,20</w:t>
            </w:r>
          </w:p>
        </w:tc>
        <w:tc>
          <w:tcPr>
            <w:tcW w:w="637" w:type="dxa"/>
          </w:tcPr>
          <w:p w14:paraId="631D9FDD"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71DE769A"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4396C1D5"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3504F662"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3675EF6B"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53E27553"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6B2FC075" w14:textId="31BBD13F" w:rsidTr="0084613C">
        <w:tc>
          <w:tcPr>
            <w:tcW w:w="539" w:type="dxa"/>
            <w:vAlign w:val="center"/>
          </w:tcPr>
          <w:p w14:paraId="07853BFB"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2014</w:t>
            </w:r>
          </w:p>
        </w:tc>
        <w:tc>
          <w:tcPr>
            <w:tcW w:w="638" w:type="dxa"/>
          </w:tcPr>
          <w:p w14:paraId="1D5AB83E"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1,41</w:t>
            </w:r>
          </w:p>
        </w:tc>
        <w:tc>
          <w:tcPr>
            <w:tcW w:w="781" w:type="dxa"/>
          </w:tcPr>
          <w:p w14:paraId="3C5AF4DF"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1,39</w:t>
            </w:r>
          </w:p>
        </w:tc>
        <w:tc>
          <w:tcPr>
            <w:tcW w:w="637" w:type="dxa"/>
          </w:tcPr>
          <w:p w14:paraId="0870DA65"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0,44</w:t>
            </w:r>
          </w:p>
        </w:tc>
        <w:tc>
          <w:tcPr>
            <w:tcW w:w="780" w:type="dxa"/>
          </w:tcPr>
          <w:p w14:paraId="6C76FDD3"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0,42</w:t>
            </w:r>
          </w:p>
        </w:tc>
        <w:tc>
          <w:tcPr>
            <w:tcW w:w="637" w:type="dxa"/>
          </w:tcPr>
          <w:p w14:paraId="2BF47D24"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45,54</w:t>
            </w:r>
          </w:p>
        </w:tc>
        <w:tc>
          <w:tcPr>
            <w:tcW w:w="807" w:type="dxa"/>
          </w:tcPr>
          <w:p w14:paraId="5D71A0B9"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425,99</w:t>
            </w:r>
          </w:p>
        </w:tc>
        <w:tc>
          <w:tcPr>
            <w:tcW w:w="637" w:type="dxa"/>
          </w:tcPr>
          <w:p w14:paraId="21A6705D"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7D3CB82C"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798BB161"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5D53FE9A"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5F610547"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0D57322F"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29DECC39" w14:textId="652CF5CF" w:rsidTr="0084613C">
        <w:tc>
          <w:tcPr>
            <w:tcW w:w="539" w:type="dxa"/>
            <w:vAlign w:val="center"/>
          </w:tcPr>
          <w:p w14:paraId="21F72DE2"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2015</w:t>
            </w:r>
          </w:p>
        </w:tc>
        <w:tc>
          <w:tcPr>
            <w:tcW w:w="638" w:type="dxa"/>
          </w:tcPr>
          <w:p w14:paraId="22A807CD"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1,57</w:t>
            </w:r>
          </w:p>
        </w:tc>
        <w:tc>
          <w:tcPr>
            <w:tcW w:w="781" w:type="dxa"/>
          </w:tcPr>
          <w:p w14:paraId="23400F01"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1,53</w:t>
            </w:r>
          </w:p>
        </w:tc>
        <w:tc>
          <w:tcPr>
            <w:tcW w:w="637" w:type="dxa"/>
          </w:tcPr>
          <w:p w14:paraId="6B8C506F"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0,46</w:t>
            </w:r>
          </w:p>
        </w:tc>
        <w:tc>
          <w:tcPr>
            <w:tcW w:w="780" w:type="dxa"/>
          </w:tcPr>
          <w:p w14:paraId="00F69F93"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0,44</w:t>
            </w:r>
          </w:p>
        </w:tc>
        <w:tc>
          <w:tcPr>
            <w:tcW w:w="637" w:type="dxa"/>
          </w:tcPr>
          <w:p w14:paraId="10547796"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51,94</w:t>
            </w:r>
          </w:p>
        </w:tc>
        <w:tc>
          <w:tcPr>
            <w:tcW w:w="807" w:type="dxa"/>
          </w:tcPr>
          <w:p w14:paraId="137C7D47"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1337,47</w:t>
            </w:r>
          </w:p>
        </w:tc>
        <w:tc>
          <w:tcPr>
            <w:tcW w:w="637" w:type="dxa"/>
          </w:tcPr>
          <w:p w14:paraId="48D7A607"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4886475C"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281A9275"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1BBB4B35"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2DC33268"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08DF0402"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3A6D3607" w14:textId="6EA9733A" w:rsidTr="0084613C">
        <w:tc>
          <w:tcPr>
            <w:tcW w:w="539" w:type="dxa"/>
            <w:vAlign w:val="center"/>
          </w:tcPr>
          <w:p w14:paraId="634D641C"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2016</w:t>
            </w:r>
          </w:p>
        </w:tc>
        <w:tc>
          <w:tcPr>
            <w:tcW w:w="638" w:type="dxa"/>
          </w:tcPr>
          <w:p w14:paraId="2B066D9D"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1,59</w:t>
            </w:r>
          </w:p>
        </w:tc>
        <w:tc>
          <w:tcPr>
            <w:tcW w:w="781" w:type="dxa"/>
          </w:tcPr>
          <w:p w14:paraId="30A7DD54"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1,57</w:t>
            </w:r>
          </w:p>
        </w:tc>
        <w:tc>
          <w:tcPr>
            <w:tcW w:w="637" w:type="dxa"/>
          </w:tcPr>
          <w:p w14:paraId="32E2A952"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0,59</w:t>
            </w:r>
          </w:p>
        </w:tc>
        <w:tc>
          <w:tcPr>
            <w:tcW w:w="780" w:type="dxa"/>
          </w:tcPr>
          <w:p w14:paraId="3C868568"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0,56</w:t>
            </w:r>
          </w:p>
        </w:tc>
        <w:tc>
          <w:tcPr>
            <w:tcW w:w="637" w:type="dxa"/>
          </w:tcPr>
          <w:p w14:paraId="0FB8BFB9"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40,15</w:t>
            </w:r>
          </w:p>
        </w:tc>
        <w:tc>
          <w:tcPr>
            <w:tcW w:w="807" w:type="dxa"/>
          </w:tcPr>
          <w:p w14:paraId="3D9FE6FC"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421,99</w:t>
            </w:r>
          </w:p>
        </w:tc>
        <w:tc>
          <w:tcPr>
            <w:tcW w:w="637" w:type="dxa"/>
          </w:tcPr>
          <w:p w14:paraId="3DB021DB"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746476CB"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7D765EBF"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03A6CC06"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0095EEAF"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75B6623E" w14:textId="77777777" w:rsidR="0084613C" w:rsidRPr="0084613C" w:rsidRDefault="0084613C" w:rsidP="0084613C">
            <w:pPr>
              <w:spacing w:line="360" w:lineRule="auto"/>
              <w:jc w:val="center"/>
              <w:rPr>
                <w:rFonts w:ascii="Times New Roman" w:hAnsi="Times New Roman" w:cs="Times New Roman"/>
                <w:sz w:val="20"/>
                <w:szCs w:val="20"/>
              </w:rPr>
            </w:pPr>
          </w:p>
        </w:tc>
      </w:tr>
      <w:tr w:rsidR="0084613C" w14:paraId="628D5D2E" w14:textId="70E3CD32" w:rsidTr="0084613C">
        <w:tc>
          <w:tcPr>
            <w:tcW w:w="539" w:type="dxa"/>
            <w:vAlign w:val="center"/>
          </w:tcPr>
          <w:p w14:paraId="0ABE7447" w14:textId="77777777" w:rsidR="0084613C" w:rsidRPr="000646F8" w:rsidRDefault="0084613C" w:rsidP="0084613C">
            <w:pPr>
              <w:spacing w:line="360" w:lineRule="auto"/>
              <w:jc w:val="center"/>
              <w:rPr>
                <w:rFonts w:ascii="Times New Roman" w:hAnsi="Times New Roman" w:cs="Times New Roman"/>
                <w:b/>
                <w:bCs/>
                <w:sz w:val="20"/>
                <w:szCs w:val="20"/>
              </w:rPr>
            </w:pPr>
            <w:r w:rsidRPr="000646F8">
              <w:rPr>
                <w:rFonts w:ascii="Times New Roman" w:hAnsi="Times New Roman" w:cs="Times New Roman"/>
                <w:b/>
                <w:bCs/>
                <w:sz w:val="20"/>
                <w:szCs w:val="20"/>
              </w:rPr>
              <w:t>2017</w:t>
            </w:r>
          </w:p>
        </w:tc>
        <w:tc>
          <w:tcPr>
            <w:tcW w:w="638" w:type="dxa"/>
          </w:tcPr>
          <w:p w14:paraId="477F7114"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1,83</w:t>
            </w:r>
          </w:p>
        </w:tc>
        <w:tc>
          <w:tcPr>
            <w:tcW w:w="781" w:type="dxa"/>
          </w:tcPr>
          <w:p w14:paraId="7F21E953"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1,72</w:t>
            </w:r>
          </w:p>
        </w:tc>
        <w:tc>
          <w:tcPr>
            <w:tcW w:w="637" w:type="dxa"/>
          </w:tcPr>
          <w:p w14:paraId="530105EB"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0,53</w:t>
            </w:r>
          </w:p>
        </w:tc>
        <w:tc>
          <w:tcPr>
            <w:tcW w:w="780" w:type="dxa"/>
          </w:tcPr>
          <w:p w14:paraId="694CF072"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0,49</w:t>
            </w:r>
          </w:p>
        </w:tc>
        <w:tc>
          <w:tcPr>
            <w:tcW w:w="637" w:type="dxa"/>
          </w:tcPr>
          <w:p w14:paraId="47B12AB8"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28,47</w:t>
            </w:r>
          </w:p>
        </w:tc>
        <w:tc>
          <w:tcPr>
            <w:tcW w:w="807" w:type="dxa"/>
          </w:tcPr>
          <w:p w14:paraId="72C09E7F" w14:textId="77777777" w:rsidR="0084613C" w:rsidRPr="0084613C" w:rsidRDefault="0084613C" w:rsidP="0084613C">
            <w:pPr>
              <w:spacing w:line="360" w:lineRule="auto"/>
              <w:jc w:val="center"/>
              <w:rPr>
                <w:rFonts w:ascii="Times New Roman" w:hAnsi="Times New Roman" w:cs="Times New Roman"/>
                <w:sz w:val="20"/>
                <w:szCs w:val="20"/>
              </w:rPr>
            </w:pPr>
            <w:r w:rsidRPr="0084613C">
              <w:rPr>
                <w:rFonts w:ascii="Times New Roman" w:hAnsi="Times New Roman" w:cs="Times New Roman"/>
                <w:sz w:val="20"/>
                <w:szCs w:val="20"/>
              </w:rPr>
              <w:t>256,55</w:t>
            </w:r>
          </w:p>
        </w:tc>
        <w:tc>
          <w:tcPr>
            <w:tcW w:w="637" w:type="dxa"/>
          </w:tcPr>
          <w:p w14:paraId="572C94B4"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03A12369"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2B40E57D"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2978CA0D" w14:textId="77777777" w:rsidR="0084613C" w:rsidRPr="0084613C" w:rsidRDefault="0084613C" w:rsidP="0084613C">
            <w:pPr>
              <w:spacing w:line="360" w:lineRule="auto"/>
              <w:jc w:val="center"/>
              <w:rPr>
                <w:rFonts w:ascii="Times New Roman" w:hAnsi="Times New Roman" w:cs="Times New Roman"/>
                <w:sz w:val="20"/>
                <w:szCs w:val="20"/>
              </w:rPr>
            </w:pPr>
          </w:p>
        </w:tc>
        <w:tc>
          <w:tcPr>
            <w:tcW w:w="637" w:type="dxa"/>
          </w:tcPr>
          <w:p w14:paraId="7A07E1C9" w14:textId="77777777" w:rsidR="0084613C" w:rsidRPr="0084613C" w:rsidRDefault="0084613C" w:rsidP="0084613C">
            <w:pPr>
              <w:spacing w:line="360" w:lineRule="auto"/>
              <w:jc w:val="center"/>
              <w:rPr>
                <w:rFonts w:ascii="Times New Roman" w:hAnsi="Times New Roman" w:cs="Times New Roman"/>
                <w:sz w:val="20"/>
                <w:szCs w:val="20"/>
              </w:rPr>
            </w:pPr>
          </w:p>
        </w:tc>
        <w:tc>
          <w:tcPr>
            <w:tcW w:w="780" w:type="dxa"/>
          </w:tcPr>
          <w:p w14:paraId="6E43EDEC" w14:textId="77777777" w:rsidR="0084613C" w:rsidRPr="0084613C" w:rsidRDefault="0084613C" w:rsidP="0084613C">
            <w:pPr>
              <w:spacing w:line="360" w:lineRule="auto"/>
              <w:jc w:val="center"/>
              <w:rPr>
                <w:rFonts w:ascii="Times New Roman" w:hAnsi="Times New Roman" w:cs="Times New Roman"/>
                <w:sz w:val="20"/>
                <w:szCs w:val="20"/>
              </w:rPr>
            </w:pPr>
          </w:p>
        </w:tc>
      </w:tr>
    </w:tbl>
    <w:p w14:paraId="378F5018" w14:textId="77777777" w:rsidR="0084613C" w:rsidRDefault="0084613C" w:rsidP="004D5E7F">
      <w:pPr>
        <w:spacing w:after="0" w:line="240" w:lineRule="auto"/>
        <w:jc w:val="both"/>
        <w:rPr>
          <w:rFonts w:ascii="Times New Roman" w:hAnsi="Times New Roman" w:cs="Times New Roman"/>
          <w:sz w:val="24"/>
          <w:szCs w:val="24"/>
        </w:rPr>
      </w:pPr>
    </w:p>
    <w:sectPr w:rsidR="0084613C" w:rsidSect="00951A85">
      <w:headerReference w:type="default" r:id="rId8"/>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C4E269" w14:textId="77777777" w:rsidR="003D7326" w:rsidRDefault="003D7326" w:rsidP="006F75EC">
      <w:pPr>
        <w:spacing w:after="0" w:line="240" w:lineRule="auto"/>
      </w:pPr>
      <w:r>
        <w:separator/>
      </w:r>
    </w:p>
  </w:endnote>
  <w:endnote w:type="continuationSeparator" w:id="0">
    <w:p w14:paraId="183C3291" w14:textId="77777777" w:rsidR="003D7326" w:rsidRDefault="003D7326" w:rsidP="006F75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12009FC" w14:textId="77777777" w:rsidR="003D7326" w:rsidRDefault="003D7326" w:rsidP="006F75EC">
      <w:pPr>
        <w:spacing w:after="0" w:line="240" w:lineRule="auto"/>
      </w:pPr>
      <w:r>
        <w:separator/>
      </w:r>
    </w:p>
  </w:footnote>
  <w:footnote w:type="continuationSeparator" w:id="0">
    <w:p w14:paraId="11872B65" w14:textId="77777777" w:rsidR="003D7326" w:rsidRDefault="003D7326" w:rsidP="006F75EC">
      <w:pPr>
        <w:spacing w:after="0" w:line="240" w:lineRule="auto"/>
      </w:pPr>
      <w:r>
        <w:continuationSeparator/>
      </w:r>
    </w:p>
  </w:footnote>
  <w:footnote w:id="1">
    <w:p w14:paraId="68D4A95D" w14:textId="77777777" w:rsidR="00B17291" w:rsidRDefault="00B17291" w:rsidP="004D5E7F">
      <w:pPr>
        <w:pStyle w:val="Textodenotaderodap"/>
        <w:jc w:val="both"/>
      </w:pPr>
      <w:r>
        <w:rPr>
          <w:rStyle w:val="Refdenotaderodap"/>
        </w:rPr>
        <w:footnoteRef/>
      </w:r>
      <w:r>
        <w:t xml:space="preserve"> </w:t>
      </w:r>
      <w:r w:rsidRPr="008733C3">
        <w:rPr>
          <w:rFonts w:ascii="Times New Roman" w:hAnsi="Times New Roman" w:cs="Times New Roman"/>
        </w:rPr>
        <w:t xml:space="preserve">Ver Tavares </w:t>
      </w:r>
      <w:r w:rsidRPr="00375DD9">
        <w:rPr>
          <w:rFonts w:ascii="Times New Roman" w:hAnsi="Times New Roman" w:cs="Times New Roman"/>
          <w:i/>
          <w:iCs/>
        </w:rPr>
        <w:t>et.al.</w:t>
      </w:r>
      <w:r w:rsidRPr="008733C3">
        <w:rPr>
          <w:rFonts w:ascii="Times New Roman" w:hAnsi="Times New Roman" w:cs="Times New Roman"/>
        </w:rPr>
        <w:t xml:space="preserve"> (2019).</w:t>
      </w:r>
    </w:p>
  </w:footnote>
  <w:footnote w:id="2">
    <w:p w14:paraId="1C276D5F" w14:textId="77777777" w:rsidR="00B17291" w:rsidRPr="00001D96" w:rsidRDefault="00B17291" w:rsidP="00C67300">
      <w:pPr>
        <w:pStyle w:val="Textodenotaderodap"/>
        <w:jc w:val="both"/>
        <w:rPr>
          <w:rFonts w:ascii="Times New Roman" w:hAnsi="Times New Roman" w:cs="Times New Roman"/>
        </w:rPr>
      </w:pPr>
      <w:r w:rsidRPr="00001D96">
        <w:rPr>
          <w:rStyle w:val="Refdenotaderodap"/>
          <w:rFonts w:ascii="Times New Roman" w:hAnsi="Times New Roman" w:cs="Times New Roman"/>
        </w:rPr>
        <w:footnoteRef/>
      </w:r>
      <w:r w:rsidRPr="00001D96">
        <w:rPr>
          <w:rFonts w:ascii="Times New Roman" w:hAnsi="Times New Roman" w:cs="Times New Roman"/>
        </w:rPr>
        <w:t xml:space="preserve"> Para os anos de 2007 e 2010, utilizou-se a contagem oficial obtida através da contagem do censo demográfico.</w:t>
      </w:r>
    </w:p>
  </w:footnote>
  <w:footnote w:id="3">
    <w:p w14:paraId="12524857" w14:textId="77777777" w:rsidR="007B5CB5" w:rsidRDefault="007B5CB5" w:rsidP="007B5CB5">
      <w:pPr>
        <w:pStyle w:val="Textodenotaderodap"/>
        <w:jc w:val="both"/>
      </w:pPr>
      <w:r>
        <w:rPr>
          <w:rStyle w:val="Refdenotaderodap"/>
        </w:rPr>
        <w:footnoteRef/>
      </w:r>
      <w:r>
        <w:t xml:space="preserve"> </w:t>
      </w:r>
      <w:r w:rsidRPr="00797DA5">
        <w:rPr>
          <w:rFonts w:ascii="Times New Roman" w:hAnsi="Times New Roman" w:cs="Times New Roman"/>
          <w:color w:val="222222"/>
          <w:shd w:val="clear" w:color="auto" w:fill="FFFFFF"/>
        </w:rPr>
        <w:t xml:space="preserve">GUJARATI, </w:t>
      </w:r>
      <w:proofErr w:type="spellStart"/>
      <w:r w:rsidRPr="00797DA5">
        <w:rPr>
          <w:rFonts w:ascii="Times New Roman" w:hAnsi="Times New Roman" w:cs="Times New Roman"/>
          <w:color w:val="222222"/>
          <w:shd w:val="clear" w:color="auto" w:fill="FFFFFF"/>
        </w:rPr>
        <w:t>Damodar</w:t>
      </w:r>
      <w:proofErr w:type="spellEnd"/>
      <w:r w:rsidRPr="00797DA5">
        <w:rPr>
          <w:rFonts w:ascii="Times New Roman" w:hAnsi="Times New Roman" w:cs="Times New Roman"/>
          <w:color w:val="222222"/>
          <w:shd w:val="clear" w:color="auto" w:fill="FFFFFF"/>
        </w:rPr>
        <w:t xml:space="preserve"> N.; PORTER, Dawn C. </w:t>
      </w:r>
      <w:r w:rsidRPr="00797DA5">
        <w:rPr>
          <w:rFonts w:ascii="Times New Roman" w:hAnsi="Times New Roman" w:cs="Times New Roman"/>
          <w:b/>
          <w:bCs/>
          <w:color w:val="222222"/>
          <w:shd w:val="clear" w:color="auto" w:fill="FFFFFF"/>
        </w:rPr>
        <w:t>Econometria Básica-5</w:t>
      </w:r>
      <w:r w:rsidRPr="00797DA5">
        <w:rPr>
          <w:rFonts w:ascii="Times New Roman" w:hAnsi="Times New Roman" w:cs="Times New Roman"/>
          <w:color w:val="222222"/>
          <w:shd w:val="clear" w:color="auto" w:fill="FFFFFF"/>
        </w:rPr>
        <w:t xml:space="preserve">. </w:t>
      </w:r>
      <w:proofErr w:type="spellStart"/>
      <w:r w:rsidRPr="00797DA5">
        <w:rPr>
          <w:rFonts w:ascii="Times New Roman" w:hAnsi="Times New Roman" w:cs="Times New Roman"/>
          <w:color w:val="222222"/>
          <w:shd w:val="clear" w:color="auto" w:fill="FFFFFF"/>
        </w:rPr>
        <w:t>Amgh</w:t>
      </w:r>
      <w:proofErr w:type="spellEnd"/>
      <w:r w:rsidRPr="00797DA5">
        <w:rPr>
          <w:rFonts w:ascii="Times New Roman" w:hAnsi="Times New Roman" w:cs="Times New Roman"/>
          <w:color w:val="222222"/>
          <w:shd w:val="clear" w:color="auto" w:fill="FFFFFF"/>
        </w:rPr>
        <w:t xml:space="preserve"> Editora, 2011. </w:t>
      </w:r>
      <w:r w:rsidRPr="00797DA5">
        <w:rPr>
          <w:rFonts w:ascii="Times New Roman" w:hAnsi="Times New Roman" w:cs="Times New Roman"/>
        </w:rPr>
        <w:t>p.538.</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61433429"/>
      <w:docPartObj>
        <w:docPartGallery w:val="Page Numbers (Top of Page)"/>
        <w:docPartUnique/>
      </w:docPartObj>
    </w:sdtPr>
    <w:sdtContent>
      <w:p w14:paraId="61980DEF" w14:textId="4C97C512" w:rsidR="00B17291" w:rsidRDefault="00B17291">
        <w:pPr>
          <w:pStyle w:val="Cabealho"/>
          <w:jc w:val="right"/>
        </w:pPr>
        <w:r>
          <w:fldChar w:fldCharType="begin"/>
        </w:r>
        <w:r>
          <w:instrText>PAGE   \* MERGEFORMAT</w:instrText>
        </w:r>
        <w:r>
          <w:fldChar w:fldCharType="separate"/>
        </w:r>
        <w:r>
          <w:t>2</w:t>
        </w:r>
        <w:r>
          <w:fldChar w:fldCharType="end"/>
        </w:r>
      </w:p>
    </w:sdtContent>
  </w:sdt>
  <w:p w14:paraId="3B6B8898" w14:textId="77777777" w:rsidR="00B17291" w:rsidRDefault="00B17291">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77212A8"/>
    <w:multiLevelType w:val="multilevel"/>
    <w:tmpl w:val="041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A85"/>
    <w:rsid w:val="00001D96"/>
    <w:rsid w:val="0001775A"/>
    <w:rsid w:val="000646F8"/>
    <w:rsid w:val="000B0FD3"/>
    <w:rsid w:val="000E6518"/>
    <w:rsid w:val="001F581B"/>
    <w:rsid w:val="00222619"/>
    <w:rsid w:val="002619A9"/>
    <w:rsid w:val="002C5E85"/>
    <w:rsid w:val="002D7E54"/>
    <w:rsid w:val="0039258E"/>
    <w:rsid w:val="003D7326"/>
    <w:rsid w:val="00414C84"/>
    <w:rsid w:val="004A2094"/>
    <w:rsid w:val="004D5E7F"/>
    <w:rsid w:val="004F0506"/>
    <w:rsid w:val="005E2272"/>
    <w:rsid w:val="006118A8"/>
    <w:rsid w:val="00655B8A"/>
    <w:rsid w:val="006965CE"/>
    <w:rsid w:val="006D11E6"/>
    <w:rsid w:val="006F75EC"/>
    <w:rsid w:val="0075380D"/>
    <w:rsid w:val="007B5CB5"/>
    <w:rsid w:val="007D31CC"/>
    <w:rsid w:val="0084613C"/>
    <w:rsid w:val="0085301E"/>
    <w:rsid w:val="00867813"/>
    <w:rsid w:val="0088568E"/>
    <w:rsid w:val="008F660A"/>
    <w:rsid w:val="009419DC"/>
    <w:rsid w:val="00951A85"/>
    <w:rsid w:val="009A57A8"/>
    <w:rsid w:val="009B35C1"/>
    <w:rsid w:val="009F28E0"/>
    <w:rsid w:val="00A90738"/>
    <w:rsid w:val="00AA5CD9"/>
    <w:rsid w:val="00B17291"/>
    <w:rsid w:val="00BB010A"/>
    <w:rsid w:val="00BB1D35"/>
    <w:rsid w:val="00BB4A33"/>
    <w:rsid w:val="00C107E7"/>
    <w:rsid w:val="00C42DD1"/>
    <w:rsid w:val="00C67300"/>
    <w:rsid w:val="00D71A67"/>
    <w:rsid w:val="00DC40EA"/>
    <w:rsid w:val="00DE1959"/>
    <w:rsid w:val="00E14D79"/>
    <w:rsid w:val="00E677AA"/>
    <w:rsid w:val="00E85DC7"/>
    <w:rsid w:val="00EA5794"/>
    <w:rsid w:val="00EA7A43"/>
    <w:rsid w:val="00EB12CD"/>
    <w:rsid w:val="00EC2CD7"/>
    <w:rsid w:val="00F160CA"/>
    <w:rsid w:val="00F45EE3"/>
    <w:rsid w:val="00F710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E4A1E3"/>
  <w15:chartTrackingRefBased/>
  <w15:docId w15:val="{CB5C0873-6767-4562-AFA8-80D6AC363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951A85"/>
    <w:pPr>
      <w:ind w:left="720"/>
      <w:contextualSpacing/>
    </w:pPr>
  </w:style>
  <w:style w:type="paragraph" w:styleId="Cabealho">
    <w:name w:val="header"/>
    <w:basedOn w:val="Normal"/>
    <w:link w:val="CabealhoChar"/>
    <w:uiPriority w:val="99"/>
    <w:unhideWhenUsed/>
    <w:rsid w:val="006F75EC"/>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6F75EC"/>
  </w:style>
  <w:style w:type="paragraph" w:styleId="Rodap">
    <w:name w:val="footer"/>
    <w:basedOn w:val="Normal"/>
    <w:link w:val="RodapChar"/>
    <w:uiPriority w:val="99"/>
    <w:unhideWhenUsed/>
    <w:rsid w:val="006F75EC"/>
    <w:pPr>
      <w:tabs>
        <w:tab w:val="center" w:pos="4252"/>
        <w:tab w:val="right" w:pos="8504"/>
      </w:tabs>
      <w:spacing w:after="0" w:line="240" w:lineRule="auto"/>
    </w:pPr>
  </w:style>
  <w:style w:type="character" w:customStyle="1" w:styleId="RodapChar">
    <w:name w:val="Rodapé Char"/>
    <w:basedOn w:val="Fontepargpadro"/>
    <w:link w:val="Rodap"/>
    <w:uiPriority w:val="99"/>
    <w:rsid w:val="006F75EC"/>
  </w:style>
  <w:style w:type="paragraph" w:styleId="Textodenotaderodap">
    <w:name w:val="footnote text"/>
    <w:basedOn w:val="Normal"/>
    <w:link w:val="TextodenotaderodapChar"/>
    <w:uiPriority w:val="99"/>
    <w:semiHidden/>
    <w:unhideWhenUsed/>
    <w:rsid w:val="00AA5CD9"/>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AA5CD9"/>
    <w:rPr>
      <w:sz w:val="20"/>
      <w:szCs w:val="20"/>
    </w:rPr>
  </w:style>
  <w:style w:type="character" w:styleId="Refdenotaderodap">
    <w:name w:val="footnote reference"/>
    <w:basedOn w:val="Fontepargpadro"/>
    <w:uiPriority w:val="99"/>
    <w:semiHidden/>
    <w:unhideWhenUsed/>
    <w:rsid w:val="00AA5CD9"/>
    <w:rPr>
      <w:vertAlign w:val="superscript"/>
    </w:rPr>
  </w:style>
  <w:style w:type="table" w:styleId="Tabelacomgrade">
    <w:name w:val="Table Grid"/>
    <w:basedOn w:val="Tabelanormal"/>
    <w:uiPriority w:val="39"/>
    <w:rsid w:val="006D11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17291"/>
    <w:rPr>
      <w:color w:val="0563C1" w:themeColor="hyperlink"/>
      <w:u w:val="single"/>
    </w:rPr>
  </w:style>
  <w:style w:type="character" w:styleId="MenoPendente">
    <w:name w:val="Unresolved Mention"/>
    <w:basedOn w:val="Fontepargpadro"/>
    <w:uiPriority w:val="99"/>
    <w:semiHidden/>
    <w:unhideWhenUsed/>
    <w:rsid w:val="00B1729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A60B02-A296-41B9-ADD9-766708C1AC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2183</TotalTime>
  <Pages>12</Pages>
  <Words>3966</Words>
  <Characters>21417</Characters>
  <Application>Microsoft Office Word</Application>
  <DocSecurity>0</DocSecurity>
  <Lines>178</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Igor Ferreira de Oliveira</dc:creator>
  <cp:keywords/>
  <dc:description/>
  <cp:lastModifiedBy>Igor Ferreira de Oliveira</cp:lastModifiedBy>
  <cp:revision>23</cp:revision>
  <dcterms:created xsi:type="dcterms:W3CDTF">2020-11-27T13:31:00Z</dcterms:created>
  <dcterms:modified xsi:type="dcterms:W3CDTF">2021-02-03T14:28:00Z</dcterms:modified>
</cp:coreProperties>
</file>