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line="360" w:lineRule="auto" w:before="0" w:after="120"/>
        <w:jc w:val="center"/>
      </w:pPr>
      <w:r>
        <w:rPr>
          <w:rFonts w:ascii="Arial" w:hAnsi="Arial" w:eastAsia="Arial"/>
          <w:b/>
          <w:i w:val="0"/>
          <w:sz w:val="28"/>
        </w:rPr>
        <w:t>Insights e análises de Oportunidades</w:t>
      </w:r>
    </w:p>
    <w:p>
      <w:pPr>
        <w:spacing w:line="360" w:lineRule="auto" w:before="0" w:after="0"/>
        <w:jc w:val="center"/>
      </w:pPr>
      <w:r>
        <w:rPr>
          <w:rFonts w:ascii="Arial" w:hAnsi="Arial" w:eastAsia="Arial"/>
          <w:b/>
          <w:i w:val="0"/>
          <w:sz w:val="22"/>
        </w:rPr>
        <w:t>Diogo; Igor; Lorran</w:t>
      </w:r>
    </w:p>
    <w:p>
      <w:pPr>
        <w:spacing w:line="240" w:lineRule="auto" w:before="0" w:after="120"/>
        <w:jc w:val="center"/>
      </w:pPr>
      <w:r>
        <w:rPr>
          <w:rFonts w:ascii="Arial" w:hAnsi="Arial" w:eastAsia="Arial"/>
          <w:b w:val="0"/>
          <w:i w:val="0"/>
          <w:sz w:val="18"/>
        </w:rPr>
        <w:t>Tech Challenge Agentic AI – Fase 1 · FIAP · card OLIST-3</w:t>
      </w:r>
    </w:p>
    <w:p>
      <w:pPr>
        <w:keepNext/>
        <w:spacing w:line="360" w:lineRule="auto" w:before="240" w:after="120"/>
        <w:jc w:val="left"/>
      </w:pPr>
      <w:r>
        <w:rPr>
          <w:rFonts w:ascii="Arial" w:hAnsi="Arial" w:eastAsia="Arial"/>
          <w:b/>
          <w:i w:val="0"/>
          <w:sz w:val="22"/>
        </w:rPr>
        <w:t>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Este documento reúne os insights do dataset público da Olist e as oportunidades que eles apontam para o uso de IA e de agentes. Ele é a etapa que transforma os indicadores-base em achados de negócio. Foram feitas 12 análises sobre os dados de pedidos, entregas, avaliações, vendedores, produtos, pagamentos e geolocalização: 6 análises núcleo, ligadas aos desafios do enunciado, e 6 diferenciais, que mostram onde e quando o problema nasce.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O documento abre com os seis achados-chave, em ordem de relevância. Depois vem cada análise no formato Fato, Leitura, Cautela e E daí?. Esses achados são a base da matriz de oportunidades, dos KPIs e do mapa de agentes. Todos os números saem dos dados e podem ser conferidos na planilha de achados.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/>
          <w:i w:val="0"/>
          <w:sz w:val="22"/>
        </w:rPr>
        <w:t>O que o enunciado pede:</w:t>
      </w:r>
      <w:r>
        <w:rPr>
          <w:rFonts w:ascii="Arial" w:hAnsi="Arial" w:eastAsia="Arial"/>
          <w:b w:val="0"/>
          <w:i w:val="0"/>
          <w:sz w:val="22"/>
        </w:rPr>
        <w:t xml:space="preserve"> os "principais problemas ou oportunidades identificadas" e as "análises realizadas no dataset" (Enunciado, p. 7). Isso é avaliado no critério 4, profundidade das análises e qualidade dos insights (p. 5).</w:t>
      </w:r>
    </w:p>
    <w:p>
      <w:pPr>
        <w:keepNext/>
        <w:spacing w:line="360" w:lineRule="auto" w:before="240" w:after="120"/>
        <w:jc w:val="left"/>
      </w:pPr>
      <w:r>
        <w:rPr>
          <w:rFonts w:ascii="Arial" w:hAnsi="Arial" w:eastAsia="Arial"/>
          <w:b/>
          <w:i w:val="0"/>
          <w:sz w:val="22"/>
        </w:rPr>
        <w:t>Achados-chave (para Diogo e Lorran)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Os 6 achados que mais pesam na escolha dos agentes, em ordem de relevância. A coluna "oportunidade" diz que tipo de solução o achado pede; a escolha do agente fica para o OLIST-8.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1. Achados-chave.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34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#</w:t>
            </w:r>
          </w:p>
        </w:tc>
        <w:tc>
          <w:tcPr>
            <w:tcW w:type="dxa" w:w="13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Achado</w:t>
            </w:r>
          </w:p>
        </w:tc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Evidência</w:t>
            </w:r>
          </w:p>
        </w:tc>
        <w:tc>
          <w:tcPr>
            <w:tcW w:type="dxa" w:w="147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Desafios do enunciado</w:t>
            </w:r>
          </w:p>
        </w:tc>
        <w:tc>
          <w:tcPr>
            <w:tcW w:type="dxa" w:w="192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Quem usa</w:t>
            </w:r>
          </w:p>
        </w:tc>
        <w:tc>
          <w:tcPr>
            <w:tcW w:type="dxa" w:w="192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Oportunidade</w:t>
            </w:r>
          </w:p>
        </w:tc>
      </w:tr>
      <w:tr>
        <w:tc>
          <w:tcPr>
            <w:tcW w:type="dxa" w:w="34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13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Atraso é o maior detrator da satisfação</w:t>
            </w:r>
          </w:p>
        </w:tc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Atrasados recebem nota 1–2 em 62% dos casos, contra 9% no prazo, e concentram 27% das notas negativas sendo 6,8% dos pedidos.</w:t>
            </w:r>
          </w:p>
        </w:tc>
        <w:tc>
          <w:tcPr>
            <w:tcW w:type="dxa" w:w="147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Experiência do cliente, Gestão de avaliações (reviews), Eficiência logística</w:t>
            </w:r>
          </w:p>
        </w:tc>
        <w:tc>
          <w:tcPr>
            <w:tcW w:type="dxa" w:w="192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Diogo: gráfico principal e KPI de nota (OLIST-4, OLIST-6) · Lorran: oportunidade nº 1 (OLIST-5)</w:t>
            </w:r>
          </w:p>
        </w:tc>
        <w:tc>
          <w:tcPr>
            <w:tcW w:type="dxa" w:w="192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Agir antes do atraso: monitorar pedidos em risco e avisar o cliente de forma proativa.</w:t>
            </w:r>
          </w:p>
        </w:tc>
      </w:tr>
      <w:tr>
        <w:tc>
          <w:tcPr>
            <w:tcW w:type="dxa" w:w="3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 atraso dá sinal antes de acontecer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No atraso, o transporte leva 27,9 dias contra 8,0; postagem fora do limite do vendedor (9% dos pedidos) eleva o atraso de 5% para 21%.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Eficiência logística, Eficiência operacional, Automação de processos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Lorran: gatilho do agente de entregas (OLIST-8) · Diogo: KPI de postagem no prazo (OLIST-6)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Automatizar o acompanhamento: alertas para vendedor atrasado na postagem e para pedido parado no transporte.</w:t>
            </w:r>
          </w:p>
        </w:tc>
      </w:tr>
      <w:tr>
        <w:tc>
          <w:tcPr>
            <w:tcW w:type="dxa" w:w="3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Reclamações em texto em escala, com tema previsível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45% dos comentários negativos falam de entrega e 32% de produto errado ou com defeito, em 10.838 textos.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Gestão de avaliações (reviews), Automação de processos, Experiência do cliente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Lorran: agente de avaliações e exemplo de prompt com comentário real (OLIST-8, OLIST-9)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IA generativa para ler, classificar, priorizar e responder avaliações e reclamações.</w:t>
            </w:r>
          </w:p>
        </w:tc>
      </w:tr>
      <w:tr>
        <w:tc>
          <w:tcPr>
            <w:tcW w:type="dxa" w:w="3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Geografia e distância definem quem sofre o atraso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Nordeste atrasa 12,7% e Norte 8,6%, contra 6,1% no Sudeste; venda entre estados atrasa 8,0% contra 4,5% no mesmo estado.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Eficiência logística, Apoio à tomada de decisão, Escalabilidade da operação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Diogo: mapa ou gráfico regional (OLIST-4) · Lorran: variáveis do agente de risco de atraso (OLIST-8)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Prever o risco de atraso por rota, peso e vendedor e calibrar o prazo prometido.</w:t>
            </w:r>
          </w:p>
        </w:tc>
      </w:tr>
      <w:tr>
        <w:tc>
          <w:tcPr>
            <w:tcW w:type="dxa" w:w="3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5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 entrega tem picos de atraso em poucos meses do ano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Atraso de 12% na Black Friday de 2017 e de 19% em março de 2018, contra cerca de 4% nos meses normais.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Escalabilidade da operação, Apoio à tomada de decisão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Diogo: gráfico de sazonalidade e roadmap (OLIST-4, OLIST-6) · Lorran: agente de apoio à decisão (OLIST-5, OLIST-8)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Apoio à decisão para planejar capacidade e prazo antes das datas de pico e reagir rápido quando a pontualidade cair.</w:t>
            </w:r>
          </w:p>
        </w:tc>
      </w:tr>
      <w:tr>
        <w:tc>
          <w:tcPr>
            <w:tcW w:type="dxa" w:w="34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6</w:t>
            </w:r>
          </w:p>
        </w:tc>
        <w:tc>
          <w:tcPr>
            <w:tcW w:type="dxa" w:w="136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Recompra baixa e indiferente à satisfação</w:t>
            </w:r>
          </w:p>
        </w:tc>
        <w:tc>
          <w:tcPr>
            <w:tcW w:type="dxa" w:w="204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Só 3,1% dos clientes voltam, com nota boa (3,1%) ou ruim (3,1%) na primeira compra.</w:t>
            </w:r>
          </w:p>
        </w:tc>
        <w:tc>
          <w:tcPr>
            <w:tcW w:type="dxa" w:w="147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Retenção e fidelização, Experiência do cliente</w:t>
            </w:r>
          </w:p>
        </w:tc>
        <w:tc>
          <w:tcPr>
            <w:tcW w:type="dxa" w:w="19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Lorran: oportunidade de retenção (OLIST-5) · Diogo: KPI de recompra e cautela sobre churn (OLIST-6)</w:t>
            </w:r>
          </w:p>
        </w:tc>
        <w:tc>
          <w:tcPr>
            <w:tcW w:type="dxa" w:w="19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Retenção ativa no pós-venda: comunicação e ofertas personalizadas, não só evitar a nota ruim.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360" w:lineRule="auto" w:before="240" w:after="120"/>
        <w:jc w:val="left"/>
      </w:pPr>
      <w:r>
        <w:rPr>
          <w:rFonts w:ascii="Arial" w:hAnsi="Arial" w:eastAsia="Arial"/>
          <w:b/>
          <w:i w:val="0"/>
          <w:sz w:val="22"/>
        </w:rPr>
        <w:t>Como ler cada achado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2. As quatro partes de cada achado.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37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Pergunta que responde</w:t>
            </w:r>
          </w:p>
        </w:tc>
      </w:tr>
      <w:tr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37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 que os números mostram, sem opinião?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 que isso sugere sobre o negócio?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Até onde o dado permite concluir? (associação não é causa)</w:t>
            </w:r>
          </w:p>
        </w:tc>
      </w:tr>
      <w:tr>
        <w:tc>
          <w:tcPr>
            <w:tcW w:type="dxa" w:w="170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37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 que muda para a Olist e para os agentes?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Todo número citado vem de uma métrica (M01–M12) com fórmula do Excel na planilha de achados. As fórmulas foram recalculadas fora do Python e bateram. Uma checagem automática garante que nenhum texto afirma causa.</w:t>
      </w:r>
    </w:p>
    <w:p>
      <w:pPr>
        <w:keepNext/>
        <w:spacing w:line="360" w:lineRule="auto" w:before="240" w:after="120"/>
        <w:jc w:val="left"/>
      </w:pPr>
      <w:r>
        <w:rPr>
          <w:rFonts w:ascii="Arial" w:hAnsi="Arial" w:eastAsia="Arial"/>
          <w:b/>
          <w:i w:val="0"/>
          <w:sz w:val="22"/>
        </w:rPr>
        <w:t>Análises núcleo (N1–N6)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N1 · O atraso aparece junto com a insatisfação, e a parte de notas ruins cresce com os dias de atraso até cerca de uma semana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A nota do cliente muda quando o pedido chega atrasado?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pedidos, logística, avaliações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Experiência do cliente, Eficiência logística, Gestão de avaliações (reviews)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M01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3. N1: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Entre os pedidos entregues com atraso, 62,4% receberam nota 1 ou 2; entre os entregues no prazo, 9,3%. A parte de notas negativas sobe de 32% (1 a 3 dias de atraso) para 68% (4 a 7 dias) e fica perto de 79% a partir de 8 dias.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pontualidade está fortemente associada à satisfação: o cliente que recebe no prazo raramente avalia mal, e o que espera além do prometido avalia mal na maioria das vezes.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É associação: pedidos atrasados podem ter outras características (região, produto, vendedor) que também pesam na nota. A avaliação depende de o cliente responder a pesquisa.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Proteger o prazo, ou avisar o cliente antes de o atraso acontecer, é uma das alavancas mais claras para a nota. É aqui que um agente de acompanhamento de entregas ganha sentido.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1. % de notas 1 ou 2 por faixa de atraso.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220000" cy="2892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n1_atraso_no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2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N2 · Problemas de entrega respondem por uma fatia grande das notas ruins, muito maior que o seu peso nos pedidos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Que parte das avaliações negativas está ligada a atraso ou a pedido não entregue?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pedidos, logística, avaliações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Gestão de avaliações (reviews), Eficiência logística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M02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4. N2: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Os pedidos atrasados são 6,8% dos entregues, mas concentram 27,5% de todas as notas 1 ou 2. Outros 15,4% das notas negativas vêm de pedidos que não foram entregues ou não têm data de entrega válida.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Somando atraso e não entrega, cerca de 43% das avaliações ruins estão ligadas à entrega. O restante passa por produto, atendimento e outros motivos, vistos em N3.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Um pedido entregue no prazo também pode ter tido problema de entrega, como produto danificado no transporte. Por isso a fatia ligada à entrega tende a estar subestimada, e não superestimada.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Melhorar a entrega atinge a maior parte do problema de reputação, mas não todo. A outra parte pede olhar o conteúdo dos comentários (N3).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N3 · Os comentários negativos falam primeiro de entrega e, em seguida, de produto errado ou com defeito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Do que o cliente insatisfeito reclama quando escreve?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avaliações, logística, produtos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Gestão de avaliações (reviews), Automação de processos, Experiência do cliente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M03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5. N3: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Dos 10.838 comentários de avaliações com nota 1 ou 2, 45% citam entrega (não recebeu ou atraso) e 32% citam o produto (errado, incompleto, com defeito ou de má qualidade). Atendimento aparece em 13% e cancelamento, troca ou reembolso em 14%.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 texto confirma o que os números de prazo mostram (N1, N2) e acrescenta um segundo bloco de problemas, ligado ao produto e ao vendedor, que o prazo não explica.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classificação por palavras-chave é aproximada: erra ironias e frases fora do padrão e não pega todos os casos. Só uma parte dos clientes escreve comentário, então o retrato pode pender para os mais insatisfeitos.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Há milhares de textos em português esperando leitura. Classificar, priorizar e encaminhar esses comentários automaticamente é um caso típico de IA generativa, com ganho de escala para o atendimento.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2. Temas dos comentários negativos.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220000" cy="2218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n3_temas_comenta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1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N4 · Cancelar é raro, mas quase sempre acontece depois do pagamento aprovado, e metade dos casos é falta de produto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Quantos pedidos não se concretizam e em que ponto?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pedidos, produtos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Eficiência operacional, Experiência do cliente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M04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6. N4: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1,2% dos pedidos foram cancelados ou ficaram indisponíveis. Desses, 49% são indisponibilidade (o produto não estava disponível), 89% já tinham o pagamento aprovado e 6% chegaram a ser postados.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 volume é pequeno, mas a maior parte dos casos acontece depois da aprovação do pagamento. Isso é compatível com estoque desatualizado no vendedor: o cliente paga por algo que não existe.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 dataset não traz o motivo do cancelamento nem quem cancelou (cliente, vendedor ou Olist). A taxa mensal oscila pouco e não mostra tendência clara.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Conferir a disponibilidade com o vendedor antes de confirmar a venda e avisar o cliente rapidamente quando faltar produto são automações simples, de baixo risco, para a operação.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N5 · Quase ninguém volta a comprar, e a nota da primeira compra quase não muda isso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Quantos clientes voltam e a experiência da primeira compra faz diferença?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clientes, pedidos, avaliações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Retenção e fidelização, Apoio à tomada de decisão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M05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7. N5: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Só 3,1% dos clientes fizeram mais de um pedido. A recompra é de 3,1% quando a primeira compra teve nota 4 ou 5 e de 3,1% quando teve nota 1 ou 2; com a primeira compra atrasada, 2,6%. 31% das segundas compras acontecem no mesmo dia da primeira.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recompra é baixa em todos os grupos, e a satisfação com a primeira compra quase não a altera. Parte das recompras no mesmo dia parece ser o mesmo carrinho dividido em pedidos, não uma volta do cliente.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Baixa recompra não é o mesmo que perda de cliente (churn): o período tem cerca de dois anos, muitos produtos são de compra rara e o cliente pode voltar à Olist por outro marketplace, sem aparecer como o mesmo cliente.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Satisfação sozinha não está trazendo o cliente de volta. Retenção pede ação ativa, como comunicação pós-venda e ofertas no momento certo, e não só evitar a nota ruim.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N6 · O atraso se concentra no Norte e no Nordeste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O atraso é igual no país inteiro?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clientes, logística, geolocalização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Eficiência logística, Apoio à tomada de decisão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M06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8. N6: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taxa de atraso é de 12,7% no Nordeste e 8,6% no Norte, contra 6,1% no Sudeste e 5,9% no Sul. Por estado, MA lidera (17,4%) entre os que têm 500 ou mais entregas.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Os clientes mais distantes do eixo onde estão os vendedores sofrem mais atraso, embora o prazo prometido para eles já seja maior: em média 38 dias no Norte e 31 no Nordeste, contra 22 no Sudeste. Mesmo com essa folga, a promessa não acompanha a dificuldade real da rota.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Estados pequenos têm poucas entregas e taxas instáveis. Região é um resumo: dentro dela há diferenças entre capital e interior que o dado por estado não mostra.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Prazo prometido e acompanhamento podem ser calibrados por rota. Um agente de previsão de risco de atraso por região e vendedor é um uso direto deste achado.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3. Taxa de atraso por região.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220000" cy="27928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n6_atraso_regi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92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240" w:after="120"/>
        <w:jc w:val="left"/>
      </w:pPr>
      <w:r>
        <w:rPr>
          <w:rFonts w:ascii="Arial" w:hAnsi="Arial" w:eastAsia="Arial"/>
          <w:b/>
          <w:i w:val="0"/>
          <w:sz w:val="22"/>
        </w:rPr>
        <w:t>Análises diferenciais (D1–D6)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Análises que vão além do óbvio e não estão no relatório de referência: mostram onde e quando o problema nasce.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D1 · O atraso nasce sobretudo no transporte, e a postagem fora do prazo do vendedor multiplica o risco por 3,9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Em que etapa do ciclo o pedido atrasado perde tempo?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pedidos, logística, vendedores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Eficiência logística, Eficiência operacional, Automação de processos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M07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9. D1: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Nos pedidos atrasados, o transporte leva em média 27,9 dias, contra 8,0 nos entregues no prazo. A postagem pelo vendedor leva 5,6 dias, contra 2,7. A aprovação do pagamento é igual nos dois grupos (menos de 1 dia). 9,0% dos pedidos foram postados depois do prazo-limite do vendedor; esses atrasam em 20,9% dos casos, contra 5,4% dos postados no prazo.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 prazo prometido é parecido para os dois grupos (cerca de 23 dias), então o atraso não vem de uma promessa mais curta. Ele se forma no transporte e, em parte, na demora do vendedor para postar. A postagem fora do limite é um sinal de alerta que aparece dias antes de o atraso se concretizar.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As datas de postagem e entrega são registros operacionais e podem ter erros (a regra R6 já tirou os casos impossíveis). O dado não diz qual transportadora fez a entrega.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Há um gatilho objetivo para agir cedo: vendedor que passou do prazo de postagem. Um agente pode monitorar esse sinal, cobrar o vendedor e avisar o cliente antes que o atraso vire nota ruim.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4. Tempo médio por etapa do ciclo do pedido.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220000" cy="2562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d1_etapas_cic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6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D2 · Os atrasos se concentram nos grandes vendedores, mas entre vendedores de porte parecido a taxa varia muito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O atraso está concentrado em alguns vendedores?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vendedores, logística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Apoio à tomada de decisão, Eficiência logística, Escalabilidade da operação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M08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10. D2: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97 dos 2.957 vendedores com entregas (3,3%) respondem por metade dos pedidos atrasados. Metade dos pedidos vem de 127 vendedores, então a concentração dos atrasos acompanha a das vendas. Entre os 418 vendedores com 50 ou mais entregas, a taxa de atraso vai de 3,6% (quartil inferior) a 8,9% (quartil superior), e 6% deles atrasam o dobro da média ou mais.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Os grandes vendedores pesam mais nos atrasos porque vendem mais, mas, entre vendedores de porte parecido, há os que entregam bem e os que atrasam com frequência. Isso é compatível com diferenças de processo de cada vendedor.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taxa de um vendedor mistura sua própria agilidade com a região dos clientes e a transportadora usada. O vendedor do pedido é o do item de maior preço; pedidos com vários vendedores são poucos.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Acompanhar os vendedores pelo desempenho de entrega permite agir onde o problema se repete. Um agente pode gerar alertas e recomendações para o time que cuida dos lojistas, com foco em poucos vendedores e grande efeito.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5. Taxa de atraso dos vendedores com 50+ entregas.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220000" cy="2664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d2_vendedo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D3 · Produtos pesados atrasam mais e são pior avaliados, e o atraso quase dobra entre a melhor e a pior categoria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Categoria e peso do produto estão associados a atraso e nota?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produtos, logística, avaliações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Eficiência logística, Experiência do cliente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M09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11. D3: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Pedidos com mais de 10 kg atrasam em 8,9% dos casos, contra 6,5% nos de até 0,5 kg, e têm nota média 3,90, contra 4,19. Entre as categorias com 1.000 ou mais entregas, a taxa de atraso vai de 4,2% (malas_acessorios) a 8,1% (bebes).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Peso e categoria aparecem associados ao atraso e à nota. Itens volumosos exigem transporte diferente e parecem sofrer mais na rota. Móveis de escritório combinam atraso acima da média com a pior nota entre as grandes categorias (3,65).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Peso e categoria andam juntos (móveis são pesados) e com a região do cliente. O peso vem do cadastro do produto e falta em poucos casos (regra R5).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Pedidos pesados merecem prazo prometido mais realista e acompanhamento mais próximo. O peso é uma variável útil para um agente que estima o risco de atraso no momento da compra.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6. Atraso por peso e por categoria.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220000" cy="2117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d3_peso_categor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1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D4 · O peso do frete e a forma de pagamento quase não mudam a nota; o que pesa é o prazo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Frete caro ou forma de pagamento estão associados a notas piores?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pagamentos, produtos, avaliações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Experiência do cliente, Apoio à tomada de decisão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M10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12. D4: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nota média vai de 4,20 nos pedidos em que o frete pesa menos para 4,11 nos que pesa mais, uma diferença de 0,10 ponto. Entre as formas de pagamento, a nota média fica entre 4,00 e 4,17. 68% das compras no cartão são parceladas.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Comparada à queda de cerca de 2 pontos associada ao atraso (OLIST-2, I09), a diferença ligada ao frete é pequena. O cliente parece aceitar o preço do frete combinado na compra; o que ele não aceita é o prazo descumprido.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 dado não traz o frete de concorrentes nem o abandono de carrinho: clientes que desistiram da compra pelo valor do frete não aparecem. A análise vale só para quem comprou.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Para a satisfação, cumprir o prazo vale mais do que baratear o frete. Esse achado ajuda a priorizar: agentes ligados a prazo e comunicação vêm antes de agentes de preço de frete.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D5 · O atraso tem picos em poucos meses: na Black Friday de 2017 junto com o volume, e em fevereiro–março de 2018 sem aumento de volume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O atraso muda ao longo do ano?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pedidos, logística, avaliações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Escalabilidade da operação, Eficiência logística, Apoio à tomada de decisão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M11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13. D5: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taxa de atraso mensal fica perto de 4% na maior parte dos meses, mas chega a 12,4% em novembro de 2017 (Black Friday), 14,1% em fevereiro e 19,0% em março de 2018. Nesses meses a nota média cai para 3,99, 3,88 e 3,81.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Na Black Friday, o salto de atraso coincide com o maior volume do período (7.288 entregas). Em fevereiro e março de 2018 o volume foi parecido com o de janeiro (7.069), que teve atraso de 5,7%; esse pico é compatível com fatores externos, como greves ou problemas nas transportadoras, que o dado não registra. Nos dois casos, a nota acompanha a pontualidade.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São poucos meses de pico, e não sabemos o que aconteceu fora da Olist nesses períodos. A série tem menos de dois anos completos, então não dá para afirmar um padrão anual.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Planejar a capacidade antes das datas de pico e ajustar o prazo prometido nesses períodos protege a nota. Um agente de apoio à decisão pode simular o volume esperado e sugerir prazos e reforços com antecedência.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7. Pedidos e taxa de atraso por mês.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220000" cy="29917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d5_sazonalida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20" w:after="120"/>
        <w:jc w:val="left"/>
      </w:pPr>
      <w:r>
        <w:rPr>
          <w:rFonts w:ascii="Arial" w:hAnsi="Arial" w:eastAsia="Arial"/>
          <w:b/>
          <w:i/>
          <w:sz w:val="22"/>
        </w:rPr>
        <w:t>D6 · A distância entre vendedor e cliente acompanha o atraso, e a maioria das vendas cruza estados</w:t>
      </w:r>
    </w:p>
    <w:p>
      <w:pPr>
        <w:spacing w:line="240" w:lineRule="auto" w:before="0" w:after="80"/>
        <w:jc w:val="left"/>
      </w:pPr>
      <w:r>
        <w:rPr>
          <w:rFonts w:ascii="Arial" w:hAnsi="Arial" w:eastAsia="Arial"/>
          <w:b w:val="0"/>
          <w:i/>
          <w:sz w:val="18"/>
        </w:rPr>
        <w:t xml:space="preserve">Pergunta: </w:t>
      </w:r>
      <w:r>
        <w:rPr>
          <w:rFonts w:ascii="Arial" w:hAnsi="Arial" w:eastAsia="Arial"/>
          <w:b w:val="0"/>
          <w:i w:val="0"/>
          <w:sz w:val="18"/>
        </w:rPr>
        <w:t>A distância e a rota entre vendedor e cliente estão associadas ao atraso?</w:t>
      </w:r>
      <w:r>
        <w:rPr>
          <w:rFonts w:ascii="Arial" w:hAnsi="Arial" w:eastAsia="Arial"/>
          <w:b w:val="0"/>
          <w:i/>
          <w:sz w:val="18"/>
        </w:rPr>
        <w:t xml:space="preserve"> · Dimensões: </w:t>
      </w:r>
      <w:r>
        <w:rPr>
          <w:rFonts w:ascii="Arial" w:hAnsi="Arial" w:eastAsia="Arial"/>
          <w:b w:val="0"/>
          <w:i w:val="0"/>
          <w:sz w:val="18"/>
        </w:rPr>
        <w:t>geolocalização, vendedores, clientes, logística</w:t>
      </w:r>
      <w:r>
        <w:rPr>
          <w:rFonts w:ascii="Arial" w:hAnsi="Arial" w:eastAsia="Arial"/>
          <w:b w:val="0"/>
          <w:i/>
          <w:sz w:val="18"/>
        </w:rPr>
        <w:t xml:space="preserve"> · Desafios: </w:t>
      </w:r>
      <w:r>
        <w:rPr>
          <w:rFonts w:ascii="Arial" w:hAnsi="Arial" w:eastAsia="Arial"/>
          <w:b w:val="0"/>
          <w:i w:val="0"/>
          <w:sz w:val="18"/>
        </w:rPr>
        <w:t>Eficiência logística, Apoio à tomada de decisão, Escalabilidade da operação</w:t>
      </w:r>
      <w:r>
        <w:rPr>
          <w:rFonts w:ascii="Arial" w:hAnsi="Arial" w:eastAsia="Arial"/>
          <w:b w:val="0"/>
          <w:i/>
          <w:sz w:val="18"/>
        </w:rPr>
        <w:t xml:space="preserve"> · Métricas: </w:t>
      </w:r>
      <w:r>
        <w:rPr>
          <w:rFonts w:ascii="Arial" w:hAnsi="Arial" w:eastAsia="Arial"/>
          <w:b w:val="0"/>
          <w:i w:val="0"/>
          <w:sz w:val="18"/>
        </w:rPr>
        <w:t>M12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14. D6: fato, leitura, cautela e e daí.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Parte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Conteúdo</w:t>
            </w:r>
          </w:p>
        </w:tc>
      </w:tr>
      <w:tr>
        <w:tc>
          <w:tcPr>
            <w:tcW w:type="dxa" w:w="124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78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taxa de atraso sobe de 4,5% (até 100 km) para 12,0% (mais de 2.000 km). Quando vendedor e cliente estão em estados diferentes, o atraso é de 8,0% e o prazo médio de 15,2 dias; no mesmo estado, 4,5% e 7,9 dias. 64% das entregas cruzam estados.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rota acompanha boa parte da diferença regional vista em N6: os vendedores estão concentrados no Sudeste, e o cliente distante depende de transporte longo, que é onde o atraso nasce (D1).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Cautela</w:t>
            </w:r>
          </w:p>
        </w:tc>
        <w:tc>
          <w:tcPr>
            <w:tcW w:type="dxa" w:w="7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 distância em linha reta é uma aproximação da rota real. CEPs sem coordenada (menos de 1%) ficam de fora.</w:t>
            </w:r>
          </w:p>
        </w:tc>
      </w:tr>
      <w:tr>
        <w:tc>
          <w:tcPr>
            <w:tcW w:type="dxa" w:w="124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 daí?</w:t>
            </w:r>
          </w:p>
        </w:tc>
        <w:tc>
          <w:tcPr>
            <w:tcW w:type="dxa" w:w="78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Aproximar a oferta do cliente, com vendedores ou estoques em outras regiões, e calibrar o prazo pela distância são alavancas estratégicas. A distância também é uma variável simples para o agente que estima o risco de atraso.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8. Atraso e prazo por distância vendedor–cliente.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220000" cy="27784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d6_distanc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7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240" w:after="120"/>
        <w:jc w:val="left"/>
      </w:pPr>
      <w:r>
        <w:rPr>
          <w:rFonts w:ascii="Arial" w:hAnsi="Arial" w:eastAsia="Arial"/>
          <w:b/>
          <w:i w:val="0"/>
          <w:sz w:val="22"/>
        </w:rPr>
        <w:t>Critérios de aceite do OLIST-3</w:t>
      </w:r>
    </w:p>
    <w:p>
      <w:pPr>
        <w:spacing w:line="276" w:lineRule="auto" w:before="0" w:after="40"/>
        <w:ind w:left="340"/>
        <w:jc w:val="left"/>
      </w:pPr>
      <w:r>
        <w:rPr>
          <w:rFonts w:ascii="Arial" w:hAnsi="Arial" w:eastAsia="Arial"/>
          <w:b w:val="0"/>
          <w:i w:val="0"/>
          <w:sz w:val="22"/>
        </w:rPr>
        <w:t xml:space="preserve">☑ </w:t>
      </w:r>
      <w:r>
        <w:rPr>
          <w:rFonts w:ascii="Arial" w:hAnsi="Arial" w:eastAsia="Arial"/>
          <w:b w:val="0"/>
          <w:i w:val="0"/>
          <w:sz w:val="22"/>
        </w:rPr>
        <w:t>CA1 · Análises no dataset cobrindo ≥ 5 das 8 dimensões do enunciado (8 de 8)</w:t>
      </w:r>
    </w:p>
    <w:p>
      <w:pPr>
        <w:spacing w:line="276" w:lineRule="auto" w:before="0" w:after="40"/>
        <w:ind w:left="340"/>
        <w:jc w:val="left"/>
      </w:pPr>
      <w:r>
        <w:rPr>
          <w:rFonts w:ascii="Arial" w:hAnsi="Arial" w:eastAsia="Arial"/>
          <w:b w:val="0"/>
          <w:i w:val="0"/>
          <w:sz w:val="22"/>
        </w:rPr>
        <w:t xml:space="preserve">☑ </w:t>
      </w:r>
      <w:r>
        <w:rPr>
          <w:rFonts w:ascii="Arial" w:hAnsi="Arial" w:eastAsia="Arial"/>
          <w:b w:val="0"/>
          <w:i w:val="0"/>
          <w:sz w:val="22"/>
        </w:rPr>
        <w:t>CA2 · ≥ 6 análises, das quais ≥ 2 diferenciais (12 análises, 6 diferenciais)</w:t>
      </w:r>
    </w:p>
    <w:p>
      <w:pPr>
        <w:spacing w:line="276" w:lineRule="auto" w:before="0" w:after="40"/>
        <w:ind w:left="340"/>
        <w:jc w:val="left"/>
      </w:pPr>
      <w:r>
        <w:rPr>
          <w:rFonts w:ascii="Arial" w:hAnsi="Arial" w:eastAsia="Arial"/>
          <w:b w:val="0"/>
          <w:i w:val="0"/>
          <w:sz w:val="22"/>
        </w:rPr>
        <w:t xml:space="preserve">☑ </w:t>
      </w:r>
      <w:r>
        <w:rPr>
          <w:rFonts w:ascii="Arial" w:hAnsi="Arial" w:eastAsia="Arial"/>
          <w:b w:val="0"/>
          <w:i w:val="0"/>
          <w:sz w:val="22"/>
        </w:rPr>
        <w:t>CA3 · Todas com Fato, Leitura, Cautela e E daí? preenchidos</w:t>
      </w:r>
    </w:p>
    <w:p>
      <w:pPr>
        <w:spacing w:line="276" w:lineRule="auto" w:before="0" w:after="40"/>
        <w:ind w:left="340"/>
        <w:jc w:val="left"/>
      </w:pPr>
      <w:r>
        <w:rPr>
          <w:rFonts w:ascii="Arial" w:hAnsi="Arial" w:eastAsia="Arial"/>
          <w:b w:val="0"/>
          <w:i w:val="0"/>
          <w:sz w:val="22"/>
        </w:rPr>
        <w:t xml:space="preserve">☑ </w:t>
      </w:r>
      <w:r>
        <w:rPr>
          <w:rFonts w:ascii="Arial" w:hAnsi="Arial" w:eastAsia="Arial"/>
          <w:b w:val="0"/>
          <w:i w:val="0"/>
          <w:sz w:val="22"/>
        </w:rPr>
        <w:t>CA4 · Nenhuma frase afirma causalidade (checagem automática)</w:t>
      </w:r>
    </w:p>
    <w:p>
      <w:pPr>
        <w:spacing w:line="276" w:lineRule="auto" w:before="0" w:after="40"/>
        <w:ind w:left="340"/>
        <w:jc w:val="left"/>
      </w:pPr>
      <w:r>
        <w:rPr>
          <w:rFonts w:ascii="Arial" w:hAnsi="Arial" w:eastAsia="Arial"/>
          <w:b w:val="0"/>
          <w:i w:val="0"/>
          <w:sz w:val="22"/>
        </w:rPr>
        <w:t xml:space="preserve">☑ </w:t>
      </w:r>
      <w:r>
        <w:rPr>
          <w:rFonts w:ascii="Arial" w:hAnsi="Arial" w:eastAsia="Arial"/>
          <w:b w:val="0"/>
          <w:i w:val="0"/>
          <w:sz w:val="22"/>
        </w:rPr>
        <w:t>CA5 · Cada achado-chave aponta o desafio do enunciado que ilustra</w:t>
      </w:r>
    </w:p>
    <w:p>
      <w:pPr>
        <w:spacing w:line="276" w:lineRule="auto" w:before="0" w:after="40"/>
        <w:ind w:left="340"/>
        <w:jc w:val="left"/>
      </w:pPr>
      <w:r>
        <w:rPr>
          <w:rFonts w:ascii="Arial" w:hAnsi="Arial" w:eastAsia="Arial"/>
          <w:b w:val="0"/>
          <w:i w:val="0"/>
          <w:sz w:val="22"/>
        </w:rPr>
        <w:t xml:space="preserve">☑ </w:t>
      </w:r>
      <w:r>
        <w:rPr>
          <w:rFonts w:ascii="Arial" w:hAnsi="Arial" w:eastAsia="Arial"/>
          <w:b w:val="0"/>
          <w:i w:val="0"/>
          <w:sz w:val="22"/>
        </w:rPr>
        <w:t>CA6 · Todo número tem fórmula na planilha (12 métricas em reports/achados_olist3.xlsx)</w:t>
      </w:r>
    </w:p>
    <w:p>
      <w:pPr>
        <w:spacing w:line="276" w:lineRule="auto" w:before="0" w:after="40"/>
        <w:ind w:left="340"/>
        <w:jc w:val="left"/>
      </w:pPr>
      <w:r>
        <w:rPr>
          <w:rFonts w:ascii="Arial" w:hAnsi="Arial" w:eastAsia="Arial"/>
          <w:b w:val="0"/>
          <w:i w:val="0"/>
          <w:sz w:val="22"/>
        </w:rPr>
        <w:t xml:space="preserve">☐ </w:t>
      </w:r>
      <w:r>
        <w:rPr>
          <w:rFonts w:ascii="Arial" w:hAnsi="Arial" w:eastAsia="Arial"/>
          <w:b w:val="0"/>
          <w:i w:val="0"/>
          <w:sz w:val="22"/>
        </w:rPr>
        <w:t>CA7 · Lista dos achados-chave entregue ao Diogo (gráficos e KPIs) e ao Lorran (oportunidades e agentes)</w:t>
      </w:r>
    </w:p>
    <w:p>
      <w:pPr>
        <w:keepNext/>
        <w:spacing w:line="360" w:lineRule="auto" w:before="240" w:after="120"/>
        <w:jc w:val="left"/>
      </w:pPr>
      <w:r>
        <w:rPr>
          <w:rFonts w:ascii="Arial" w:hAnsi="Arial" w:eastAsia="Arial"/>
          <w:b/>
          <w:i w:val="0"/>
          <w:sz w:val="22"/>
        </w:rPr>
        <w:t>Onde estão os arquivos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15. Arquivos do card no repositório do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3402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Arquivo</w:t>
            </w:r>
          </w:p>
        </w:tc>
        <w:tc>
          <w:tcPr>
            <w:tcW w:type="dxa" w:w="566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O que é</w:t>
            </w:r>
          </w:p>
        </w:tc>
      </w:tr>
      <w:tr>
        <w:tc>
          <w:tcPr>
            <w:tcW w:type="dxa" w:w="3402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notebooks/02_olist3_achados.ipynb</w:t>
            </w:r>
          </w:p>
        </w:tc>
        <w:tc>
          <w:tcPr>
            <w:tcW w:type="dxa" w:w="566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as 12 análises passo a passo, os achados e as checagens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reports/achados_olist3.xlsx</w:t>
            </w:r>
          </w:p>
        </w:tc>
        <w:tc>
          <w:tcPr>
            <w:tcW w:type="dxa" w:w="56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Leia-me, Indicadores (métricas), Achados-chave, Achados, base_pedidos ampliada e uma aba por métrica (M01–M12)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reports/achados_olist3.json</w:t>
            </w:r>
          </w:p>
        </w:tc>
        <w:tc>
          <w:tcPr>
            <w:tcW w:type="dxa" w:w="56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achados e métricas para Word e Confluence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reports/figures/o3_*.png</w:t>
            </w:r>
          </w:p>
        </w:tc>
        <w:tc>
          <w:tcPr>
            <w:tcW w:type="dxa" w:w="56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os 8 gráficos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docs/abnt/OLIST-3_relatorio.docx</w:t>
            </w:r>
          </w:p>
        </w:tc>
        <w:tc>
          <w:tcPr>
            <w:tcW w:type="dxa" w:w="56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relatório no padrão ABNT (template FIAP)</w:t>
            </w:r>
          </w:p>
        </w:tc>
      </w:tr>
      <w:tr>
        <w:tc>
          <w:tcPr>
            <w:tcW w:type="dxa" w:w="340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src/olist/findings.py</w:t>
            </w:r>
          </w:p>
        </w:tc>
        <w:tc>
          <w:tcPr>
            <w:tcW w:type="dxa" w:w="5669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registro dos achados e checagem de linguagem causal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sectPr>
      <w:headerReference w:type="default" r:id="rId5"/>
      <w:footerReference w:type="default" r:id="rId6"/>
      <w:type w:val="nextPage"/>
      <w:pgSz w:w="11906" w:h="16838"/>
      <w:pgMar w:top="1418" w:right="1418" w:bottom="1418" w:left="1418" w:header="708" w:footer="708" w:gutter="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al Unicode MS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keepNext w:val="0"/>
      <w:keepLines w:val="0"/>
      <w:pageBreakBefore w:val="0"/>
      <w:widowControl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tabs>
        <w:tab w:val="center" w:pos="4252"/>
        <w:tab w:val="right" w:pos="8504"/>
      </w:tabs>
      <w:spacing w:before="0" w:after="0" w:line="240" w:lineRule="auto"/>
      <w:ind w:left="0" w:right="0" w:firstLine="0"/>
      <w:jc w:val="righ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  <w:fldChar w:fldCharType="begin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  <w:instrText xml:space="preserve"> PAGE </w:instrText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  <w:fldChar w:fldCharType="separate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  <w:fldChar w:fldCharType="end"/>
    </w:r>
  </w:p>
  <w:p>
    <w:pPr>
      <w:keepNext w:val="0"/>
      <w:keepLines w:val="0"/>
      <w:pageBreakBefore w:val="0"/>
      <w:widowControl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keepNext w:val="0"/>
      <w:keepLines w:val="0"/>
      <w:pageBreakBefore w:val="0"/>
      <w:widowControl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spacing w:before="0" w:after="0" w:line="240" w:lineRule="auto"/>
      <w:ind w:left="0" w:right="3968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vertAlign w:val="baseline"/>
        <w:rtl w:val="0"/>
      </w:rPr>
      <w:t xml:space="preserve">Tech Challenge · Pós-graduação em Agentic AI · Fase 1 – FIAP – 2026</w:t>
    </w:r>
    <w:r>
      <w:drawing>
        <wp:anchor distT="0" distB="0" distL="114300" distR="114300" simplePos="0" relativeHeight="251658241" behindDoc="0" locked="0" layoutInCell="1" allowOverlap="1">
          <wp:simplePos x="0" y="0"/>
          <wp:positionH relativeFrom="column">
            <wp:posOffset>4730313</wp:posOffset>
          </wp:positionH>
          <wp:positionV relativeFrom="paragraph">
            <wp:posOffset>-105409</wp:posOffset>
          </wp:positionV>
          <wp:extent cx="1029137" cy="298450"/>
          <wp:effectExtent l="0" t="0" r="0" b="0"/>
          <wp:wrapSquare wrapText="bothSides"/>
          <wp:docPr id="5" name="Picture 5" descr="Desenho com traços pretos em fundo branco&#10;&#10;Descrição gerada automaticamente com confiança média"/>
          <wp:cNvGraphicFramePr/>
          <a:graphic>
            <a:graphicData uri="http://schemas.openxmlformats.org/drawingml/2006/picture">
              <pic:pic>
                <pic:nvPicPr>
                  <pic:cNvPr id="0" name="image3.png" descr="Desenho com traços preto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29137" cy="298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keepNext w:val="0"/>
      <w:keepLines w:val="0"/>
      <w:pageBreakBefore w:val="0"/>
      <w:widowControl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tabs>
        <w:tab w:val="center" w:pos="4252"/>
        <w:tab w:val="right" w:pos="8504"/>
        <w:tab w:val="left" w:pos="1785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ab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  <w:rtl w:val="0"/>
      </w:rPr>
      <w:tab/>
    </w:r>
    <w:r>
      <w:drawing>
        <wp:anchor distT="0" distB="0" distL="0" distR="0" simplePos="0" relativeHeight="251658242" behindDoc="1" locked="0" layoutInCell="1" allowOverlap="1">
          <wp:simplePos x="0" y="0"/>
          <wp:positionH relativeFrom="column">
            <wp:posOffset>6350</wp:posOffset>
          </wp:positionH>
          <wp:positionV relativeFrom="paragraph">
            <wp:posOffset>100330</wp:posOffset>
          </wp:positionV>
          <wp:extent cx="5753100" cy="12700"/>
          <wp:effectExtent l="0" t="0" r="0" b="0"/>
          <wp:wrapNone/>
          <wp:docPr id="6" name="Shape 6" descr="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5753100" cy="12700"/>
                  </a:xfrm>
                  <a:prstGeom prst="straightConnector1">
                    <a:avLst/>
                  </a:prstGeom>
                  <a:noFill/>
                  <a:ln w="9525">
                    <a:solidFill>
                      <a:srgbClr val="595959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sz w:val="20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  <w:uiPriority w:val="0"/>
    <w:qFormat/>
  </w:style>
  <w:style w:type="paragraph" w:styleId="Heading1">
    <w:name w:val="heading 1"/>
    <w:basedOn w:val="Normal"/>
    <w:next w:val="Normal"/>
    <w:uiPriority w:val="10"/>
    <w:qFormat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11"/>
    <w:qFormat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12"/>
    <w:qFormat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Table1">
    <w:name w:val="Table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2">
    <w:name w:val="Table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4">
    <w:name w:val="Table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5">
    <w:name w:val="Table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o0kCrP4HaI6bBQLrXzURUv50g==">CgMxLjAaJAoBMBIfCh0IB0IZCgVBcmlhbBIQQXJpYWwgVW5pY29kZSBNUzIOaC5xbDByeDl2dTFtZXcyDmguczFsZzdlaGlkczdoMg5oLnNwdmhpbmV0ODJnczgAciExNmZrNlVUWXlVd3p0OXB3alpfeGpVenczRjNnR2NmM2U=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2842</Words>
  <Paragraphs>249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</cp:lastModifiedBy>
  <cp:revision>1</cp:revision>
  <dcterms:created xsi:type="dcterms:W3CDTF">2026-10-28T18:33:02Z</dcterms:created>
  <dcterms:modified xsi:type="dcterms:W3CDTF">2026-10-28T18:33:02Z</dcterms:modified>
  <dc:creator>Diogo, Igor e Lorran</dc:creator>
  <dc:title>Insights e análises de Oportunidades</dc:title>
  <dc:description>Tech Challenge Agentic AI – Fase 1 – FIAP · card OLIST-3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GrammarlyDocumentId">
    <vt:lpwstr>a3b0207b-49e3-4a4c-a082-0901807cc2d7</vt:lpwstr>
  </property>
  <property fmtid="{D5CDD505-2E9C-101B-9397-08002B2CF9AE}" pid="4" name="MediaServiceImageTags">
    <vt:lpwstr>MediaServiceImageTags</vt:lpwstr>
  </property>
</Properties>
</file>