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customXML/item1.xml" ContentType="application/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jc w:val="center"/>
        <w:rPr>
          <w:rFonts w:ascii="Arial" w:hAnsi="Arial" w:eastAsia="Arial" w:cs="Arial"/>
          <w:sz w:val="22"/>
          <w:szCs w:val="22"/>
        </w:rPr>
      </w:pPr>
      <w:bookmarkStart w:id="0" w:name="_heading=h.ql0rx9vu1mew"/>
      <w:bookmarkEnd w:id="0"/>
      <w:r>
        <w:rPr>
          <w:rFonts w:ascii="Arial" w:hAnsi="Arial" w:eastAsia="Arial" w:cs="Arial"/>
          <w:b/>
          <w:bCs/>
          <w:sz w:val="22"/>
          <w:szCs w:val="22"/>
          <w:rtl w:val="0"/>
        </w:rPr>
        <w:t xml:space="preserve">Desempenho de plataformas digitais na venda de veículos: análise de dados em concessionária</w:t>
      </w:r>
    </w:p>
    <w:p>
      <w:pPr>
        <w:jc w:val="both"/>
        <w:rPr>
          <w:rFonts w:ascii="Arial" w:hAnsi="Arial" w:eastAsia="Arial" w:cs="Arial"/>
          <w:sz w:val="22"/>
          <w:szCs w:val="22"/>
        </w:rPr>
      </w:pPr>
    </w:p>
    <w:p>
      <w:pPr>
        <w:jc w:val="center"/>
        <w:rPr>
          <w:rFonts w:ascii="Arial" w:hAnsi="Arial" w:eastAsia="Arial" w:cs="Arial"/>
          <w:sz w:val="22"/>
          <w:szCs w:val="22"/>
          <w:rtl w:val="0"/>
        </w:rPr>
      </w:pPr>
      <w:r>
        <w:rPr>
          <w:rFonts w:ascii="Arial" w:hAnsi="Arial" w:eastAsia="Arial" w:cs="Arial"/>
          <w:sz w:val="22"/>
          <w:szCs w:val="22"/>
        </w:rPr>
        <w:t xml:space="preserve">aaaaaaaaaaaaa</w:t>
      </w:r>
    </w:p>
    <w:p>
      <w:pPr>
        <w:tabs>
          <w:tab w:val="left" w:pos="6465"/>
        </w:tabs>
        <w:jc w:val="both"/>
        <w:rPr>
          <w:rFonts w:ascii="Arial" w:hAnsi="Arial" w:eastAsia="Arial" w:cs="Arial"/>
          <w:b/>
          <w:bCs/>
          <w:sz w:val="18"/>
          <w:szCs w:val="18"/>
        </w:rPr>
      </w:pPr>
    </w:p>
    <w:p>
      <w:pPr>
        <w:jc w:val="both"/>
        <w:rPr>
          <w:rFonts w:ascii="Arial" w:hAnsi="Arial" w:eastAsia="Arial" w:cs="Arial"/>
          <w:sz w:val="18"/>
          <w:szCs w:val="18"/>
        </w:rPr>
      </w:pPr>
      <w:r>
        <w:rPr>
          <w:rFonts w:ascii="Arial" w:hAnsi="Arial" w:eastAsia="Arial" w:cs="Arial"/>
          <w:sz w:val="18"/>
          <w:szCs w:val="18"/>
          <w:vertAlign w:val="superscript"/>
          <w:rtl w:val="0"/>
        </w:rPr>
        <w:t xml:space="preserve">1</w:t>
      </w:r>
      <w:r>
        <w:rPr>
          <w:rFonts w:ascii="Arial" w:hAnsi="Arial" w:eastAsia="Arial" w:cs="Arial"/>
          <w:sz w:val="22"/>
          <w:szCs w:val="22"/>
          <w:rtl w:val="0"/>
        </w:rPr>
        <w:t xml:space="preserve"> </w:t>
      </w:r>
      <w:r>
        <w:rPr>
          <w:rFonts w:ascii="Arial" w:hAnsi="Arial" w:eastAsia="Arial" w:cs="Arial"/>
          <w:sz w:val="18"/>
          <w:szCs w:val="18"/>
          <w:rtl w:val="0"/>
        </w:rPr>
        <w:t xml:space="preserve">Unive</w:t>
      </w:r>
      <w:r>
        <w:rPr>
          <w:rFonts w:ascii="Arial" w:hAnsi="Arial" w:eastAsia="Arial" w:cs="Arial"/>
          <w:sz w:val="18"/>
          <w:szCs w:val="18"/>
        </w:rPr>
        <w:t xml:space="preserve">a</w:t>
      </w:r>
    </w:p>
    <w:p>
      <w:pPr>
        <w:rPr>
          <w:rFonts w:ascii="Arial" w:hAnsi="Arial" w:eastAsia="Arial" w:cs="Arial"/>
          <w:color w:val="000000"/>
          <w:sz w:val="18"/>
          <w:szCs w:val="18"/>
        </w:rPr>
      </w:pPr>
      <w:bookmarkStart w:id="1" w:name="_heading=h.s1lg7ehids7h"/>
      <w:bookmarkEnd w:id="1"/>
      <w:r>
        <w:rPr>
          <w:rFonts w:ascii="Arial" w:hAnsi="Arial" w:eastAsia="Arial" w:cs="Arial"/>
          <w:color w:val="000000"/>
          <w:sz w:val="18"/>
          <w:szCs w:val="18"/>
          <w:rtl w:val="0"/>
        </w:rPr>
        <w:t xml:space="preserve">*autor correspondente: </w:t>
      </w:r>
      <w:r>
        <w:rPr>
          <w:rFonts w:ascii="Arial" w:hAnsi="Arial" w:eastAsia="Arial" w:cs="Arial"/>
          <w:color w:val="000000"/>
          <w:sz w:val="18"/>
          <w:szCs w:val="18"/>
        </w:rPr>
        <w:t xml:space="preserve">aaa</w:t>
      </w:r>
    </w:p>
    <w:p>
      <w:pPr>
        <w:spacing w:line="360" w:lineRule="auto"/>
        <w:rPr>
          <w:rFonts w:ascii="Arial" w:hAnsi="Arial" w:eastAsia="Arial" w:cs="Arial"/>
          <w:b/>
          <w:bCs/>
          <w:sz w:val="22"/>
          <w:szCs w:val="22"/>
        </w:rPr>
      </w:pPr>
    </w:p>
    <w:p>
      <w:pPr>
        <w:rPr>
          <w:rFonts w:ascii="Arial" w:hAnsi="Arial" w:eastAsia="Arial" w:cs="Arial"/>
          <w:b/>
          <w:bCs/>
          <w:sz w:val="22"/>
          <w:szCs w:val="22"/>
        </w:rPr>
      </w:pPr>
      <w:r>
        <w:br w:type="page"/>
      </w:r>
    </w:p>
    <w:p>
      <w:pPr>
        <w:jc w:val="center"/>
        <w:rPr>
          <w:rFonts w:ascii="Arial" w:hAnsi="Arial" w:eastAsia="Arial" w:cs="Arial"/>
          <w:sz w:val="22"/>
          <w:szCs w:val="22"/>
        </w:rPr>
      </w:pPr>
      <w:r>
        <w:rPr>
          <w:rFonts w:ascii="Arial" w:hAnsi="Arial" w:eastAsia="Arial" w:cs="Arial"/>
          <w:b/>
          <w:bCs/>
          <w:sz w:val="22"/>
          <w:szCs w:val="22"/>
          <w:rtl w:val="0"/>
        </w:rPr>
        <w:t xml:space="preserve">Desempenho de plataformas digitais na venda de veículos: análise de dados em concessionária</w:t>
      </w:r>
    </w:p>
    <w:p>
      <w:pPr>
        <w:jc w:val="center"/>
        <w:rPr>
          <w:rFonts w:ascii="Arial" w:hAnsi="Arial" w:eastAsia="Arial" w:cs="Arial"/>
          <w:b/>
          <w:bCs/>
          <w:sz w:val="22"/>
          <w:szCs w:val="22"/>
        </w:rPr>
      </w:pPr>
    </w:p>
    <w:p>
      <w:pPr>
        <w:rPr>
          <w:rFonts w:ascii="Arial" w:hAnsi="Arial" w:eastAsia="Arial" w:cs="Arial"/>
          <w:b/>
          <w:bCs/>
          <w:sz w:val="22"/>
          <w:szCs w:val="22"/>
        </w:rPr>
      </w:pPr>
      <w:r>
        <w:rPr>
          <w:rFonts w:ascii="Arial" w:hAnsi="Arial" w:eastAsia="Arial" w:cs="Arial"/>
          <w:b/>
          <w:bCs/>
          <w:sz w:val="22"/>
          <w:szCs w:val="22"/>
          <w:rtl w:val="0"/>
        </w:rPr>
        <w:t xml:space="preserve">Sumário Executivo</w:t>
      </w:r>
    </w:p>
    <w:p>
      <w:pPr>
        <w:jc w:val="both"/>
        <w:rPr>
          <w:rFonts w:ascii="Arial" w:hAnsi="Arial" w:eastAsia="Arial" w:cs="Arial"/>
          <w:b/>
          <w:bCs/>
          <w:sz w:val="22"/>
          <w:szCs w:val="22"/>
        </w:rPr>
      </w:pPr>
    </w:p>
    <w:p>
      <w:pPr>
        <w:ind w:firstLine="708"/>
        <w:jc w:val="both"/>
        <w:rPr>
          <w:rFonts w:ascii="Arial" w:hAnsi="Arial" w:eastAsia="Arial" w:cs="Arial"/>
          <w:sz w:val="22"/>
          <w:szCs w:val="22"/>
        </w:rPr>
      </w:pPr>
      <w:r>
        <w:rPr>
          <w:rFonts w:ascii="Arial" w:hAnsi="Arial" w:eastAsia="Arial" w:cs="Arial"/>
          <w:sz w:val="22"/>
          <w:szCs w:val="22"/>
          <w:rtl w:val="0"/>
        </w:rPr>
        <w:t xml:space="preserve">O estudo analisou o desempenho de plataformas digitais na venda de veículos de uma concessionária, investigando quais canais apresentam maior taxa de conversão e o perfil sociodemográfico dos clientes por plataforma. Foram utilizados 78 registros extraídos do sistema Tegla, referentes ao período de junho de 2025 a março de 2026, com aplicação de estatística descritiva e testes inferenciais não paramétricos. Após limpeza e engenharia de variáveis, o dataset inferencial resultou em 61 leads, dos quais 73,8% corresponderam a vendas concluídas, distribuídos entre Webmotors, Cliente Antigo, OLX, Mercado Livre e Pátio. As taxas de conversão variaram entre 68,0% e 80,0%, sem diferença estatisticamente significativa entre os canais (Teste Exato de Fisher, p mínimo = 0,5549). O Teste de Kruskal-Wallis identificou diferença significativa para Valor do Veículo (H = 18,6054; p = 0,0009) e Idade do Cliente (H = 12,6527; p = 0,0131), revelando que as plataformas atendem segmentos de preço e perfis etários distintos. O canal “Cliente Antigo”, concentrou veículos de maior valor mediano (R$ 113.850,00) e clientes mais maduros, enquanto OLX e Mercado Livre atraíram predominantemente leads jovens e veículos de menor faixa de preço. Esses resultados indicam que a segmentação por valor e perfil etário oferece subsídios para a personalização das estratégias comerciais e alocação eficiente de investimentos em anúncios digitais.</w:t>
      </w:r>
    </w:p>
    <w:p>
      <w:pPr>
        <w:jc w:val="both"/>
        <w:rPr>
          <w:rFonts w:ascii="Arial" w:hAnsi="Arial" w:eastAsia="Arial" w:cs="Arial"/>
          <w:b/>
          <w:bCs/>
          <w:sz w:val="22"/>
          <w:szCs w:val="22"/>
        </w:rPr>
      </w:pPr>
      <w:r>
        <w:rPr>
          <w:rFonts w:ascii="Arial" w:hAnsi="Arial" w:eastAsia="Arial" w:cs="Arial"/>
          <w:b/>
          <w:bCs/>
          <w:sz w:val="22"/>
          <w:szCs w:val="22"/>
          <w:rtl w:val="0"/>
        </w:rPr>
        <w:t xml:space="preserve">Palavras-chave: </w:t>
      </w:r>
      <w:r>
        <w:rPr>
          <w:rFonts w:ascii="Arial" w:hAnsi="Arial" w:eastAsia="Arial" w:cs="Arial"/>
          <w:sz w:val="22"/>
          <w:szCs w:val="22"/>
          <w:rtl w:val="0"/>
        </w:rPr>
        <w:t xml:space="preserve">plataformas digitais; taxa de conversão; venda de veículos; concessionária; testes não paramétricos.</w:t>
      </w:r>
    </w:p>
    <w:p>
      <w:pPr>
        <w:jc w:val="both"/>
        <w:rPr>
          <w:rFonts w:ascii="Arial" w:hAnsi="Arial" w:eastAsia="Arial" w:cs="Arial"/>
          <w:b/>
          <w:bCs/>
          <w:sz w:val="22"/>
          <w:szCs w:val="22"/>
        </w:rPr>
      </w:pPr>
    </w:p>
    <w:p>
      <w:pPr>
        <w:jc w:val="center"/>
        <w:rPr>
          <w:rFonts w:ascii="Arial" w:hAnsi="Arial" w:eastAsia="Arial" w:cs="Arial"/>
          <w:b/>
          <w:bCs/>
          <w:sz w:val="22"/>
          <w:szCs w:val="22"/>
        </w:rPr>
      </w:pPr>
      <w:r>
        <w:rPr>
          <w:rFonts w:ascii="Arial" w:hAnsi="Arial" w:eastAsia="Arial" w:cs="Arial"/>
          <w:b/>
          <w:bCs/>
          <w:sz w:val="22"/>
          <w:szCs w:val="22"/>
          <w:rtl w:val="0"/>
        </w:rPr>
        <w:t xml:space="preserve">Performance of Digital Platforms in Vehicle Sales: Data Analysis at a Dealership</w:t>
      </w:r>
    </w:p>
    <w:p>
      <w:pPr>
        <w:jc w:val="center"/>
        <w:rPr>
          <w:rFonts w:ascii="Arial" w:hAnsi="Arial" w:eastAsia="Arial" w:cs="Arial"/>
          <w:b/>
          <w:bCs/>
          <w:sz w:val="22"/>
          <w:szCs w:val="22"/>
        </w:rPr>
      </w:pPr>
      <w:r>
        <w:rPr>
          <w:rFonts w:ascii="Arial" w:hAnsi="Arial" w:eastAsia="Arial" w:cs="Arial"/>
          <w:b/>
          <w:bCs/>
          <w:sz w:val="22"/>
          <w:szCs w:val="22"/>
          <w:rtl w:val="0"/>
        </w:rPr>
        <w:t xml:space="preserve">Abstract</w:t>
      </w:r>
    </w:p>
    <w:p>
      <w:pPr>
        <w:rPr>
          <w:rFonts w:ascii="Arial" w:hAnsi="Arial" w:eastAsia="Arial" w:cs="Arial"/>
          <w:sz w:val="22"/>
          <w:szCs w:val="22"/>
        </w:rPr>
      </w:pPr>
    </w:p>
    <w:p>
      <w:pPr>
        <w:rPr>
          <w:rFonts w:ascii="Arial" w:hAnsi="Arial" w:eastAsia="Arial" w:cs="Arial"/>
          <w:b/>
          <w:bCs/>
          <w:sz w:val="22"/>
          <w:szCs w:val="22"/>
        </w:rPr>
      </w:pPr>
      <w:r>
        <w:rPr>
          <w:rFonts w:ascii="Arial" w:hAnsi="Arial" w:eastAsia="Arial" w:cs="Arial"/>
          <w:b/>
          <w:bCs/>
          <w:sz w:val="22"/>
          <w:szCs w:val="22"/>
          <w:rtl w:val="0"/>
        </w:rPr>
        <w:t xml:space="preserve">Executive Summary</w:t>
      </w:r>
    </w:p>
    <w:p>
      <w:pPr>
        <w:rPr>
          <w:rFonts w:ascii="Arial" w:hAnsi="Arial" w:eastAsia="Arial" w:cs="Arial"/>
          <w:sz w:val="22"/>
          <w:szCs w:val="22"/>
        </w:rPr>
      </w:pPr>
    </w:p>
    <w:p>
      <w:pPr>
        <w:ind w:firstLine="708"/>
        <w:jc w:val="both"/>
        <w:rPr>
          <w:rFonts w:ascii="Arial" w:hAnsi="Arial" w:eastAsia="Arial" w:cs="Arial"/>
          <w:sz w:val="22"/>
          <w:szCs w:val="22"/>
        </w:rPr>
      </w:pPr>
      <w:r>
        <w:rPr>
          <w:rFonts w:ascii="Arial" w:hAnsi="Arial" w:eastAsia="Arial" w:cs="Arial"/>
          <w:sz w:val="22"/>
          <w:szCs w:val="22"/>
          <w:rtl w:val="0"/>
        </w:rPr>
        <w:t xml:space="preserve">This study analyzed the performance of digital platforms in vehicle sales at a dealership, investigating which channels present the highest conversion rates and the sociodemographic profile of customers per platform. A total of 78 records were extracted from the Tegla management system, covering June 2025 to March 2026, using descriptive statistics and non-parametric inferential tests. After data cleaning and feature engineering, the inferential dataset comprised 61 leads, of which 73.8% corresponded to completed sales, distributed across Webmotors, Returning Customer, OLX, Mercado Livre, and Lot. Conversion rates ranged from 68.0% to 80.0%, with no statistically significant difference between channels (Fisher's Exact Test, minimum p = 0.5549). The Kruskal-Wallis test identified significant differences for Vehicle Price (H = 18.6054; p = 0.0009) and Customer Age (H = 12.6527; p = 0.0131), revealing that platforms serve distinct price segments and age profiles. The Returning Customer channel concentrated higher-value vehicles (median R$ 113,850.00) and older clients, while OLX and Mercado Livre predominantly attracted younger leads and lower-priced vehicles. These findings indicate that segmentation by vehicle value and customer age profile provides meaningful guidance for personalizing commercial strategies and efficiently allocating digital advertising investments.</w:t>
      </w:r>
    </w:p>
    <w:p>
      <w:pPr>
        <w:spacing w:line="360" w:lineRule="auto"/>
        <w:rPr>
          <w:rFonts w:ascii="Arial" w:hAnsi="Arial" w:eastAsia="Arial" w:cs="Arial"/>
          <w:b/>
          <w:bCs/>
          <w:sz w:val="22"/>
          <w:szCs w:val="22"/>
        </w:rPr>
      </w:pPr>
      <w:r>
        <w:rPr>
          <w:rFonts w:ascii="Arial" w:hAnsi="Arial" w:eastAsia="Arial" w:cs="Arial"/>
          <w:b/>
          <w:bCs/>
          <w:sz w:val="22"/>
          <w:szCs w:val="22"/>
          <w:rtl w:val="0"/>
        </w:rPr>
        <w:t xml:space="preserve">Keywords: </w:t>
      </w:r>
      <w:r>
        <w:rPr>
          <w:rFonts w:ascii="Arial" w:hAnsi="Arial" w:eastAsia="Arial" w:cs="Arial"/>
          <w:sz w:val="22"/>
          <w:szCs w:val="22"/>
          <w:rtl w:val="0"/>
        </w:rPr>
        <w:t xml:space="preserve">digital platforms; conversion rate; vehicle sales; dealership; non-parametric tests.</w:t>
      </w:r>
    </w:p>
    <w:p>
      <w:pPr>
        <w:spacing w:line="360" w:lineRule="auto"/>
        <w:rPr>
          <w:rFonts w:ascii="Arial" w:hAnsi="Arial" w:eastAsia="Arial" w:cs="Arial"/>
          <w:b/>
          <w:bCs/>
          <w:sz w:val="22"/>
          <w:szCs w:val="22"/>
        </w:rPr>
      </w:pPr>
    </w:p>
    <w:p>
      <w:pPr>
        <w:spacing w:line="360" w:lineRule="auto"/>
        <w:rPr>
          <w:rFonts w:ascii="Arial" w:hAnsi="Arial" w:eastAsia="Arial" w:cs="Arial"/>
          <w:b/>
          <w:bCs/>
          <w:sz w:val="22"/>
          <w:szCs w:val="22"/>
        </w:rPr>
      </w:pPr>
      <w:r>
        <w:rPr>
          <w:rFonts w:ascii="Arial" w:hAnsi="Arial" w:eastAsia="Arial" w:cs="Arial"/>
          <w:b/>
          <w:bCs/>
          <w:sz w:val="22"/>
          <w:szCs w:val="22"/>
          <w:rtl w:val="0"/>
        </w:rPr>
        <w:t xml:space="preserve">Introdução</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708"/>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Com o avanço das tecnologias digitais e o crescimento das plataformas de compra e venda online, o comportamento do consumidor mudou profundamente, tornando o processo de decisão de compra cada vez mais digital. Mais de 79% dos consumidores já iniciam sua jornada pela internet antes de visitar qualquer estabelecimento físico, e no setor automotivo esse fenômeno é ainda mais pronunciado: potenciais compradores pesquisam modelos, preços e anúncios em marketplaces como Webmotors, OLX e Mercado Livre antes de visitar uma concessionária, fazendo com que esses canais se tornem pontos de contato essenciais para a captação de clientes (PRICEWATERHOUSECOOPERS, 2023).</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708"/>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O setor automotivo brasileiro, que movimenta bilhões de reais anualmente, opera, portanto, em um cenário de múltiplos canais simultâneos, plataformas digitais, redes sociais e a base histórica de clientes fidelizados, cada um com potencial de conversão distinto. Apesar disso, muitas empresas ainda investem em anúncios digitais sem análise estruturada sobre quais plataformas realmente geram melhores resultados em volume de vendas, tempo de comercialização e retorno sobre o investimento (ALMESTARIHI et al., 2024). Agrava esse cenário o grande volume de dados gerados pelas diferentes plataformas, que frequentemente ficam fragmentados e não integrados, dificultando a mensuração do desempenho de cada canal.</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360" w:lineRule="auto"/>
        <w:ind w:left="0" w:right="0" w:firstLine="708"/>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Nesse contexto, a ausência de embasamento analítico leva à alocação intuitiva de recursos, gerando dois riscos principais: superinvestimento em plataformas com baixa taxa de conversão e subaproveitamento de canais com alto potencial. A ausência de um perfil de cliente por plataforma também impede a personalização das abordagens comerciais, reduzindo a eficiência da equipe de vendas. Torna-se, assim, essencial identificar padrões comportamentais dos clientes em cada canal e avaliar o desempenho das plataformas por meio da análise de dados, em linha com a cultura data-driven, que orienta a tomada de decisão a partir de evidências quantitativas. Diante desse cenário, coloca-se a seguinte questão de pesquisa: quais plataformas digitais apresentam maior taxa de conversão na venda de veículos nessa concessionária, e existe diferença estatisticamente significativa no desempenho entre elas?</w:t>
      </w:r>
    </w:p>
    <w:p>
      <w:pPr>
        <w:spacing w:line="360" w:lineRule="auto"/>
        <w:ind w:firstLine="708"/>
        <w:jc w:val="both"/>
        <w:rPr>
          <w:rFonts w:ascii="Arial" w:hAnsi="Arial" w:eastAsia="Arial" w:cs="Arial"/>
          <w:color w:val="FF0000"/>
          <w:sz w:val="22"/>
          <w:szCs w:val="22"/>
        </w:rPr>
      </w:pPr>
      <w:r>
        <w:rPr>
          <w:rFonts w:ascii="Arial" w:hAnsi="Arial" w:eastAsia="Arial" w:cs="Arial"/>
          <w:sz w:val="22"/>
          <w:szCs w:val="22"/>
          <w:rtl w:val="0"/>
        </w:rPr>
        <w:t xml:space="preserve">Este estudo tem como objetivo analisar dados de leads e vendas de uma concessionária de veículos, identificando quais plataformas digitais apresentam maior taxa de conversão em vendas, qual o perfil sociodemográfico e comportamental dos clientes associado a cada canal, e quais variáveis estatísticas discriminam o desempenho entre as plataformas. A análise será realizada por meio de estatística descritiva e testes inferenciais não paramétricos, com base em 55 registros de leads extraídos do sistema de gestão Tegla, referentes ao período de junho de 2025 a março de 2026.</w:t>
      </w:r>
    </w:p>
    <w:p>
      <w:pPr>
        <w:spacing w:line="360" w:lineRule="auto"/>
        <w:rPr>
          <w:rFonts w:ascii="Arial" w:hAnsi="Arial" w:eastAsia="Arial" w:cs="Arial"/>
          <w:b/>
          <w:bCs/>
          <w:sz w:val="22"/>
          <w:szCs w:val="22"/>
        </w:rPr>
      </w:pPr>
    </w:p>
    <w:p>
      <w:pPr>
        <w:spacing w:line="360" w:lineRule="auto"/>
        <w:rPr>
          <w:rFonts w:ascii="Arial" w:hAnsi="Arial" w:eastAsia="Arial" w:cs="Arial"/>
          <w:b/>
          <w:bCs/>
          <w:sz w:val="22"/>
          <w:szCs w:val="22"/>
        </w:rPr>
      </w:pPr>
      <w:r>
        <w:rPr>
          <w:rFonts w:ascii="Arial" w:hAnsi="Arial" w:eastAsia="Arial" w:cs="Arial"/>
          <w:b/>
          <w:bCs/>
          <w:sz w:val="22"/>
          <w:szCs w:val="22"/>
          <w:rtl w:val="0"/>
        </w:rPr>
        <w:t xml:space="preserve">Metodologia ou Material e Métodos</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FF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 </w:t>
      </w:r>
      <w:r>
        <w:rPr>
          <w:rFonts w:ascii="Times New Roman" w:hAnsi="Times New Roman" w:eastAsia="Times New Roman" w:cs="Times New Roman"/>
          <w:b w:val="0"/>
          <w:bCs w:val="0"/>
          <w:i w:val="0"/>
          <w:iCs w:val="0"/>
          <w:smallCaps w:val="0"/>
          <w:strike w:val="0"/>
          <w:color w:val="000000"/>
          <w:sz w:val="20"/>
          <w:szCs w:val="20"/>
          <w:u w:val="none"/>
          <w:vertAlign w:val="baseline"/>
          <w:rtl w:val="0"/>
        </w:rPr>
        <w:tab/>
      </w:r>
      <w:r>
        <w:rPr>
          <w:rFonts w:ascii="Arial" w:hAnsi="Arial" w:eastAsia="Arial" w:cs="Arial"/>
          <w:b w:val="0"/>
          <w:bCs w:val="0"/>
          <w:i w:val="0"/>
          <w:iCs w:val="0"/>
          <w:smallCaps w:val="0"/>
          <w:strike w:val="0"/>
          <w:color w:val="000000"/>
          <w:sz w:val="22"/>
          <w:szCs w:val="22"/>
          <w:u w:val="none"/>
          <w:vertAlign w:val="baseline"/>
          <w:rtl w:val="0"/>
        </w:rPr>
        <w:t xml:space="preserve">A pesquisa foi de caráter aplicado, com abordagem quantitativa e perfil descritivo e analítico. Segundo Antônio Carlos Gil (2008), a pesquisa de perfil descritivo e analítico tem como objetivo descrever as características de determinada população ou fenômeno, bem como estabelecer relações entre variáveis. A abordagem quantitativa por sua vez implica na utilização de dados numéricos e métodos estatísticos para análise dos dados e identificação de padrões entre as variáveis estudadas.</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708"/>
        <w:jc w:val="both"/>
        <w:rPr>
          <w:rFonts w:ascii="Arial" w:hAnsi="Arial" w:eastAsia="Arial" w:cs="Arial"/>
          <w:b w:val="0"/>
          <w:bCs w:val="0"/>
          <w:i w:val="0"/>
          <w:iCs w:val="0"/>
          <w:smallCaps w:val="0"/>
          <w:strike w:val="0"/>
          <w:color w:val="FF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O estudo utilizou dados reais de uma concessionária de veículos, incluindo informações sobre clientes, veículos, plataformas de anúncio e vendas realizadas. Ao todo foram 15 variáveis, todas relacionadas ao período entre 10/06/2025 e 05/06/2026, Tabela 1</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Tabela 1. Dicionário de variáveis.</w:t>
      </w:r>
    </w:p>
    <w:tbl>
      <w:tblPr>
        <w:tblStyle w:val="Table1"/>
        <w:tblW w:w="90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1"/>
        <w:gridCol w:w="3019"/>
        <w:gridCol w:w="3020"/>
      </w:tblGrid>
      <w:tr>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bCs/>
                <w:i w:val="0"/>
                <w:iCs w:val="0"/>
                <w:smallCaps w:val="0"/>
                <w:strike w:val="0"/>
                <w:color w:val="000000"/>
                <w:sz w:val="22"/>
                <w:szCs w:val="22"/>
                <w:u w:val="none"/>
                <w:vertAlign w:val="baseline"/>
              </w:rPr>
            </w:pPr>
            <w:r>
              <w:rPr>
                <w:rFonts w:ascii="Arial" w:hAnsi="Arial" w:eastAsia="Arial" w:cs="Arial"/>
                <w:b/>
                <w:bCs/>
                <w:i w:val="0"/>
                <w:iCs w:val="0"/>
                <w:smallCaps w:val="0"/>
                <w:strike w:val="0"/>
                <w:color w:val="000000"/>
                <w:sz w:val="22"/>
                <w:szCs w:val="22"/>
                <w:u w:val="none"/>
                <w:vertAlign w:val="baseline"/>
                <w:rtl w:val="0"/>
              </w:rPr>
              <w:t xml:space="preserve">Variáveis</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bCs/>
                <w:i w:val="0"/>
                <w:iCs w:val="0"/>
                <w:smallCaps w:val="0"/>
                <w:strike w:val="0"/>
                <w:color w:val="000000"/>
                <w:sz w:val="22"/>
                <w:szCs w:val="22"/>
                <w:u w:val="none"/>
                <w:vertAlign w:val="baseline"/>
              </w:rPr>
            </w:pPr>
            <w:r>
              <w:rPr>
                <w:rFonts w:ascii="Arial" w:hAnsi="Arial" w:eastAsia="Arial" w:cs="Arial"/>
                <w:b/>
                <w:bCs/>
                <w:i w:val="0"/>
                <w:iCs w:val="0"/>
                <w:smallCaps w:val="0"/>
                <w:strike w:val="0"/>
                <w:color w:val="000000"/>
                <w:sz w:val="22"/>
                <w:szCs w:val="22"/>
                <w:u w:val="none"/>
                <w:vertAlign w:val="baseline"/>
                <w:rtl w:val="0"/>
              </w:rPr>
              <w:t xml:space="preserve">Tipo</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bCs/>
                <w:i w:val="0"/>
                <w:iCs w:val="0"/>
                <w:smallCaps w:val="0"/>
                <w:strike w:val="0"/>
                <w:color w:val="000000"/>
                <w:sz w:val="22"/>
                <w:szCs w:val="22"/>
                <w:u w:val="none"/>
                <w:vertAlign w:val="baseline"/>
              </w:rPr>
            </w:pPr>
            <w:r>
              <w:rPr>
                <w:rFonts w:ascii="Arial" w:hAnsi="Arial" w:eastAsia="Arial" w:cs="Arial"/>
                <w:b/>
                <w:bCs/>
                <w:i w:val="0"/>
                <w:iCs w:val="0"/>
                <w:smallCaps w:val="0"/>
                <w:strike w:val="0"/>
                <w:color w:val="000000"/>
                <w:sz w:val="22"/>
                <w:szCs w:val="22"/>
                <w:u w:val="none"/>
                <w:vertAlign w:val="baseline"/>
                <w:rtl w:val="0"/>
              </w:rPr>
              <w:t xml:space="preserve">Descrição</w:t>
            </w:r>
          </w:p>
        </w:tc>
      </w:tr>
      <w:tr>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Data Registro</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Data</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Inicio da negociação</w:t>
            </w:r>
          </w:p>
        </w:tc>
      </w:tr>
      <w:tr>
        <w:trPr>
          <w:trHeight w:val="690" w:hRule="atLeast"/>
        </w:trPr>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Cidade</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Categórico</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Cidade de residência do cliente</w:t>
            </w:r>
          </w:p>
        </w:tc>
      </w:tr>
      <w:tr>
        <w:trPr>
          <w:trHeight w:val="770" w:hRule="atLeast"/>
        </w:trPr>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Idade</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Numérica</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Idade do cliente no momento da compra</w:t>
            </w:r>
          </w:p>
        </w:tc>
      </w:tr>
      <w:tr>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Veículo de Interesse</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Categórica (Nominal)</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Categoria do Veículo</w:t>
            </w:r>
          </w:p>
        </w:tc>
      </w:tr>
      <w:tr>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Valor do Veículo</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Numérica (Contínua)</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Valor de venda do veículo em reais</w:t>
            </w:r>
          </w:p>
        </w:tc>
      </w:tr>
      <w:tr>
        <w:trPr>
          <w:trHeight w:val="677" w:hRule="atLeast"/>
        </w:trPr>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Entrada</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Numérica (Contínua)</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Utilizado como Indicador do poder aquisitivo</w:t>
            </w:r>
          </w:p>
        </w:tc>
      </w:tr>
      <w:tr>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Financiamento</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Binária (Dicotômica)</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Indicando a necessidade de crédito</w:t>
            </w:r>
          </w:p>
        </w:tc>
      </w:tr>
      <w:tr>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Plataforma</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Categórico</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Plataforma digital onde o veículo foi anunciado</w:t>
            </w:r>
          </w:p>
        </w:tc>
      </w:tr>
      <w:tr>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Quantidade de Contatos</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Numérica</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Número de contatos realizados até a decisão de compra</w:t>
            </w:r>
          </w:p>
        </w:tc>
      </w:tr>
      <w:tr>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Status do Veículo</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Categórico</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Situação do veículo no sistema da concessionária</w:t>
            </w:r>
          </w:p>
        </w:tc>
      </w:tr>
      <w:tr>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Status do Pedido</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Categórico</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Situação do pedido de compra do veículo</w:t>
            </w:r>
          </w:p>
        </w:tc>
      </w:tr>
      <w:tr>
        <w:trPr>
          <w:trHeight w:val="495" w:hRule="atLeast"/>
        </w:trPr>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Comprou</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Binária</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Venda ou não venda</w:t>
            </w:r>
          </w:p>
        </w:tc>
      </w:tr>
      <w:tr>
        <w:trPr>
          <w:trHeight w:val="697" w:hRule="atLeast"/>
        </w:trPr>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Data Compra</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Data</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Data que o veículo foi vendido.</w:t>
            </w:r>
          </w:p>
        </w:tc>
      </w:tr>
      <w:tr>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Valor de Anúncio</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Numérica</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Custo por anúncio.</w:t>
            </w:r>
          </w:p>
        </w:tc>
      </w:tr>
      <w:tr>
        <w:trPr>
          <w:trHeight w:val="870" w:hRule="atLeast"/>
        </w:trPr>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Data do Anúncio</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Data</w:t>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Data em que o veículo foi publicado nas plataformas.</w:t>
            </w:r>
          </w:p>
        </w:tc>
      </w:tr>
    </w:tbl>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Fonte: Elaboração própria</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708"/>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Inicialmente, foi realizada a coleta e extração dos dados a partir do sistema Tegla, que é o sistema de gestão utilizado pela concessionária, contendo todas as informações referentes </w:t>
      </w:r>
      <w:r>
        <w:rPr>
          <w:rFonts w:ascii="Arial" w:hAnsi="Arial" w:eastAsia="Arial" w:cs="Arial"/>
          <w:sz w:val="22"/>
          <w:szCs w:val="22"/>
          <w:rtl w:val="0"/>
        </w:rPr>
        <w:t xml:space="preserve">às vendas</w:t>
      </w:r>
      <w:r>
        <w:rPr>
          <w:rFonts w:ascii="Arial" w:hAnsi="Arial" w:eastAsia="Arial" w:cs="Arial"/>
          <w:b w:val="0"/>
          <w:bCs w:val="0"/>
          <w:i w:val="0"/>
          <w:iCs w:val="0"/>
          <w:smallCaps w:val="0"/>
          <w:strike w:val="0"/>
          <w:color w:val="000000"/>
          <w:sz w:val="22"/>
          <w:szCs w:val="22"/>
          <w:u w:val="none"/>
          <w:vertAlign w:val="baseline"/>
          <w:rtl w:val="0"/>
        </w:rPr>
        <w:t xml:space="preserve">, leads de redes sociais e plataformas de marketplaces. A base de dados extraída desse sistema precisou de tratamento, devido ao preenchimento nem sempre ser feito corretamente pelo colaborador, assim como falta de encerramento de vendas. Então foi </w:t>
      </w:r>
      <w:r>
        <w:rPr>
          <w:rFonts w:ascii="Arial" w:hAnsi="Arial" w:eastAsia="Arial" w:cs="Arial"/>
          <w:sz w:val="22"/>
          <w:szCs w:val="22"/>
          <w:rtl w:val="0"/>
        </w:rPr>
        <w:t xml:space="preserve">necessário</w:t>
      </w:r>
      <w:r>
        <w:rPr>
          <w:rFonts w:ascii="Arial" w:hAnsi="Arial" w:eastAsia="Arial" w:cs="Arial"/>
          <w:b w:val="0"/>
          <w:bCs w:val="0"/>
          <w:i w:val="0"/>
          <w:iCs w:val="0"/>
          <w:smallCaps w:val="0"/>
          <w:strike w:val="0"/>
          <w:color w:val="000000"/>
          <w:sz w:val="22"/>
          <w:szCs w:val="22"/>
          <w:u w:val="none"/>
          <w:vertAlign w:val="baseline"/>
          <w:rtl w:val="0"/>
        </w:rPr>
        <w:t xml:space="preserve"> realizar a limpeza e tratamento dos dados, foi realizada a verificação de valores ausentes (missing values), registros duplicados e inconsistência nos dados. Para valores ausentes, foi feita a análise de quantidade de dados faltantes, sendo realizada a exclusão dos registros quando a ausência comprometer a análise ou a substituição por valores médios ou frequentes. Registros duplicados foram identificados por meio de identificador do cliente (ID Lead), nome, veículo e datas, sendo mantido apenas um registro válido. Também foi realizada a padronização de formatos de datas, valores monetários e categorias, por meio de técnicas de Data Cleaning, garantindo a consistência da base de dados para as análises posteriores.</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708"/>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 Na etapa de engenharia de variáveis, foram criadas variáveis a partir dos dados existentes, com o objetivo de gerar indicadores para a análise de desempenho. Além da estatística descritiva, serão aplicadas técnicas de análise estatística descritiva e inferencial adequadas ao volume de dados disponível (n = 61). Dado que o tamanho amostral inviabiliza métodos de clusterização como o K-Means, que requerem ao menos algumas centenas de observações por grupo para produzir agrupamentos estáveis e interpretáveis (HAN; KAMBER; PEI, 2011), a comparação entre plataformas será conduzida por meio de testes não paramétricos. Essa escolha é metodologicamente justificada pelo tamanho reduzido da amostra, pela ausência de garantia de normalidade das distribuições e pelo nível de mensuração nominal e ordinal das variáveis principais, condições nas quais os testes não paramétricos apresentam maior robustez em relação a seus equivalentes paramétricos (HOLLANDER; WOLFE; CHICKEN, 2013; CORDER; FOREMAN, 2014; FIELD, 2018). Entre as variáveis criadas, destaca-se o tempo de venda do veículo, cálculo como a diferença entre a data do anúncio e a data de venda, além de métricas como ticket médio, número de vendas por plataforma e tempo médio de venda e qual o perfil de cliente em cada plataforma.  </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140" w:line="360" w:lineRule="auto"/>
        <w:ind w:left="0" w:right="0" w:firstLine="708"/>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A estratégia analítica foi organizada em quatro etapas. Na primeira, foi realizada a padronização da variável Plataforma, unificando grafias divergentes (ex.: “OLX” e “olx”) e categorizando os registros sem plataforma identificada. Na segunda etapa, a análise descritiva por plataforma </w:t>
      </w:r>
      <w:r>
        <w:rPr>
          <w:rFonts w:ascii="Arial" w:hAnsi="Arial" w:eastAsia="Arial" w:cs="Arial"/>
          <w:sz w:val="22"/>
          <w:szCs w:val="22"/>
          <w:rtl w:val="0"/>
        </w:rPr>
        <w:t xml:space="preserve">calculou a taxa</w:t>
      </w:r>
      <w:r>
        <w:rPr>
          <w:rFonts w:ascii="Arial" w:hAnsi="Arial" w:eastAsia="Arial" w:cs="Arial"/>
          <w:b w:val="0"/>
          <w:bCs w:val="0"/>
          <w:i w:val="0"/>
          <w:iCs w:val="0"/>
          <w:smallCaps w:val="0"/>
          <w:strike w:val="0"/>
          <w:color w:val="000000"/>
          <w:sz w:val="22"/>
          <w:szCs w:val="22"/>
          <w:u w:val="none"/>
          <w:vertAlign w:val="baseline"/>
          <w:rtl w:val="0"/>
        </w:rPr>
        <w:t xml:space="preserve"> de conversão (proporção de leads que resultaram em venda), ticket médio, número médio de contatos e perfil do cliente (faixa etária e cidade). Na terceira etapa, foi aplicado o Teste Qui-Quadrado de Pearson (χ²) para verificar se existe associação estatística significativa entre a plataforma de origem do lead e a conversão em venda (variável “Comprou”) (FIELD, 2018). Quando as frequências esperadas em alguma célula forem inferiores a 5, condição que compromete a aproximação assintótica do χ², foi adotado o Teste Exato de Fisher como alternativa (FIELD, 2018). Na quarta etapa, o teste de Kruskal-Wallis foi aplicado para comparar as distribuições de variáveis numéricas (Valor Veículo, Quantidade de Contatos e Idade) entre as plataformas; trata-se de uma alternativa não paramétrica à ANOVA de um fator, baseada em postos, que não exige normalidade da distribuição dos dados (KRUSKAL; WALLIS, 1952). Todos os testes foram realizados com nível de significância α = 0,05, utilizando a linguagem Python (versão 3.10) com as bibliotecas Pandas, SciPy e Pingouin (VALLAT, 2019).Essa análise permitirá entender quais canais apresentam maior eficiência na conversão de anúncios em vendas. </w:t>
      </w:r>
    </w:p>
    <w:p>
      <w:pPr>
        <w:rPr>
          <w:rFonts w:ascii="Arial" w:hAnsi="Arial" w:eastAsia="Arial" w:cs="Arial"/>
          <w:b/>
          <w:bCs/>
          <w:sz w:val="22"/>
          <w:szCs w:val="22"/>
        </w:rPr>
      </w:pPr>
    </w:p>
    <w:p>
      <w:pPr>
        <w:spacing w:line="360" w:lineRule="auto"/>
        <w:rPr>
          <w:rFonts w:ascii="Arial" w:hAnsi="Arial" w:eastAsia="Arial" w:cs="Arial"/>
          <w:b/>
          <w:bCs/>
          <w:sz w:val="22"/>
          <w:szCs w:val="22"/>
        </w:rPr>
      </w:pPr>
      <w:r>
        <w:rPr>
          <w:rFonts w:ascii="Arial" w:hAnsi="Arial" w:eastAsia="Arial" w:cs="Arial"/>
          <w:b/>
          <w:bCs/>
          <w:sz w:val="22"/>
          <w:szCs w:val="22"/>
          <w:rtl w:val="0"/>
        </w:rPr>
        <w:t xml:space="preserve">Resultados e Discussão</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360" w:lineRule="auto"/>
        <w:ind w:left="0" w:right="0" w:firstLine="709"/>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A base de dados compreendeu 78 registros e 15 variáveis, referentes ao período de janeiro a junho de 2026. Após limpeza, padronização e engenharia de variáveis, a base passou a contar com 18 colunas. A variável Plataforma apresentou inconsistência de grafia entre registros de mesma origem, corrigida pela padronização antes das análises, resultando em seis categorias: Webmotors (n = 31), Cliente Antigo (n = 18), OLX (n = 15), Mercado Livre (n = 8), Pátio (n = 5) e Não Identificado (n = 1). A categoria Cliente Antigo agrupa leads provenientes de clientes que realizaram ao menos uma compra anterior na concessionária, caracterizando um canal de recompra por relacionamento. Dos 78 registros, 17 apresentavam desfecho indefinido (leads em negociação) e foram excluídos dos testes inferenciais, resultando em um dataset inferencial de 61 leads, dos quais 45 corresponderam a vendas concluídas (73,8%) e 16 a negociações não convertidas (26,2%).</w:t>
      </w:r>
    </w:p>
    <w:p>
      <w:pPr>
        <w:rPr>
          <w:rFonts w:ascii="Arial" w:hAnsi="Arial" w:eastAsia="Arial" w:cs="Arial"/>
          <w:sz w:val="22"/>
          <w:szCs w:val="22"/>
        </w:rPr>
      </w:pPr>
      <w:r>
        <w:br w:type="page"/>
      </w:r>
    </w:p>
    <w:p>
      <w:pPr>
        <w:spacing w:line="360" w:lineRule="auto"/>
        <w:ind w:firstLine="709"/>
        <w:jc w:val="both"/>
        <w:rPr>
          <w:rFonts w:ascii="Arial" w:hAnsi="Arial" w:eastAsia="Arial" w:cs="Arial"/>
          <w:sz w:val="22"/>
          <w:szCs w:val="22"/>
        </w:rPr>
      </w:pPr>
    </w:p>
    <w:p>
      <w:pPr>
        <w:jc w:val="both"/>
        <w:rPr>
          <w:rFonts w:ascii="Arial" w:hAnsi="Arial" w:eastAsia="Arial" w:cs="Arial"/>
          <w:sz w:val="22"/>
          <w:szCs w:val="22"/>
        </w:rPr>
      </w:pPr>
      <w:r>
        <w:rPr>
          <w:rFonts w:ascii="Arial" w:hAnsi="Arial" w:eastAsia="Arial" w:cs="Arial"/>
          <w:sz w:val="22"/>
          <w:szCs w:val="22"/>
          <w:rtl w:val="0"/>
        </w:rPr>
        <w:t xml:space="preserve">Tabela 2. Etapas de preparação da base de dados.</w:t>
      </w:r>
    </w:p>
    <w:tbl>
      <w:tblPr>
        <w:tblStyle w:val="Table2"/>
        <w:tblW w:w="87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5"/>
        <w:gridCol w:w="1700"/>
        <w:gridCol w:w="3544"/>
      </w:tblGrid>
      <w:tr>
        <w:trPr>
          <w:trHeight w:val="375"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Etapa</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Registros</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Observação</w:t>
            </w:r>
          </w:p>
        </w:tc>
      </w:tr>
      <w:tr>
        <w:trPr>
          <w:trHeight w:val="375"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Base bruta extraída do Tegla</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78</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15 variáveis originais</w:t>
            </w:r>
          </w:p>
        </w:tc>
      </w:tr>
      <w:tr>
        <w:trPr>
          <w:trHeight w:val="435"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Limpeza e padronização</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78</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18 variáveis (3 derivadas criadas)</w:t>
            </w:r>
          </w:p>
        </w:tc>
      </w:tr>
      <w:tr>
        <w:trPr>
          <w:trHeight w:val="300"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Unificação de grafias (OLX / olx)</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2 registros reagrupados em uma única categoria</w:t>
            </w:r>
          </w:p>
        </w:tc>
      </w:tr>
      <w:tr>
        <w:trPr>
          <w:trHeight w:val="525"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Excluídos: desfecho indefinido</w:t>
            </w:r>
          </w:p>
        </w:tc>
        <w:tc>
          <w:tcPr>
            <w:tcW w:w="0" w:type="auto"/>
          </w:tcPr>
          <w:p>
            <w:pPr>
              <w:jc w:val="center"/>
              <w:rPr>
                <w:rFonts w:ascii="Arial" w:hAnsi="Arial" w:eastAsia="Arial" w:cs="Arial"/>
                <w:sz w:val="22"/>
                <w:szCs w:val="22"/>
              </w:rPr>
            </w:pPr>
            <w:sdt>
              <w:sdtPr>
                <w:tag w:val="goog_rdk_0"/>
                <w:id w:val="-1645061002"/>
              </w:sdtPr>
              <w:sdtContent>
                <w:r>
                  <w:rPr>
                    <w:rFonts w:ascii="Arial Unicode MS" w:hAnsi="Arial Unicode MS" w:eastAsia="Arial Unicode MS" w:cs="Arial Unicode MS"/>
                    <w:sz w:val="22"/>
                    <w:szCs w:val="22"/>
                    <w:rtl w:val="0"/>
                  </w:rPr>
                  <w:t xml:space="preserve">−17</w:t>
                </w:r>
              </w:sdtContent>
            </w:sdt>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Leads ainda em negociação</w:t>
            </w:r>
          </w:p>
        </w:tc>
      </w:tr>
      <w:tr>
        <w:trPr>
          <w:trHeight w:val="300"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Dataset inferencial final</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61</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45 vendas concluídas (73,8%) + 16 não convertidas (26,2%)</w:t>
            </w:r>
          </w:p>
        </w:tc>
      </w:tr>
    </w:tbl>
    <w:p>
      <w:pPr>
        <w:spacing w:line="360" w:lineRule="auto"/>
        <w:jc w:val="both"/>
        <w:rPr>
          <w:rFonts w:ascii="Arial" w:hAnsi="Arial" w:eastAsia="Arial" w:cs="Arial"/>
          <w:sz w:val="22"/>
          <w:szCs w:val="22"/>
        </w:rPr>
      </w:pPr>
      <w:r>
        <w:rPr>
          <w:rFonts w:ascii="Arial" w:hAnsi="Arial" w:eastAsia="Arial" w:cs="Arial"/>
          <w:sz w:val="22"/>
          <w:szCs w:val="22"/>
          <w:rtl w:val="0"/>
        </w:rPr>
        <w:t xml:space="preserve">Fonte: Elaboração própria.</w:t>
      </w:r>
    </w:p>
    <w:p>
      <w:pPr>
        <w:spacing w:before="240" w:after="120" w:line="360" w:lineRule="auto"/>
        <w:jc w:val="both"/>
        <w:rPr>
          <w:rFonts w:ascii="Arial" w:hAnsi="Arial" w:eastAsia="Arial" w:cs="Arial"/>
          <w:b/>
          <w:bCs/>
          <w:sz w:val="22"/>
          <w:szCs w:val="22"/>
        </w:rPr>
      </w:pPr>
      <w:r>
        <w:rPr>
          <w:rFonts w:ascii="Arial" w:hAnsi="Arial" w:eastAsia="Arial" w:cs="Arial"/>
          <w:b/>
          <w:bCs/>
          <w:sz w:val="22"/>
          <w:szCs w:val="22"/>
          <w:rtl w:val="0"/>
        </w:rPr>
        <w:tab/>
        <w:t xml:space="preserve">Análise descritiva por plataforma</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360" w:lineRule="auto"/>
        <w:ind w:left="0" w:right="0" w:firstLine="709"/>
        <w:jc w:val="both"/>
        <w:rPr>
          <w:rFonts w:ascii="Arial" w:hAnsi="Arial" w:eastAsia="Arial" w:cs="Arial"/>
          <w:sz w:val="22"/>
          <w:szCs w:val="22"/>
        </w:rPr>
      </w:pPr>
      <w:r>
        <w:rPr>
          <w:rFonts w:ascii="Arial" w:hAnsi="Arial" w:eastAsia="Arial" w:cs="Arial"/>
          <w:sz w:val="22"/>
          <w:szCs w:val="22"/>
          <w:rtl w:val="0"/>
        </w:rPr>
        <w:t xml:space="preserve">A Tabela 3 apresenta o volume de leads e as taxas de conversão por plataforma digital. As taxas variaram entre 68,0% (Webmotors) e 80,0% (Cliente Antigo e Pátio), indicando um desempenho comercial elevado de forma geral, independentemente da origem do lead. A categoria "Não Identificado" registrou taxa de 100,0%, porém foi desconsiderada nas comparações por ser composta por apenas um lead.</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360" w:lineRule="auto"/>
        <w:ind w:left="0" w:right="0" w:firstLine="709"/>
        <w:jc w:val="both"/>
        <w:rPr>
          <w:rFonts w:ascii="Arial" w:hAnsi="Arial" w:eastAsia="Arial" w:cs="Arial"/>
          <w:sz w:val="22"/>
          <w:szCs w:val="22"/>
        </w:rPr>
      </w:pPr>
      <w:r>
        <w:rPr>
          <w:rFonts w:ascii="Arial" w:hAnsi="Arial" w:eastAsia="Arial" w:cs="Arial"/>
          <w:sz w:val="22"/>
          <w:szCs w:val="22"/>
          <w:rtl w:val="0"/>
        </w:rPr>
        <w:t xml:space="preserve">Em relação ao volume absoluto, a Webmotors foi o canal de maior captação (n = 25), mas registrou a menor taxa de conversão entre os canais digitais rastreados (68,0%), o que pode indicar menor compatibilidade entre o perfil do público captado e as características da oferta. Canais como Cliente Antigo (n = 15) e Pátio (n = 5) apresentaram as maiores taxas de conversão (80,0%), sugerindo que a qualidade do lead e o histórico de relacionamento têm papel importante no fechamento das vendas. O Mercado Livre (n = 4) e a OLX (n = 11) ficaram em posições intermediárias, com taxas de 75,0% e 72,7%, respectivamente.</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360" w:lineRule="auto"/>
        <w:ind w:left="0" w:right="0" w:firstLine="709"/>
        <w:jc w:val="both"/>
        <w:rPr>
          <w:rFonts w:ascii="Arial" w:hAnsi="Arial" w:eastAsia="Arial" w:cs="Arial"/>
          <w:b w:val="0"/>
          <w:bCs w:val="0"/>
          <w:i w:val="0"/>
          <w:iCs w:val="0"/>
          <w:smallCaps w:val="0"/>
          <w:strike w:val="0"/>
          <w:color w:val="000000"/>
          <w:sz w:val="22"/>
          <w:szCs w:val="22"/>
          <w:u w:val="none"/>
          <w:vertAlign w:val="baseline"/>
        </w:rPr>
      </w:pPr>
    </w:p>
    <w:p>
      <w:pPr>
        <w:jc w:val="both"/>
        <w:rPr>
          <w:rFonts w:ascii="Arial" w:hAnsi="Arial" w:eastAsia="Arial" w:cs="Arial"/>
          <w:sz w:val="22"/>
          <w:szCs w:val="22"/>
        </w:rPr>
      </w:pPr>
      <w:r>
        <w:rPr>
          <w:rFonts w:ascii="Arial" w:hAnsi="Arial" w:eastAsia="Arial" w:cs="Arial"/>
          <w:sz w:val="22"/>
          <w:szCs w:val="22"/>
          <w:rtl w:val="0"/>
        </w:rPr>
        <w:t xml:space="preserve">Tabela 3. Volume de leads, vendas e taxa de conversão por plataforma</w:t>
      </w:r>
    </w:p>
    <w:tbl>
      <w:tblPr>
        <w:tblStyle w:val="Table3"/>
        <w:tblW w:w="80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20"/>
        <w:gridCol w:w="1644"/>
        <w:gridCol w:w="1276"/>
        <w:gridCol w:w="2800"/>
      </w:tblGrid>
      <w:tr>
        <w:trPr>
          <w:trHeight w:val="450"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Plataforma</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Total Leads</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Vendas</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Taxa de Conversão</w:t>
            </w:r>
          </w:p>
        </w:tc>
      </w:tr>
      <w:tr>
        <w:trPr>
          <w:trHeight w:val="390"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Não Identificado</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1</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1</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100%</w:t>
            </w:r>
          </w:p>
        </w:tc>
      </w:tr>
      <w:tr>
        <w:trPr>
          <w:trHeight w:val="360"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Cliente Antigo</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15</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12</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80%</w:t>
            </w:r>
          </w:p>
        </w:tc>
      </w:tr>
      <w:tr>
        <w:trPr>
          <w:trHeight w:val="375"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Pátio</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5</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4</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80%</w:t>
            </w:r>
          </w:p>
        </w:tc>
      </w:tr>
      <w:tr>
        <w:trPr>
          <w:trHeight w:val="405"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Mercado Livre</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4</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3</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75%</w:t>
            </w:r>
          </w:p>
        </w:tc>
      </w:tr>
      <w:tr>
        <w:trPr>
          <w:trHeight w:val="435"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OLX</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11</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8</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73%</w:t>
            </w:r>
          </w:p>
        </w:tc>
      </w:tr>
      <w:tr>
        <w:trPr>
          <w:trHeight w:val="345"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Webmotors</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25</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17</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68%</w:t>
            </w:r>
          </w:p>
        </w:tc>
      </w:tr>
    </w:tbl>
    <w:p>
      <w:pPr>
        <w:spacing w:line="360" w:lineRule="auto"/>
        <w:jc w:val="both"/>
        <w:rPr>
          <w:rFonts w:ascii="Arial" w:hAnsi="Arial" w:eastAsia="Arial" w:cs="Arial"/>
          <w:i/>
          <w:iCs/>
          <w:color w:val="7030A0"/>
        </w:rPr>
      </w:pPr>
      <w:r>
        <w:rPr>
          <w:rFonts w:ascii="Arial" w:hAnsi="Arial" w:eastAsia="Arial" w:cs="Arial"/>
          <w:sz w:val="22"/>
          <w:szCs w:val="22"/>
          <w:rtl w:val="0"/>
        </w:rPr>
        <w:t xml:space="preserve">Fonte: Elaboração própria.</w:t>
      </w:r>
    </w:p>
    <w:p>
      <w:pPr>
        <w:spacing w:before="120" w:after="120" w:line="360" w:lineRule="auto"/>
        <w:jc w:val="center"/>
        <w:rPr>
          <w:rFonts w:ascii="Arial" w:hAnsi="Arial" w:eastAsia="Arial" w:cs="Arial"/>
          <w:i/>
          <w:iCs/>
          <w:color w:val="7030A0"/>
        </w:rPr>
      </w:pPr>
      <w:r>
        <w:rPr>
          <w:rFonts w:ascii="Arial" w:hAnsi="Arial" w:eastAsia="Arial" w:cs="Arial"/>
          <w:i/>
          <w:iCs/>
          <w:color w:val="7030A0"/>
        </w:rPr>
        <w:drawing>
          <wp:inline distT="0" distB="0" distL="0" distR="0">
            <wp:extent cx="5405941" cy="2657157"/>
            <wp:effectExtent l="0" t="0" r="0" b="0"/>
            <wp:docPr id="1" name="Picture 1" descr="C:\Users\igor_\AppData\Local\Microsoft\Windows\INetCache\Content.MSO\120E145D.tmp"/>
            <wp:cNvGraphicFramePr/>
            <a:graphic>
              <a:graphicData uri="http://schemas.openxmlformats.org/drawingml/2006/picture">
                <pic:pic>
                  <pic:nvPicPr>
                    <pic:cNvPr id="0" name="image1.png" descr="C:\Users\igor_\AppData\Local\Microsoft\Windows\INetCache\Content.MSO\120E145D.tmp"/>
                    <pic:cNvPicPr>
                      <a:picLocks noChangeAspect="1" noChangeArrowheads="1"/>
                    </pic:cNvPicPr>
                  </pic:nvPicPr>
                  <pic:blipFill>
                    <a:blip r:embed="rId1"/>
                    <a:stretch>
                      <a:fillRect/>
                    </a:stretch>
                  </pic:blipFill>
                  <pic:spPr bwMode="auto">
                    <a:xfrm>
                      <a:off x="0" y="0"/>
                      <a:ext cx="5405941" cy="2657157"/>
                    </a:xfrm>
                    <a:prstGeom prst="rect">
                      <a:avLst/>
                    </a:prstGeom>
                  </pic:spPr>
                </pic:pic>
              </a:graphicData>
            </a:graphic>
          </wp:inline>
        </w:drawing>
      </w:r>
    </w:p>
    <w:p>
      <w:pPr>
        <w:jc w:val="both"/>
        <w:rPr>
          <w:rFonts w:ascii="Arial" w:hAnsi="Arial" w:eastAsia="Arial" w:cs="Arial"/>
          <w:color w:val="000000"/>
          <w:sz w:val="22"/>
          <w:szCs w:val="22"/>
        </w:rPr>
      </w:pPr>
      <w:r>
        <w:rPr>
          <w:rFonts w:ascii="Arial" w:hAnsi="Arial" w:eastAsia="Arial" w:cs="Arial"/>
          <w:color w:val="000000"/>
          <w:sz w:val="22"/>
          <w:szCs w:val="22"/>
          <w:rtl w:val="0"/>
        </w:rPr>
        <w:t xml:space="preserve">Figura 1. Taxa de conversão por plataforma digital</w:t>
      </w:r>
    </w:p>
    <w:p>
      <w:pPr>
        <w:jc w:val="both"/>
        <w:rPr>
          <w:rFonts w:ascii="Arial" w:hAnsi="Arial" w:eastAsia="Arial" w:cs="Arial"/>
          <w:color w:val="000000"/>
          <w:sz w:val="22"/>
          <w:szCs w:val="22"/>
        </w:rPr>
      </w:pPr>
      <w:r>
        <w:rPr>
          <w:rFonts w:ascii="Arial" w:hAnsi="Arial" w:eastAsia="Arial" w:cs="Arial"/>
          <w:color w:val="000000"/>
          <w:sz w:val="22"/>
          <w:szCs w:val="22"/>
          <w:rtl w:val="0"/>
        </w:rPr>
        <w:t xml:space="preserve">Fonte: </w:t>
      </w:r>
      <w:r>
        <w:rPr>
          <w:rFonts w:ascii="Arial" w:hAnsi="Arial" w:eastAsia="Arial" w:cs="Arial"/>
          <w:sz w:val="22"/>
          <w:szCs w:val="22"/>
          <w:rtl w:val="0"/>
        </w:rPr>
        <w:t xml:space="preserve">Elaboração própria.</w:t>
      </w:r>
    </w:p>
    <w:p>
      <w:pPr>
        <w:spacing w:before="120" w:after="120" w:line="360" w:lineRule="auto"/>
        <w:jc w:val="center"/>
        <w:rPr>
          <w:rFonts w:ascii="Arial" w:hAnsi="Arial" w:eastAsia="Arial" w:cs="Arial"/>
          <w:i/>
          <w:iCs/>
          <w:color w:val="7030A0"/>
        </w:rPr>
      </w:pP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360" w:lineRule="auto"/>
        <w:ind w:left="0" w:right="0" w:firstLine="709"/>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A Tabela 4 apresenta as métricas descritivas por plataforma. O canal “Cliente Antigo” destacou-se pelo maior ticket mediano (R$ 113.850,00), enquanto o Mercado Livre registrou o menor (R$ 44.400,00). O perfil etário variou entre os canais: OLX e Mercado Livre concentraram leads predominantemente jovens (45,5% e 50,0% até 29 anos, respectivamente), enquanto o canal Cliente Antigo concentrou 53,3% de seus leads na faixa de 40 a 49 anos, com idade média de 45,6 anos, o que pode estar associado ao receio de pessoas mais velhas realizarem compras por plataformas digitais.</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360" w:lineRule="auto"/>
        <w:ind w:left="0" w:right="0" w:firstLine="709"/>
        <w:jc w:val="both"/>
        <w:rPr>
          <w:rFonts w:ascii="Arial" w:hAnsi="Arial" w:eastAsia="Arial" w:cs="Arial"/>
          <w:b w:val="0"/>
          <w:bCs w:val="0"/>
          <w:i w:val="0"/>
          <w:iCs w:val="0"/>
          <w:smallCaps w:val="0"/>
          <w:strike w:val="0"/>
          <w:color w:val="000000"/>
          <w:sz w:val="22"/>
          <w:szCs w:val="22"/>
          <w:u w:val="none"/>
          <w:vertAlign w:val="baseline"/>
        </w:rPr>
      </w:pPr>
    </w:p>
    <w:p>
      <w:pPr>
        <w:jc w:val="both"/>
        <w:rPr>
          <w:rFonts w:ascii="Arial" w:hAnsi="Arial" w:eastAsia="Arial" w:cs="Arial"/>
          <w:sz w:val="22"/>
          <w:szCs w:val="22"/>
        </w:rPr>
      </w:pPr>
      <w:r>
        <w:rPr>
          <w:rFonts w:ascii="Arial" w:hAnsi="Arial" w:eastAsia="Arial" w:cs="Arial"/>
          <w:sz w:val="22"/>
          <w:szCs w:val="22"/>
          <w:rtl w:val="0"/>
        </w:rPr>
        <w:t xml:space="preserve">Tabela 3. Métricas descritivas por plataforma: ticket médio, ticket mediano, contatos, idade média e dias até a compra</w:t>
      </w:r>
    </w:p>
    <w:tbl>
      <w:tblPr>
        <w:tblStyle w:val="Table4"/>
        <w:tblW w:w="90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9"/>
        <w:gridCol w:w="1368"/>
        <w:gridCol w:w="1667"/>
        <w:gridCol w:w="1390"/>
        <w:gridCol w:w="1389"/>
        <w:gridCol w:w="1837"/>
      </w:tblGrid>
      <w:tr>
        <w:trPr>
          <w:trHeight w:val="300"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Plataforma</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ticket_medio (R$)</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ticket_mediano (R$)</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contatos_medio</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idade_media</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dias_venda_medio</w:t>
            </w:r>
          </w:p>
        </w:tc>
      </w:tr>
      <w:tr>
        <w:trPr>
          <w:trHeight w:val="300"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Cliente Antigo</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109685,7</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113850</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2,3</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45,6</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57,4</w:t>
            </w:r>
          </w:p>
        </w:tc>
      </w:tr>
      <w:tr>
        <w:trPr>
          <w:trHeight w:val="300"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Mercado Livre</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55100</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44400</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1,2</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38,8</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0,3</w:t>
            </w:r>
          </w:p>
        </w:tc>
      </w:tr>
      <w:tr>
        <w:trPr>
          <w:trHeight w:val="300"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Não Identificado</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18400</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18400</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1</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38</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323</w:t>
            </w:r>
          </w:p>
        </w:tc>
      </w:tr>
      <w:tr>
        <w:trPr>
          <w:trHeight w:val="300"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OLX</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77045,5</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81700</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2,2</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34</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52,1</w:t>
            </w:r>
          </w:p>
        </w:tc>
      </w:tr>
      <w:tr>
        <w:trPr>
          <w:trHeight w:val="300"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Pátio</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58380</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39900</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1</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41,6</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45</w:t>
            </w:r>
          </w:p>
        </w:tc>
      </w:tr>
      <w:tr>
        <w:trPr>
          <w:trHeight w:val="300"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Webmotors</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66028</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63900</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2</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35,1</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6,5</w:t>
            </w:r>
          </w:p>
        </w:tc>
      </w:tr>
    </w:tbl>
    <w:p>
      <w:pPr>
        <w:spacing w:line="360" w:lineRule="auto"/>
        <w:jc w:val="both"/>
        <w:rPr>
          <w:rFonts w:ascii="Arial" w:hAnsi="Arial" w:eastAsia="Arial" w:cs="Arial"/>
          <w:sz w:val="22"/>
          <w:szCs w:val="22"/>
        </w:rPr>
      </w:pPr>
      <w:r>
        <w:rPr>
          <w:rFonts w:ascii="Arial" w:hAnsi="Arial" w:eastAsia="Arial" w:cs="Arial"/>
          <w:sz w:val="22"/>
          <w:szCs w:val="22"/>
          <w:rtl w:val="0"/>
        </w:rPr>
        <w:t xml:space="preserve">Fonte: Elaboração própria.</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360" w:lineRule="auto"/>
        <w:ind w:left="0" w:right="0" w:firstLine="0"/>
        <w:jc w:val="center"/>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Pr>
        <w:drawing>
          <wp:inline distT="0" distB="0" distL="0" distR="0">
            <wp:extent cx="5487825" cy="3027055"/>
            <wp:effectExtent l="0" t="0" r="0" b="0"/>
            <wp:docPr id="2" name="Picture 2" descr="C:\Users\igor_\AppData\Local\Microsoft\Windows\INetCache\Content.MSO\99E940F9.tmp"/>
            <wp:cNvGraphicFramePr/>
            <a:graphic>
              <a:graphicData uri="http://schemas.openxmlformats.org/drawingml/2006/picture">
                <pic:pic>
                  <pic:nvPicPr>
                    <pic:cNvPr id="0" name="image2.png" descr="C:\Users\igor_\AppData\Local\Microsoft\Windows\INetCache\Content.MSO\99E940F9.tmp"/>
                    <pic:cNvPicPr>
                      <a:picLocks noChangeAspect="1" noChangeArrowheads="1"/>
                    </pic:cNvPicPr>
                  </pic:nvPicPr>
                  <pic:blipFill>
                    <a:blip r:embed="rId2"/>
                    <a:stretch>
                      <a:fillRect/>
                    </a:stretch>
                  </pic:blipFill>
                  <pic:spPr bwMode="auto">
                    <a:xfrm>
                      <a:off x="0" y="0"/>
                      <a:ext cx="5487825" cy="3027055"/>
                    </a:xfrm>
                    <a:prstGeom prst="rect">
                      <a:avLst/>
                    </a:prstGeom>
                  </pic:spPr>
                </pic:pic>
              </a:graphicData>
            </a:graphic>
          </wp:inline>
        </w:drawing>
      </w:r>
    </w:p>
    <w:p>
      <w:pPr>
        <w:jc w:val="both"/>
        <w:rPr>
          <w:rFonts w:ascii="Arial" w:hAnsi="Arial" w:eastAsia="Arial" w:cs="Arial"/>
          <w:color w:val="000000"/>
          <w:sz w:val="22"/>
          <w:szCs w:val="22"/>
        </w:rPr>
      </w:pPr>
      <w:r>
        <w:rPr>
          <w:rFonts w:ascii="Arial" w:hAnsi="Arial" w:eastAsia="Arial" w:cs="Arial"/>
          <w:color w:val="000000"/>
          <w:sz w:val="22"/>
          <w:szCs w:val="22"/>
          <w:rtl w:val="0"/>
        </w:rPr>
        <w:t xml:space="preserve">Figura 2. Perfil etário dos leads por plataforma</w:t>
      </w:r>
    </w:p>
    <w:p>
      <w:pPr>
        <w:jc w:val="both"/>
        <w:rPr>
          <w:rFonts w:ascii="Arial" w:hAnsi="Arial" w:eastAsia="Arial" w:cs="Arial"/>
          <w:sz w:val="22"/>
          <w:szCs w:val="22"/>
        </w:rPr>
      </w:pPr>
      <w:r>
        <w:rPr>
          <w:rFonts w:ascii="Arial" w:hAnsi="Arial" w:eastAsia="Arial" w:cs="Arial"/>
          <w:color w:val="000000"/>
          <w:sz w:val="22"/>
          <w:szCs w:val="22"/>
          <w:rtl w:val="0"/>
        </w:rPr>
        <w:t xml:space="preserve">Fonte: </w:t>
      </w:r>
      <w:r>
        <w:rPr>
          <w:rFonts w:ascii="Arial" w:hAnsi="Arial" w:eastAsia="Arial" w:cs="Arial"/>
          <w:sz w:val="22"/>
          <w:szCs w:val="22"/>
          <w:rtl w:val="0"/>
        </w:rPr>
        <w:t xml:space="preserve">Elaboração própria.</w:t>
      </w:r>
    </w:p>
    <w:p>
      <w:pPr>
        <w:jc w:val="both"/>
        <w:rPr>
          <w:rFonts w:ascii="Arial" w:hAnsi="Arial" w:eastAsia="Arial" w:cs="Arial"/>
          <w:color w:val="000000"/>
          <w:sz w:val="22"/>
          <w:szCs w:val="22"/>
        </w:rPr>
      </w:pPr>
    </w:p>
    <w:p>
      <w:pPr>
        <w:spacing w:before="240" w:after="120" w:line="360" w:lineRule="auto"/>
        <w:ind w:firstLine="709"/>
        <w:jc w:val="both"/>
        <w:rPr>
          <w:rFonts w:ascii="Arial" w:hAnsi="Arial" w:eastAsia="Arial" w:cs="Arial"/>
          <w:b/>
          <w:bCs/>
          <w:sz w:val="22"/>
          <w:szCs w:val="22"/>
        </w:rPr>
      </w:pPr>
      <w:r>
        <w:rPr>
          <w:rFonts w:ascii="Arial" w:hAnsi="Arial" w:eastAsia="Arial" w:cs="Arial"/>
          <w:b/>
          <w:bCs/>
          <w:sz w:val="22"/>
          <w:szCs w:val="22"/>
          <w:rtl w:val="0"/>
        </w:rPr>
        <w:t xml:space="preserve">   Testes inferenciais</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360" w:lineRule="auto"/>
        <w:ind w:left="0" w:right="0" w:firstLine="709"/>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O Teste Qui-Quadrado resultou em χ² = 1,1962, gl = 5, p = 0,9452, não rejeitando H₀. Como a frequência esperada mínima foi de 0,26 </w:t>
      </w:r>
      <w:r>
        <w:rPr>
          <w:rFonts w:ascii="Arial" w:hAnsi="Arial" w:eastAsia="Arial" w:cs="Arial"/>
          <w:sz w:val="22"/>
          <w:szCs w:val="22"/>
          <w:rtl w:val="0"/>
        </w:rPr>
        <w:t xml:space="preserve">(</w:t>
      </w:r>
      <w:r>
        <w:rPr>
          <w:rFonts w:ascii="Arial" w:hAnsi="Arial" w:eastAsia="Arial" w:cs="Arial"/>
          <w:b w:val="0"/>
          <w:bCs w:val="0"/>
          <w:i w:val="0"/>
          <w:iCs w:val="0"/>
          <w:smallCaps w:val="0"/>
          <w:strike w:val="0"/>
          <w:color w:val="000000"/>
          <w:sz w:val="22"/>
          <w:szCs w:val="22"/>
          <w:u w:val="none"/>
          <w:vertAlign w:val="baseline"/>
          <w:rtl w:val="0"/>
        </w:rPr>
        <w:t xml:space="preserve">abaixo do limiar de 5</w:t>
      </w:r>
      <w:r>
        <w:rPr>
          <w:rFonts w:ascii="Arial" w:hAnsi="Arial" w:eastAsia="Arial" w:cs="Arial"/>
          <w:sz w:val="22"/>
          <w:szCs w:val="22"/>
          <w:rtl w:val="0"/>
        </w:rPr>
        <w:t xml:space="preserve">)</w:t>
      </w:r>
      <w:r>
        <w:rPr>
          <w:rFonts w:ascii="Arial" w:hAnsi="Arial" w:eastAsia="Arial" w:cs="Arial"/>
          <w:b w:val="0"/>
          <w:bCs w:val="0"/>
          <w:i w:val="0"/>
          <w:iCs w:val="0"/>
          <w:smallCaps w:val="0"/>
          <w:strike w:val="0"/>
          <w:color w:val="000000"/>
          <w:sz w:val="22"/>
          <w:szCs w:val="22"/>
          <w:u w:val="none"/>
          <w:vertAlign w:val="baseline"/>
          <w:rtl w:val="0"/>
        </w:rPr>
        <w:t xml:space="preserve">, o Teste Exato de Fisher foi aplicado por comparação par a par; nenhuma plataforma apresentou p &lt; 0,05 (mínimo: p = 0,5549 para a Webmotors). Não há evidência estatística de que a taxa de conversão difere entre as plataformas com a amostra disponível.</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360" w:lineRule="auto"/>
        <w:ind w:left="0" w:right="0" w:firstLine="709"/>
        <w:jc w:val="both"/>
        <w:rPr>
          <w:rFonts w:ascii="Arial" w:hAnsi="Arial" w:eastAsia="Arial" w:cs="Arial"/>
          <w:b w:val="0"/>
          <w:bCs w:val="0"/>
          <w:i w:val="0"/>
          <w:iCs w:val="0"/>
          <w:smallCaps w:val="0"/>
          <w:strike w:val="0"/>
          <w:color w:val="000000"/>
          <w:sz w:val="22"/>
          <w:szCs w:val="22"/>
          <w:u w:val="none"/>
          <w:vertAlign w:val="baseline"/>
        </w:rPr>
      </w:pPr>
      <w:bookmarkStart w:id="2" w:name="_heading=h.spvhinet82gs"/>
      <w:bookmarkEnd w:id="2"/>
      <w:r>
        <w:rPr>
          <w:rFonts w:ascii="Arial" w:hAnsi="Arial" w:eastAsia="Arial" w:cs="Arial"/>
          <w:b w:val="0"/>
          <w:bCs w:val="0"/>
          <w:i w:val="0"/>
          <w:iCs w:val="0"/>
          <w:smallCaps w:val="0"/>
          <w:strike w:val="0"/>
          <w:color w:val="000000"/>
          <w:sz w:val="22"/>
          <w:szCs w:val="22"/>
          <w:u w:val="none"/>
          <w:vertAlign w:val="baseline"/>
          <w:rtl w:val="0"/>
        </w:rPr>
        <w:t xml:space="preserve">O Teste de Kruskal-Wallis identificou diferença estatisticamente significativa para Valor do Veículo (H = 18,6054; p = 0,0009) e para Idade do Cliente (H = 12,6527; p = 0,0131), conforme Tabela 6. Os canais não diferiram quanto à Quantidade de Contatos (p = 0,0638) e aos Dias até a Compra (p = 0,3825). O resultado para o Valor do Veículo indica que as plataformas atendem a segmentos de preço distintos: o canal Cliente Antigo concentra veículos de maior valor (mediana R$ 113.850,00), enquanto Webmotors e Mercado Livre concentram faixas intermediária (R$ 63.900,00) e de entrada (R$ 44.400,00), respectivamente. A diferença significativa de idade confirma que cada canal atraí perfis etários distintos, dado relevante para a personalização das abordagens comerciais e para a alocação de anúncios por segmento de veículo.</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360" w:lineRule="auto"/>
        <w:ind w:left="0" w:right="0" w:firstLine="709"/>
        <w:jc w:val="both"/>
        <w:rPr>
          <w:rFonts w:ascii="Arial" w:hAnsi="Arial" w:eastAsia="Arial" w:cs="Arial"/>
          <w:b w:val="0"/>
          <w:bCs w:val="0"/>
          <w:i w:val="0"/>
          <w:iCs w:val="0"/>
          <w:smallCaps w:val="0"/>
          <w:strike w:val="0"/>
          <w:color w:val="000000"/>
          <w:sz w:val="22"/>
          <w:szCs w:val="22"/>
          <w:u w:val="none"/>
          <w:vertAlign w:val="baseline"/>
        </w:rPr>
      </w:pPr>
    </w:p>
    <w:p>
      <w:pPr>
        <w:jc w:val="both"/>
        <w:rPr>
          <w:rFonts w:ascii="Arial" w:hAnsi="Arial" w:eastAsia="Arial" w:cs="Arial"/>
          <w:sz w:val="22"/>
          <w:szCs w:val="22"/>
        </w:rPr>
      </w:pPr>
      <w:r>
        <w:br w:type="page"/>
      </w:r>
    </w:p>
    <w:p>
      <w:pPr>
        <w:jc w:val="both"/>
        <w:rPr>
          <w:rFonts w:ascii="Arial" w:hAnsi="Arial" w:eastAsia="Arial" w:cs="Arial"/>
          <w:sz w:val="22"/>
          <w:szCs w:val="22"/>
        </w:rPr>
      </w:pPr>
      <w:r>
        <w:rPr>
          <w:rFonts w:ascii="Arial" w:hAnsi="Arial" w:eastAsia="Arial" w:cs="Arial"/>
          <w:sz w:val="22"/>
          <w:szCs w:val="22"/>
          <w:rtl w:val="0"/>
        </w:rPr>
        <w:t xml:space="preserve">Tabela 5. Resultados do Teste de Kruskal-Wallis por variável</w:t>
      </w:r>
    </w:p>
    <w:tbl>
      <w:tblPr>
        <w:tblStyle w:val="Table5"/>
        <w:tblW w:w="722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1012"/>
        <w:gridCol w:w="1119"/>
        <w:gridCol w:w="2694"/>
      </w:tblGrid>
      <w:tr>
        <w:trPr>
          <w:trHeight w:val="300"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Variável</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H</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p-valor</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Diferença significativa?</w:t>
            </w:r>
          </w:p>
        </w:tc>
      </w:tr>
      <w:tr>
        <w:trPr>
          <w:trHeight w:val="300"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Valor do Veículo (R$)</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18,6054</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0,0009</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SIM</w:t>
            </w:r>
          </w:p>
        </w:tc>
      </w:tr>
      <w:tr>
        <w:trPr>
          <w:trHeight w:val="300"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Quantidade de Contatos</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8,8955</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0,0638</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NÃO</w:t>
            </w:r>
          </w:p>
        </w:tc>
      </w:tr>
      <w:tr>
        <w:trPr>
          <w:trHeight w:val="300"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Idade do Cliente</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12,6527</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0,0131</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SIM</w:t>
            </w:r>
          </w:p>
        </w:tc>
      </w:tr>
      <w:tr>
        <w:trPr>
          <w:trHeight w:val="300" w:hRule="atLeast"/>
        </w:trPr>
        <w:tc>
          <w:tcPr>
            <w:tcW w:w="0" w:type="auto"/>
          </w:tcPr>
          <w:p>
            <w:pPr>
              <w:jc w:val="center"/>
              <w:rPr>
                <w:rFonts w:ascii="Arial" w:hAnsi="Arial" w:eastAsia="Arial" w:cs="Arial"/>
                <w:sz w:val="22"/>
                <w:szCs w:val="22"/>
              </w:rPr>
            </w:pPr>
            <w:r>
              <w:rPr>
                <w:rFonts w:ascii="Arial" w:hAnsi="Arial" w:eastAsia="Arial" w:cs="Arial"/>
                <w:sz w:val="22"/>
                <w:szCs w:val="22"/>
                <w:rtl w:val="0"/>
              </w:rPr>
              <w:t xml:space="preserve">Dias até a Compra</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4,1779</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0,3825</w:t>
            </w:r>
          </w:p>
        </w:tc>
        <w:tc>
          <w:tcPr>
            <w:tcW w:w="0" w:type="auto"/>
          </w:tcPr>
          <w:p>
            <w:pPr>
              <w:jc w:val="center"/>
              <w:rPr>
                <w:rFonts w:ascii="Arial" w:hAnsi="Arial" w:eastAsia="Arial" w:cs="Arial"/>
                <w:sz w:val="22"/>
                <w:szCs w:val="22"/>
              </w:rPr>
            </w:pPr>
            <w:r>
              <w:rPr>
                <w:rFonts w:ascii="Arial" w:hAnsi="Arial" w:eastAsia="Arial" w:cs="Arial"/>
                <w:sz w:val="22"/>
                <w:szCs w:val="22"/>
                <w:rtl w:val="0"/>
              </w:rPr>
              <w:t xml:space="preserve">NÃO</w:t>
            </w:r>
          </w:p>
        </w:tc>
      </w:tr>
    </w:tbl>
    <w:p>
      <w:pPr>
        <w:spacing w:line="360" w:lineRule="auto"/>
        <w:jc w:val="both"/>
        <w:rPr>
          <w:rFonts w:ascii="Arial" w:hAnsi="Arial" w:eastAsia="Arial" w:cs="Arial"/>
          <w:sz w:val="22"/>
          <w:szCs w:val="22"/>
        </w:rPr>
      </w:pPr>
      <w:r>
        <w:rPr>
          <w:rFonts w:ascii="Arial" w:hAnsi="Arial" w:eastAsia="Arial" w:cs="Arial"/>
          <w:sz w:val="22"/>
          <w:szCs w:val="22"/>
          <w:rtl w:val="0"/>
        </w:rPr>
        <w:t xml:space="preserve">Fonte: Elaboração própria.</w:t>
      </w:r>
    </w:p>
    <w:p>
      <w:pPr>
        <w:spacing w:before="120" w:after="120" w:line="360" w:lineRule="auto"/>
        <w:jc w:val="center"/>
        <w:rPr>
          <w:rFonts w:ascii="Arial" w:hAnsi="Arial" w:eastAsia="Arial" w:cs="Arial"/>
          <w:i/>
          <w:iCs/>
          <w:color w:val="7030A0"/>
        </w:rPr>
      </w:pPr>
    </w:p>
    <w:p>
      <w:pPr>
        <w:spacing w:before="120" w:after="120" w:line="360" w:lineRule="auto"/>
        <w:jc w:val="center"/>
        <w:rPr>
          <w:rFonts w:ascii="Arial" w:hAnsi="Arial" w:eastAsia="Arial" w:cs="Arial"/>
          <w:i/>
          <w:iCs/>
          <w:color w:val="7030A0"/>
        </w:rPr>
      </w:pPr>
      <w:r>
        <w:rPr>
          <w:rFonts w:ascii="Arial" w:hAnsi="Arial" w:eastAsia="Arial" w:cs="Arial"/>
          <w:i/>
          <w:iCs/>
          <w:color w:val="7030A0"/>
        </w:rPr>
        <w:drawing>
          <wp:inline distT="0" distB="0" distL="0" distR="0">
            <wp:extent cx="5311613" cy="2925888"/>
            <wp:effectExtent l="0" t="0" r="0" b="0"/>
            <wp:docPr id="3" name="Picture 3" descr="C:\Users\igor_\AppData\Local\Microsoft\Windows\INetCache\Content.MSO\3E6C66F.tmp"/>
            <wp:cNvGraphicFramePr/>
            <a:graphic>
              <a:graphicData uri="http://schemas.openxmlformats.org/drawingml/2006/picture">
                <pic:pic>
                  <pic:nvPicPr>
                    <pic:cNvPr id="0" name="image4.png" descr="C:\Users\igor_\AppData\Local\Microsoft\Windows\INetCache\Content.MSO\3E6C66F.tmp"/>
                    <pic:cNvPicPr>
                      <a:picLocks noChangeAspect="1" noChangeArrowheads="1"/>
                    </pic:cNvPicPr>
                  </pic:nvPicPr>
                  <pic:blipFill>
                    <a:blip r:embed="rId3"/>
                    <a:stretch>
                      <a:fillRect/>
                    </a:stretch>
                  </pic:blipFill>
                  <pic:spPr bwMode="auto">
                    <a:xfrm>
                      <a:off x="0" y="0"/>
                      <a:ext cx="5311613" cy="2925888"/>
                    </a:xfrm>
                    <a:prstGeom prst="rect">
                      <a:avLst/>
                    </a:prstGeom>
                  </pic:spPr>
                </pic:pic>
              </a:graphicData>
            </a:graphic>
          </wp:inline>
        </w:drawing>
      </w:r>
    </w:p>
    <w:p>
      <w:pPr>
        <w:jc w:val="both"/>
        <w:rPr>
          <w:rFonts w:ascii="Arial" w:hAnsi="Arial" w:eastAsia="Arial" w:cs="Arial"/>
          <w:color w:val="000000"/>
          <w:sz w:val="22"/>
          <w:szCs w:val="22"/>
        </w:rPr>
      </w:pPr>
      <w:r>
        <w:rPr>
          <w:rFonts w:ascii="Arial" w:hAnsi="Arial" w:eastAsia="Arial" w:cs="Arial"/>
          <w:color w:val="000000"/>
          <w:sz w:val="22"/>
          <w:szCs w:val="22"/>
          <w:rtl w:val="0"/>
        </w:rPr>
        <w:t xml:space="preserve">Figura 3. Distribuição do Valor do Veículo por plataforma</w:t>
      </w:r>
    </w:p>
    <w:p>
      <w:pPr>
        <w:jc w:val="both"/>
        <w:rPr>
          <w:rFonts w:ascii="Arial" w:hAnsi="Arial" w:eastAsia="Arial" w:cs="Arial"/>
          <w:sz w:val="22"/>
          <w:szCs w:val="22"/>
        </w:rPr>
      </w:pPr>
      <w:r>
        <w:rPr>
          <w:rFonts w:ascii="Arial" w:hAnsi="Arial" w:eastAsia="Arial" w:cs="Arial"/>
          <w:color w:val="000000"/>
          <w:sz w:val="22"/>
          <w:szCs w:val="22"/>
          <w:rtl w:val="0"/>
        </w:rPr>
        <w:t xml:space="preserve">Fonte: </w:t>
      </w:r>
      <w:r>
        <w:rPr>
          <w:rFonts w:ascii="Arial" w:hAnsi="Arial" w:eastAsia="Arial" w:cs="Arial"/>
          <w:sz w:val="22"/>
          <w:szCs w:val="22"/>
          <w:rtl w:val="0"/>
        </w:rPr>
        <w:t xml:space="preserve">Elaboração própria.</w:t>
      </w:r>
    </w:p>
    <w:p>
      <w:pPr>
        <w:spacing w:before="120" w:after="120" w:line="360" w:lineRule="auto"/>
        <w:jc w:val="center"/>
        <w:rPr>
          <w:rFonts w:ascii="Arial" w:hAnsi="Arial" w:eastAsia="Arial" w:cs="Arial"/>
          <w:i/>
          <w:iCs/>
          <w:color w:val="7030A0"/>
        </w:rPr>
      </w:pPr>
    </w:p>
    <w:p>
      <w:pPr>
        <w:spacing w:line="360" w:lineRule="auto"/>
        <w:rPr>
          <w:rFonts w:ascii="Arial" w:hAnsi="Arial" w:eastAsia="Arial" w:cs="Arial"/>
          <w:b/>
          <w:bCs/>
          <w:sz w:val="22"/>
          <w:szCs w:val="22"/>
        </w:rPr>
      </w:pPr>
      <w:r>
        <w:rPr>
          <w:rFonts w:ascii="Arial" w:hAnsi="Arial" w:eastAsia="Arial" w:cs="Arial"/>
          <w:b/>
          <w:bCs/>
          <w:sz w:val="22"/>
          <w:szCs w:val="22"/>
          <w:rtl w:val="0"/>
        </w:rPr>
        <w:t xml:space="preserve">Cronograma de Atividades</w:t>
      </w:r>
    </w:p>
    <w:p>
      <w:pPr>
        <w:spacing w:line="360" w:lineRule="auto"/>
        <w:jc w:val="center"/>
      </w:pPr>
      <w:r>
        <w:drawing>
          <wp:inline distT="0" distB="0" distL="0" distR="0">
            <wp:extent cx="4238308" cy="2822474"/>
            <wp:effectExtent l="0" t="0" r="0" b="0"/>
            <wp:docPr id="4" name="Picture 4" descr=""/>
            <wp:cNvGraphicFramePr/>
            <a:graphic>
              <a:graphicData uri="http://schemas.openxmlformats.org/drawingml/2006/picture">
                <pic:pic>
                  <pic:nvPicPr>
                    <pic:cNvPr id="0" name="image5.png" descr=""/>
                    <pic:cNvPicPr>
                      <a:picLocks noChangeAspect="1" noChangeArrowheads="1"/>
                    </pic:cNvPicPr>
                  </pic:nvPicPr>
                  <pic:blipFill>
                    <a:blip r:embed="rId4"/>
                    <a:stretch>
                      <a:fillRect/>
                    </a:stretch>
                  </pic:blipFill>
                  <pic:spPr bwMode="auto">
                    <a:xfrm>
                      <a:off x="0" y="0"/>
                      <a:ext cx="4238308" cy="2822474"/>
                    </a:xfrm>
                    <a:prstGeom prst="rect">
                      <a:avLst/>
                    </a:prstGeom>
                  </pic:spPr>
                </pic:pic>
              </a:graphicData>
            </a:graphic>
          </wp:inline>
        </w:drawing>
      </w:r>
    </w:p>
    <w:p>
      <w:pPr>
        <w:spacing w:line="360" w:lineRule="auto"/>
        <w:rPr>
          <w:rFonts w:ascii="Arial" w:hAnsi="Arial" w:eastAsia="Arial" w:cs="Arial"/>
          <w:b/>
          <w:bCs/>
          <w:sz w:val="22"/>
          <w:szCs w:val="22"/>
        </w:rPr>
      </w:pPr>
    </w:p>
    <w:p>
      <w:pPr>
        <w:rPr>
          <w:rFonts w:ascii="Arial" w:hAnsi="Arial" w:eastAsia="Arial" w:cs="Arial"/>
          <w:b/>
          <w:bCs/>
          <w:sz w:val="22"/>
          <w:szCs w:val="22"/>
        </w:rPr>
      </w:pPr>
      <w:r>
        <w:rPr>
          <w:rFonts w:ascii="Arial" w:hAnsi="Arial" w:eastAsia="Arial" w:cs="Arial"/>
          <w:b/>
          <w:bCs/>
          <w:sz w:val="22"/>
          <w:szCs w:val="22"/>
          <w:rtl w:val="0"/>
        </w:rPr>
        <w:t xml:space="preserve">Referências</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360" w:lineRule="auto"/>
        <w:ind w:left="720" w:right="0" w:hanging="36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PRICEWATERHOUSECOOPERS (PwC). </w:t>
      </w:r>
      <w:r>
        <w:rPr>
          <w:rFonts w:ascii="Arial" w:hAnsi="Arial" w:eastAsia="Arial" w:cs="Arial"/>
          <w:b/>
          <w:bCs/>
          <w:i w:val="0"/>
          <w:iCs w:val="0"/>
          <w:smallCaps w:val="0"/>
          <w:strike w:val="0"/>
          <w:color w:val="000000"/>
          <w:sz w:val="22"/>
          <w:szCs w:val="22"/>
          <w:u w:val="none"/>
          <w:vertAlign w:val="baseline"/>
          <w:rtl w:val="0"/>
        </w:rPr>
        <w:t xml:space="preserve">Global Consumer Insights Survey 2023.</w:t>
      </w:r>
      <w:r>
        <w:rPr>
          <w:rFonts w:ascii="Arial" w:hAnsi="Arial" w:eastAsia="Arial" w:cs="Arial"/>
          <w:b w:val="0"/>
          <w:bCs w:val="0"/>
          <w:i w:val="0"/>
          <w:iCs w:val="0"/>
          <w:smallCaps w:val="0"/>
          <w:strike w:val="0"/>
          <w:color w:val="000000"/>
          <w:sz w:val="22"/>
          <w:szCs w:val="22"/>
          <w:u w:val="none"/>
          <w:vertAlign w:val="baseline"/>
          <w:rtl w:val="0"/>
        </w:rPr>
        <w:t xml:space="preserve"> [S.l.]: PwC, 2023. Disponível em: &lt;https://www.pwc.com/gx/en/consumer-markets/consumer-insights-survey.html&gt;. Acesso em: [preencha a data de acesso].</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360" w:lineRule="auto"/>
        <w:ind w:left="720" w:right="0" w:hanging="36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Gil, Antônio Carlos. Como elaborar projetos de pesquisa. 5. ed. São Paulo: Atlas, 2010.</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360" w:lineRule="auto"/>
        <w:ind w:left="720" w:right="0" w:hanging="36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CHAPMAN, Pete et al. CRISP-DM 1.0: Step-by-step  data mining guide. 2000.</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360" w:lineRule="auto"/>
        <w:ind w:left="720" w:right="0" w:hanging="36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PROVOSTO, Foster; FAWCETT, Tom. Data Science para Negócios: o que você precisa saber sobre mineração de dados e pensamento analítico. Rio de Janeiro: Alta Books, 2016.</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360" w:lineRule="auto"/>
        <w:ind w:left="720" w:right="0" w:hanging="36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ALMESTARIHI, Ra'd et al. Measuring the ROI of paid advertising campaigns in digital marketing and its effect on business profitability. Uncertain Supply Chain Management, v. 12, p. 1275–1284, 2024. DOI: 10.5267/j.uscm.2023.11.009. Disponível em: https://www.growingscience.com/uscm/Vol12/uscm_2023_211.pdf. Acesso em: 31 maio 2026.</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360" w:lineRule="auto"/>
        <w:ind w:left="720" w:right="0" w:hanging="36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HAN, Jiawei; KAMBER, Micheline; PEI, Jian. Data Mining: Concepts and Techniques. 3. ed. Morgan Kaufmann, 2011.</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360" w:lineRule="auto"/>
        <w:ind w:left="720" w:right="0" w:hanging="36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TUKEY, John W. Exploratory Data Analysis. Addison-Wesley, 1977.</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360" w:lineRule="auto"/>
        <w:ind w:left="720" w:right="0" w:hanging="36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GIL, Antônio Carlos. Métodos e técnicas de pesquisa social. 6. ed. São Paulo: Atlas, 2008.</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360" w:lineRule="auto"/>
        <w:ind w:left="720" w:right="0" w:hanging="36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CORDER, Gregory W.; FOREMAN, Dale I.</w:t>
      </w:r>
      <w:r>
        <w:rPr>
          <w:rFonts w:ascii="Arial" w:hAnsi="Arial" w:eastAsia="Arial" w:cs="Arial"/>
          <w:b/>
          <w:bCs/>
          <w:i w:val="0"/>
          <w:iCs w:val="0"/>
          <w:smallCaps w:val="0"/>
          <w:strike w:val="0"/>
          <w:color w:val="000000"/>
          <w:sz w:val="22"/>
          <w:szCs w:val="22"/>
          <w:u w:val="none"/>
          <w:vertAlign w:val="baseline"/>
          <w:rtl w:val="0"/>
        </w:rPr>
        <w:t xml:space="preserve">Nonparametric Statistics: A Step-by-Step Approach.</w:t>
      </w:r>
      <w:r>
        <w:rPr>
          <w:rFonts w:ascii="Arial" w:hAnsi="Arial" w:eastAsia="Arial" w:cs="Arial"/>
          <w:b w:val="0"/>
          <w:bCs w:val="0"/>
          <w:i w:val="0"/>
          <w:iCs w:val="0"/>
          <w:smallCaps w:val="0"/>
          <w:strike w:val="0"/>
          <w:color w:val="000000"/>
          <w:sz w:val="22"/>
          <w:szCs w:val="22"/>
          <w:u w:val="none"/>
          <w:vertAlign w:val="baseline"/>
          <w:rtl w:val="0"/>
        </w:rPr>
        <w:t xml:space="preserve"> 2. ed. Hoboken: John Wiley &amp; Sons, 2014.</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360" w:lineRule="auto"/>
        <w:ind w:left="720" w:right="0" w:hanging="36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DUNN, Olive Jean. Multiple comparisons using rank sums. </w:t>
      </w:r>
      <w:r>
        <w:rPr>
          <w:rFonts w:ascii="Arial" w:hAnsi="Arial" w:eastAsia="Arial" w:cs="Arial"/>
          <w:b/>
          <w:bCs/>
          <w:i w:val="0"/>
          <w:iCs w:val="0"/>
          <w:smallCaps w:val="0"/>
          <w:strike w:val="0"/>
          <w:color w:val="000000"/>
          <w:sz w:val="22"/>
          <w:szCs w:val="22"/>
          <w:u w:val="none"/>
          <w:vertAlign w:val="baseline"/>
          <w:rtl w:val="0"/>
        </w:rPr>
        <w:t xml:space="preserve">Technometrics,</w:t>
      </w:r>
      <w:r>
        <w:rPr>
          <w:rFonts w:ascii="Arial" w:hAnsi="Arial" w:eastAsia="Arial" w:cs="Arial"/>
          <w:b w:val="0"/>
          <w:bCs w:val="0"/>
          <w:i w:val="0"/>
          <w:iCs w:val="0"/>
          <w:smallCaps w:val="0"/>
          <w:strike w:val="0"/>
          <w:color w:val="000000"/>
          <w:sz w:val="22"/>
          <w:szCs w:val="22"/>
          <w:u w:val="none"/>
          <w:vertAlign w:val="baseline"/>
          <w:rtl w:val="0"/>
        </w:rPr>
        <w:t xml:space="preserve"> v. 6, n. 3, p. 241-252, ago. 1964.</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360" w:lineRule="auto"/>
        <w:ind w:left="720" w:right="0" w:hanging="36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FIELD, Andy. </w:t>
      </w:r>
      <w:r>
        <w:rPr>
          <w:rFonts w:ascii="Arial" w:hAnsi="Arial" w:eastAsia="Arial" w:cs="Arial"/>
          <w:b/>
          <w:bCs/>
          <w:i w:val="0"/>
          <w:iCs w:val="0"/>
          <w:smallCaps w:val="0"/>
          <w:strike w:val="0"/>
          <w:color w:val="000000"/>
          <w:sz w:val="22"/>
          <w:szCs w:val="22"/>
          <w:u w:val="none"/>
          <w:vertAlign w:val="baseline"/>
          <w:rtl w:val="0"/>
        </w:rPr>
        <w:t xml:space="preserve">Discovering Statistics Using IBM SPSS Statistics.</w:t>
      </w:r>
      <w:r>
        <w:rPr>
          <w:rFonts w:ascii="Arial" w:hAnsi="Arial" w:eastAsia="Arial" w:cs="Arial"/>
          <w:b w:val="0"/>
          <w:bCs w:val="0"/>
          <w:i w:val="0"/>
          <w:iCs w:val="0"/>
          <w:smallCaps w:val="0"/>
          <w:strike w:val="0"/>
          <w:color w:val="000000"/>
          <w:sz w:val="22"/>
          <w:szCs w:val="22"/>
          <w:u w:val="none"/>
          <w:vertAlign w:val="baseline"/>
          <w:rtl w:val="0"/>
        </w:rPr>
        <w:t xml:space="preserve"> 5. ed. London: Sage Publications, 2018.</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360" w:lineRule="auto"/>
        <w:ind w:left="720" w:right="0" w:hanging="36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KRUSKAL, William H.; WALLIS, W. Allen. Use of ranks in one-criterion variance analysis. </w:t>
      </w:r>
      <w:r>
        <w:rPr>
          <w:rFonts w:ascii="Arial" w:hAnsi="Arial" w:eastAsia="Arial" w:cs="Arial"/>
          <w:b/>
          <w:bCs/>
          <w:i w:val="0"/>
          <w:iCs w:val="0"/>
          <w:smallCaps w:val="0"/>
          <w:strike w:val="0"/>
          <w:color w:val="000000"/>
          <w:sz w:val="22"/>
          <w:szCs w:val="22"/>
          <w:u w:val="none"/>
          <w:vertAlign w:val="baseline"/>
          <w:rtl w:val="0"/>
        </w:rPr>
        <w:t xml:space="preserve">Journal of the American Statistical Association,</w:t>
      </w:r>
      <w:r>
        <w:rPr>
          <w:rFonts w:ascii="Arial" w:hAnsi="Arial" w:eastAsia="Arial" w:cs="Arial"/>
          <w:b w:val="0"/>
          <w:bCs w:val="0"/>
          <w:i w:val="0"/>
          <w:iCs w:val="0"/>
          <w:smallCaps w:val="0"/>
          <w:strike w:val="0"/>
          <w:color w:val="000000"/>
          <w:sz w:val="22"/>
          <w:szCs w:val="22"/>
          <w:u w:val="none"/>
          <w:vertAlign w:val="baseline"/>
          <w:rtl w:val="0"/>
        </w:rPr>
        <w:t xml:space="preserve"> v. 47, n. 260, p. 583-621, dez. 1952.</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360" w:lineRule="auto"/>
        <w:ind w:left="720" w:right="0" w:hanging="36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VALLAT, Raphael. Pingouin: statistics in Python. </w:t>
      </w:r>
      <w:r>
        <w:rPr>
          <w:rFonts w:ascii="Arial" w:hAnsi="Arial" w:eastAsia="Arial" w:cs="Arial"/>
          <w:b/>
          <w:bCs/>
          <w:i w:val="0"/>
          <w:iCs w:val="0"/>
          <w:smallCaps w:val="0"/>
          <w:strike w:val="0"/>
          <w:color w:val="000000"/>
          <w:sz w:val="22"/>
          <w:szCs w:val="22"/>
          <w:u w:val="none"/>
          <w:vertAlign w:val="baseline"/>
          <w:rtl w:val="0"/>
        </w:rPr>
        <w:t xml:space="preserve">Journal of Open Source Software,</w:t>
      </w:r>
      <w:r>
        <w:rPr>
          <w:rFonts w:ascii="Arial" w:hAnsi="Arial" w:eastAsia="Arial" w:cs="Arial"/>
          <w:b w:val="0"/>
          <w:bCs w:val="0"/>
          <w:i w:val="0"/>
          <w:iCs w:val="0"/>
          <w:smallCaps w:val="0"/>
          <w:strike w:val="0"/>
          <w:color w:val="000000"/>
          <w:sz w:val="22"/>
          <w:szCs w:val="22"/>
          <w:u w:val="none"/>
          <w:vertAlign w:val="baseline"/>
          <w:rtl w:val="0"/>
        </w:rPr>
        <w:t xml:space="preserve"> v. 4, n. 45, p. 1246, 2019. DOI: 10.21105/joss.01246.</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360" w:lineRule="auto"/>
        <w:ind w:left="720" w:right="0" w:hanging="360"/>
        <w:jc w:val="both"/>
        <w:rPr>
          <w:rFonts w:ascii="Arial" w:hAnsi="Arial" w:eastAsia="Arial" w:cs="Arial"/>
          <w:b w:val="0"/>
          <w:bCs w:val="0"/>
          <w:i w:val="0"/>
          <w:iCs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vertAlign w:val="baseline"/>
          <w:rtl w:val="0"/>
        </w:rPr>
        <w:t xml:space="preserve">HOLLANDER, Myles; WOLFE, Douglas A.; CHICKEN, Eric. </w:t>
      </w:r>
      <w:r>
        <w:rPr>
          <w:rFonts w:ascii="Arial" w:hAnsi="Arial" w:eastAsia="Arial" w:cs="Arial"/>
          <w:b/>
          <w:bCs/>
          <w:i w:val="0"/>
          <w:iCs w:val="0"/>
          <w:smallCaps w:val="0"/>
          <w:strike w:val="0"/>
          <w:color w:val="000000"/>
          <w:sz w:val="22"/>
          <w:szCs w:val="22"/>
          <w:u w:val="none"/>
          <w:vertAlign w:val="baseline"/>
          <w:rtl w:val="0"/>
        </w:rPr>
        <w:t xml:space="preserve">Nonparametric Statistical Methods.</w:t>
      </w:r>
      <w:r>
        <w:rPr>
          <w:rFonts w:ascii="Arial" w:hAnsi="Arial" w:eastAsia="Arial" w:cs="Arial"/>
          <w:b w:val="0"/>
          <w:bCs w:val="0"/>
          <w:i w:val="0"/>
          <w:iCs w:val="0"/>
          <w:smallCaps w:val="0"/>
          <w:strike w:val="0"/>
          <w:color w:val="000000"/>
          <w:sz w:val="22"/>
          <w:szCs w:val="22"/>
          <w:u w:val="none"/>
          <w:vertAlign w:val="baseline"/>
          <w:rtl w:val="0"/>
        </w:rPr>
        <w:t xml:space="preserve"> 3. ed. Hoboken: John Wiley &amp; Sons, 2013.</w:t>
      </w:r>
    </w:p>
    <w:p>
      <w:pPr>
        <w:spacing w:line="360" w:lineRule="auto"/>
        <w:jc w:val="both"/>
        <w:rPr>
          <w:rFonts w:ascii="Arial" w:hAnsi="Arial" w:eastAsia="Arial" w:cs="Arial"/>
          <w:sz w:val="22"/>
          <w:szCs w:val="22"/>
        </w:rPr>
      </w:pPr>
    </w:p>
    <w:sectPr>
      <w:headerReference w:type="default" r:id="rId5"/>
      <w:footerReference w:type="default" r:id="rId6"/>
      <w:type w:val="nextPage"/>
      <w:pgSz w:w="11906" w:h="16838"/>
      <w:pgMar w:top="1418" w:right="1418" w:bottom="1418" w:left="1418" w:header="708" w:footer="708" w:gutter="0"/>
      <w:pgNumType w:fmt="decimal" w:start="1"/>
      <w:cols w:space="720"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Arial Unicode MS"/>
  <w:font w:name="Courier New"/>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tabs>
        <w:tab w:val="center" w:pos="4252"/>
        <w:tab w:val="right" w:pos="8504"/>
      </w:tabs>
      <w:spacing w:before="0" w:after="0" w:line="240" w:lineRule="auto"/>
      <w:ind w:left="0" w:right="0" w:firstLine="0"/>
      <w:jc w:val="right"/>
      <w:rPr>
        <w:rFonts w:ascii="Arial" w:hAnsi="Arial" w:eastAsia="Arial" w:cs="Arial"/>
        <w:b w:val="0"/>
        <w:bCs w:val="0"/>
        <w:i w:val="0"/>
        <w:iCs w:val="0"/>
        <w:smallCaps w:val="0"/>
        <w:strike w:val="0"/>
        <w:color w:val="000000"/>
        <w:sz w:val="18"/>
        <w:szCs w:val="18"/>
        <w:u w:val="none"/>
        <w:vertAlign w:val="baseline"/>
      </w:rPr>
    </w:pPr>
    <w:r>
      <w:rPr>
        <w:rFonts w:ascii="Arial" w:hAnsi="Arial" w:eastAsia="Arial" w:cs="Arial"/>
        <w:b w:val="0"/>
        <w:bCs w:val="0"/>
        <w:i w:val="0"/>
        <w:iCs w:val="0"/>
        <w:smallCaps w:val="0"/>
        <w:strike w:val="0"/>
        <w:color w:val="000000"/>
        <w:sz w:val="18"/>
        <w:szCs w:val="18"/>
        <w:u w:val="none"/>
        <w:vertAlign w:val="baseline"/>
      </w:rPr>
      <w:fldChar w:fldCharType="begin"/>
    </w:r>
    <w:r>
      <w:rPr>
        <w:rFonts w:ascii="Arial" w:hAnsi="Arial" w:eastAsia="Arial" w:cs="Arial"/>
        <w:b w:val="0"/>
        <w:bCs w:val="0"/>
        <w:i w:val="0"/>
        <w:iCs w:val="0"/>
        <w:smallCaps w:val="0"/>
        <w:strike w:val="0"/>
        <w:color w:val="000000"/>
        <w:sz w:val="18"/>
        <w:szCs w:val="18"/>
        <w:u w:val="none"/>
        <w:vertAlign w:val="baseline"/>
      </w:rPr>
      <w:instrText xml:space="preserve"> PAGE </w:instrText>
    </w:r>
    <w:r>
      <w:rPr>
        <w:rFonts w:ascii="Arial" w:hAnsi="Arial" w:eastAsia="Arial" w:cs="Arial"/>
        <w:b w:val="0"/>
        <w:bCs w:val="0"/>
        <w:i w:val="0"/>
        <w:iCs w:val="0"/>
        <w:smallCaps w:val="0"/>
        <w:strike w:val="0"/>
        <w:color w:val="000000"/>
        <w:sz w:val="18"/>
        <w:szCs w:val="18"/>
        <w:u w:val="none"/>
        <w:vertAlign w:val="baseline"/>
      </w:rPr>
      <w:fldChar w:fldCharType="separate"/>
    </w:r>
    <w:r>
      <w:rPr>
        <w:rFonts w:ascii="Arial" w:hAnsi="Arial" w:eastAsia="Arial" w:cs="Arial"/>
        <w:b w:val="0"/>
        <w:bCs w:val="0"/>
        <w:i w:val="0"/>
        <w:iCs w:val="0"/>
        <w:smallCaps w:val="0"/>
        <w:strike w:val="0"/>
        <w:color w:val="000000"/>
        <w:sz w:val="18"/>
        <w:szCs w:val="18"/>
        <w:u w:val="none"/>
        <w:vertAlign w:val="baseline"/>
      </w:rPr>
      <w:fldChar w:fldCharType="end"/>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tabs>
        <w:tab w:val="center" w:pos="4252"/>
        <w:tab w:val="right" w:pos="8504"/>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vertAlign w:val="baseline"/>
      </w:rPr>
    </w:pP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3968" w:firstLine="0"/>
      <w:jc w:val="both"/>
      <w:rPr>
        <w:rFonts w:ascii="Arial" w:hAnsi="Arial" w:eastAsia="Arial" w:cs="Arial"/>
        <w:b w:val="0"/>
        <w:bCs w:val="0"/>
        <w:i w:val="0"/>
        <w:iCs w:val="0"/>
        <w:smallCaps w:val="0"/>
        <w:strike w:val="0"/>
        <w:color w:val="000000"/>
        <w:sz w:val="16"/>
        <w:szCs w:val="16"/>
        <w:u w:val="none"/>
        <w:vertAlign w:val="baseline"/>
      </w:rPr>
    </w:pPr>
    <w:r>
      <w:rPr>
        <w:rFonts w:ascii="Arial" w:hAnsi="Arial" w:eastAsia="Arial" w:cs="Arial"/>
        <w:b w:val="0"/>
        <w:bCs w:val="0"/>
        <w:i w:val="0"/>
        <w:iCs w:val="0"/>
        <w:smallCaps w:val="0"/>
        <w:strike w:val="0"/>
        <w:color w:val="000000"/>
        <w:sz w:val="16"/>
        <w:szCs w:val="16"/>
        <w:u w:val="none"/>
        <w:vertAlign w:val="baseline"/>
        <w:rtl w:val="0"/>
      </w:rPr>
      <w:t xml:space="preserve">Tech Challenge · Pós-graduação em Agentic AI · Fase 1 – FIAP – 2026</w:t>
    </w:r>
    <w:r>
      <w:drawing>
        <wp:anchor distT="0" distB="0" distL="114300" distR="114300" simplePos="0" relativeHeight="251658241" behindDoc="0" locked="0" layoutInCell="1" allowOverlap="1">
          <wp:simplePos x="0" y="0"/>
          <wp:positionH relativeFrom="column">
            <wp:posOffset>4730313</wp:posOffset>
          </wp:positionH>
          <wp:positionV relativeFrom="paragraph">
            <wp:posOffset>-105409</wp:posOffset>
          </wp:positionV>
          <wp:extent cx="1029137" cy="298450"/>
          <wp:effectExtent l="0" t="0" r="0" b="0"/>
          <wp:wrapSquare wrapText="bothSides"/>
          <wp:docPr id="5" name="Picture 5" descr="Desenho com traços pretos em fundo branco&#10;&#10;Descrição gerada automaticamente com confiança média"/>
          <wp:cNvGraphicFramePr/>
          <a:graphic>
            <a:graphicData uri="http://schemas.openxmlformats.org/drawingml/2006/picture">
              <pic:pic>
                <pic:nvPicPr>
                  <pic:cNvPr id="0" name="image3.png" descr="Desenho com traços pretos em fundo branco&#10;&#10;Descrição gerada automaticamente com confiança média"/>
                  <pic:cNvPicPr>
                    <a:picLocks noChangeAspect="1" noChangeArrowheads="1"/>
                  </pic:cNvPicPr>
                </pic:nvPicPr>
                <pic:blipFill>
                  <a:blip r:embed="rId1"/>
                  <a:stretch>
                    <a:fillRect/>
                  </a:stretch>
                </pic:blipFill>
                <pic:spPr bwMode="auto">
                  <a:xfrm>
                    <a:off x="0" y="0"/>
                    <a:ext cx="1029137" cy="298450"/>
                  </a:xfrm>
                  <a:prstGeom prst="rect">
                    <a:avLst/>
                  </a:prstGeom>
                </pic:spPr>
              </pic:pic>
            </a:graphicData>
          </a:graphic>
        </wp:anchor>
      </w:drawing>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tabs>
        <w:tab w:val="center" w:pos="4252"/>
        <w:tab w:val="right" w:pos="8504"/>
        <w:tab w:val="left" w:pos="1785"/>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vertAlign w:val="baseline"/>
      </w:rPr>
    </w:pPr>
    <w:r>
      <w:rPr>
        <w:rFonts w:ascii="Times New Roman" w:hAnsi="Times New Roman" w:eastAsia="Times New Roman" w:cs="Times New Roman"/>
        <w:b w:val="0"/>
        <w:bCs w:val="0"/>
        <w:i w:val="0"/>
        <w:iCs w:val="0"/>
        <w:smallCaps w:val="0"/>
        <w:strike w:val="0"/>
        <w:color w:val="000000"/>
        <w:sz w:val="20"/>
        <w:szCs w:val="20"/>
        <w:u w:val="none"/>
        <w:vertAlign w:val="baseline"/>
        <w:rtl w:val="0"/>
      </w:rPr>
      <w:tab/>
    </w:r>
    <w:r>
      <w:rPr>
        <w:rFonts w:ascii="Arial" w:hAnsi="Arial" w:eastAsia="Arial" w:cs="Arial"/>
        <w:b w:val="0"/>
        <w:bCs w:val="0"/>
        <w:i w:val="0"/>
        <w:iCs w:val="0"/>
        <w:smallCaps w:val="0"/>
        <w:strike w:val="0"/>
        <w:color w:val="000000"/>
        <w:sz w:val="18"/>
        <w:szCs w:val="18"/>
        <w:u w:val="none"/>
        <w:vertAlign w:val="baseline"/>
        <w:rtl w:val="0"/>
      </w:rPr>
      <w:tab/>
    </w:r>
    <w:r>
      <w:drawing>
        <wp:anchor distT="0" distB="0" distL="0" distR="0" simplePos="0" relativeHeight="251658242" behindDoc="1" locked="0" layoutInCell="1" allowOverlap="1">
          <wp:simplePos x="0" y="0"/>
          <wp:positionH relativeFrom="column">
            <wp:posOffset>6350</wp:posOffset>
          </wp:positionH>
          <wp:positionV relativeFrom="paragraph">
            <wp:posOffset>100330</wp:posOffset>
          </wp:positionV>
          <wp:extent cx="5753100" cy="12700"/>
          <wp:effectExtent l="0" t="0" r="0" b="0"/>
          <wp:wrapNone/>
          <wp:docPr id="6" name="Shape 6" descr=""/>
          <wp:cNvGraphicFramePr/>
          <a:graphic>
            <a:graphicData uri="http://schemas.microsoft.com/office/word/2010/wordprocessingShape">
              <wps:wsp>
                <wps:cNvCnPr/>
                <wps:spPr>
                  <a:xfrm>
                    <a:off x="0" y="0"/>
                    <a:ext cx="5753100" cy="12700"/>
                  </a:xfrm>
                  <a:prstGeom prst="straightConnector1">
                    <a:avLst/>
                  </a:prstGeom>
                  <a:noFill/>
                  <a:ln w="9525">
                    <a:solidFill>
                      <a:srgbClr val="595959"/>
                    </a:solidFill>
                  </a:ln>
                </wps:spPr>
                <wps:bodyPr/>
              </wps:wsp>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1">
    <w:multiLevelType w:val="multilevel"/>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haracterSpacingControl w:val="doNotCompress"/>
  <w:footnotePr>
    <w:numFmt w:val="decimal"/>
  </w:footnotePr>
  <w:endnotePr>
    <w:numFmt w:val="lowerRoman"/>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sz w:val="20"/>
        <w:lang w:val="pt_BR"/>
      </w:rPr>
    </w:rPrDefault>
    <w:pPrDefault>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uiPriority w:val="0"/>
    <w:qFormat/>
  </w:style>
  <w:style w:type="paragraph" w:styleId="Heading1">
    <w:name w:val="heading 1"/>
    <w:basedOn w:val="Normal"/>
    <w:next w:val="Normal"/>
    <w:uiPriority w:val="10"/>
    <w:qFormat/>
    <w:pPr>
      <w:keepNext/>
      <w:keepLines/>
      <w:pageBreakBefore w:val="0"/>
      <w:spacing w:before="480" w:after="120"/>
    </w:pPr>
    <w:rPr>
      <w:b/>
      <w:bCs/>
      <w:sz w:val="48"/>
      <w:szCs w:val="48"/>
    </w:rPr>
  </w:style>
  <w:style w:type="paragraph" w:styleId="Heading2">
    <w:name w:val="heading 2"/>
    <w:basedOn w:val="Normal"/>
    <w:next w:val="Normal"/>
    <w:uiPriority w:val="11"/>
    <w:qFormat/>
    <w:pPr>
      <w:keepNext/>
      <w:keepLines/>
      <w:pageBreakBefore w:val="0"/>
      <w:spacing w:before="360" w:after="80"/>
    </w:pPr>
    <w:rPr>
      <w:b/>
      <w:bCs/>
      <w:sz w:val="36"/>
      <w:szCs w:val="36"/>
    </w:rPr>
  </w:style>
  <w:style w:type="paragraph" w:styleId="Heading3">
    <w:name w:val="heading 3"/>
    <w:basedOn w:val="Normal"/>
    <w:next w:val="Normal"/>
    <w:uiPriority w:val="12"/>
    <w:qFormat/>
    <w:pPr>
      <w:keepNext/>
      <w:keepLines/>
      <w:pageBreakBefore w:val="0"/>
      <w:spacing w:before="280" w:after="80"/>
    </w:pPr>
    <w:rPr>
      <w:b/>
      <w:bCs/>
      <w:sz w:val="28"/>
      <w:szCs w:val="28"/>
    </w:rPr>
  </w:style>
  <w:style w:type="paragraph" w:styleId="Heading4">
    <w:name w:val="heading 4"/>
    <w:basedOn w:val="Normal"/>
    <w:next w:val="Normal"/>
    <w:pPr>
      <w:keepNext/>
      <w:keepLines/>
      <w:pageBreakBefore w:val="0"/>
      <w:spacing w:before="240" w:after="40"/>
    </w:pPr>
    <w:rPr>
      <w:b/>
      <w:bCs/>
      <w:sz w:val="24"/>
      <w:szCs w:val="24"/>
    </w:rPr>
  </w:style>
  <w:style w:type="paragraph" w:styleId="Heading5">
    <w:name w:val="heading 5"/>
    <w:basedOn w:val="Normal"/>
    <w:next w:val="Normal"/>
    <w:pPr>
      <w:keepNext/>
      <w:keepLines/>
      <w:pageBreakBefore w:val="0"/>
      <w:spacing w:before="220" w:after="40"/>
    </w:pPr>
    <w:rPr>
      <w:b/>
      <w:bCs/>
      <w:sz w:val="22"/>
      <w:szCs w:val="22"/>
    </w:rPr>
  </w:style>
  <w:style w:type="paragraph" w:styleId="Heading6">
    <w:name w:val="heading 6"/>
    <w:basedOn w:val="Normal"/>
    <w:next w:val="Normal"/>
    <w:pPr>
      <w:keepNext/>
      <w:keepLines/>
      <w:pageBreakBefore w:val="0"/>
      <w:spacing w:before="200" w:after="40"/>
    </w:pPr>
    <w:rPr>
      <w:b/>
      <w:bCs/>
      <w:sz w:val="20"/>
      <w:szCs w:val="20"/>
    </w:rPr>
  </w:style>
  <w:style w:type="paragraph" w:styleId="Title">
    <w:name w:val="Title"/>
    <w:basedOn w:val="Normal"/>
    <w:next w:val="Normal"/>
    <w:uiPriority w:val="10"/>
    <w:qFormat/>
    <w:pPr>
      <w:keepNext/>
      <w:spacing w:before="240" w:after="120"/>
    </w:pPr>
    <w:rPr>
      <w:rFonts w:ascii="Liberation Sans" w:hAnsi="Liberation Sans" w:eastAsia="Liberation Sans" w:cs="Liberation Sans"/>
      <w:sz w:val="28"/>
      <w:szCs w:val="28"/>
    </w:rPr>
  </w:style>
  <w:style w:type="paragraph" w:styleId="Subtitle">
    <w:name w:val="Subtitle"/>
    <w:basedOn w:val="Normal"/>
    <w:next w:val="Normal"/>
    <w:uiPriority w:val="11"/>
    <w:qFormat/>
    <w:pPr>
      <w:keepNext/>
      <w:keepLines/>
      <w:pageBreakBefore w:val="0"/>
      <w:spacing w:before="360" w:after="80"/>
    </w:pPr>
    <w:rPr>
      <w:rFonts w:ascii="Georgia" w:hAnsi="Georgia" w:eastAsia="Georgia" w:cs="Georgia"/>
      <w:i/>
      <w:iCs/>
      <w:color w:val="666666"/>
      <w:sz w:val="48"/>
      <w:szCs w:val="48"/>
    </w:rPr>
  </w:style>
  <w:style w:type="table" w:styleId="Table1">
    <w:name w:val="Table1"/>
    <w:basedOn w:val="TableNormal"/>
    <w:tblPr>
      <w:tblStyleRowBandSize w:val="1"/>
      <w:tblStyleColBandSize w:val="1"/>
      <w:tblCellMar>
        <w:top w:w="0" w:type="dxa"/>
        <w:left w:w="108" w:type="dxa"/>
        <w:bottom w:w="0" w:type="dxa"/>
        <w:right w:w="108" w:type="dxa"/>
      </w:tblCellMar>
    </w:tblPr>
  </w:style>
  <w:style w:type="table" w:styleId="Table2">
    <w:name w:val="Table2"/>
    <w:basedOn w:val="TableNormal"/>
    <w:tblPr>
      <w:tblStyleRowBandSize w:val="1"/>
      <w:tblStyleColBandSize w:val="1"/>
      <w:tblCellMar>
        <w:top w:w="0" w:type="dxa"/>
        <w:left w:w="108" w:type="dxa"/>
        <w:bottom w:w="0" w:type="dxa"/>
        <w:right w:w="108" w:type="dxa"/>
      </w:tblCellMar>
    </w:tblPr>
  </w:style>
  <w:style w:type="table" w:styleId="Table3">
    <w:name w:val="Table3"/>
    <w:basedOn w:val="TableNormal"/>
    <w:tblPr>
      <w:tblStyleRowBandSize w:val="1"/>
      <w:tblStyleColBandSize w:val="1"/>
      <w:tblCellMar>
        <w:top w:w="0" w:type="dxa"/>
        <w:left w:w="108" w:type="dxa"/>
        <w:bottom w:w="0" w:type="dxa"/>
        <w:right w:w="108" w:type="dxa"/>
      </w:tblCellMar>
    </w:tblPr>
  </w:style>
  <w:style w:type="table" w:styleId="Table4">
    <w:name w:val="Table4"/>
    <w:basedOn w:val="TableNormal"/>
    <w:tblPr>
      <w:tblStyleRowBandSize w:val="1"/>
      <w:tblStyleColBandSize w:val="1"/>
      <w:tblCellMar>
        <w:top w:w="0" w:type="dxa"/>
        <w:left w:w="108" w:type="dxa"/>
        <w:bottom w:w="0" w:type="dxa"/>
        <w:right w:w="108" w:type="dxa"/>
      </w:tblCellMar>
    </w:tblPr>
  </w:style>
  <w:style w:type="table" w:styleId="Table5">
    <w:name w:val="Table5"/>
    <w:basedOn w:val="TableNormal"/>
    <w:tblPr>
      <w:tblStyleRowBandSize w:val="1"/>
      <w:tblStyleColBandSize w:val="1"/>
      <w:tblCellMar>
        <w:top w:w="0" w:type="dxa"/>
        <w:left w:w="108" w:type="dxa"/>
        <w:bottom w:w="0" w:type="dxa"/>
        <w:right w:w="108" w:type="dxa"/>
      </w:tblCellMar>
    </w:tbl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 Id="rId4" Type="http://schemas.openxmlformats.org/officeDocument/2006/relationships/image" Target="media/image5.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fo0kCrP4HaI6bBQLrXzURUv50g==">CgMxLjAaJAoBMBIfCh0IB0IZCgVBcmlhbBIQQXJpYWwgVW5pY29kZSBNUzIOaC5xbDByeDl2dTFtZXcyDmguczFsZzdlaGlkczdoMg5oLnNwdmhpbmV0ODJnczgAciExNmZrNlVUWXlVd3p0OXB3alpfeGpVenczRjNnR2NmM2U=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WordCraft</Application>
  <Words>2842</Words>
  <Paragraphs>249</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1</cp:revision>
  <dcterms:created xsi:type="dcterms:W3CDTF">2026-10-28T18:33:02Z</dcterms:created>
  <dcterms:modified xsi:type="dcterms:W3CDTF">2026-10-28T18:33:02Z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GrammarlyDocumentId">
    <vt:lpwstr>a3b0207b-49e3-4a4c-a082-0901807cc2d7</vt:lpwstr>
  </property>
  <property fmtid="{D5CDD505-2E9C-101B-9397-08002B2CF9AE}" pid="4" name="MediaServiceImageTags">
    <vt:lpwstr>MediaServiceImageTags</vt:lpwstr>
  </property>
</Properties>
</file>