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5680" w14:textId="77777777" w:rsidR="00A40294" w:rsidRDefault="00CC5DD1">
      <w:pPr>
        <w:spacing w:after="60"/>
      </w:pPr>
      <w:r>
        <w:rPr>
          <w:b/>
          <w:bCs/>
          <w:color w:val="8C8C8C"/>
        </w:rPr>
        <w:t>NOTA DE QA</w:t>
      </w:r>
    </w:p>
    <w:p w14:paraId="5A026CC7" w14:textId="77777777" w:rsidR="00A40294" w:rsidRDefault="00CC5DD1">
      <w:pPr>
        <w:spacing w:after="200"/>
      </w:pPr>
      <w:r>
        <w:rPr>
          <w:b/>
          <w:bCs/>
          <w:color w:val="1F4E79"/>
          <w:sz w:val="36"/>
          <w:szCs w:val="36"/>
        </w:rPr>
        <w:t>Consistência Interna — Relatório Feedback 360° (Hydro)</w:t>
      </w:r>
    </w:p>
    <w:p w14:paraId="2A13E6EF" w14:textId="77777777" w:rsidR="00A40294" w:rsidRDefault="00CC5DD1">
      <w:pPr>
        <w:spacing w:after="70"/>
      </w:pPr>
      <w:r>
        <w:rPr>
          <w:b/>
          <w:bCs/>
        </w:rPr>
        <w:t xml:space="preserve">Documento avaliado: </w:t>
      </w:r>
      <w:r>
        <w:t>Relatório Feedback 360° — Eliwelton Batista / Hydro (18 páginas)</w:t>
      </w:r>
    </w:p>
    <w:p w14:paraId="588F3417" w14:textId="3BE79CAD" w:rsidR="00A40294" w:rsidRDefault="00CC5DD1">
      <w:pPr>
        <w:spacing w:after="70"/>
      </w:pPr>
      <w:r>
        <w:rPr>
          <w:b/>
          <w:bCs/>
        </w:rPr>
        <w:t xml:space="preserve">Fonte de verificação adicional: </w:t>
      </w:r>
      <w:r>
        <w:t xml:space="preserve">Hydro_Extrato_360_20260827.xlsx </w:t>
      </w:r>
    </w:p>
    <w:p w14:paraId="6D2C5104" w14:textId="77777777" w:rsidR="00A40294" w:rsidRDefault="00CC5DD1">
      <w:pPr>
        <w:spacing w:after="70"/>
      </w:pPr>
      <w:r>
        <w:rPr>
          <w:b/>
          <w:bCs/>
        </w:rPr>
        <w:t xml:space="preserve">Data da análise: </w:t>
      </w:r>
      <w:r>
        <w:t>27/08/2026</w:t>
      </w:r>
    </w:p>
    <w:p w14:paraId="582D0A8D" w14:textId="77777777" w:rsidR="00A40294" w:rsidRDefault="00A40294">
      <w:pPr>
        <w:pBdr>
          <w:bottom w:val="single" w:sz="6" w:space="4" w:color="CCCCCC"/>
        </w:pBdr>
        <w:spacing w:after="200"/>
      </w:pPr>
    </w:p>
    <w:p w14:paraId="52FAA60D" w14:textId="77777777" w:rsidR="00A40294" w:rsidRDefault="00CC5DD1">
      <w:pPr>
        <w:pStyle w:val="Ttulo1"/>
        <w:spacing w:before="320" w:after="160"/>
      </w:pPr>
      <w:r>
        <w:rPr>
          <w:b/>
          <w:bCs/>
          <w:color w:val="1F4E79"/>
          <w:sz w:val="27"/>
          <w:szCs w:val="27"/>
        </w:rPr>
        <w:t>Conclusão</w:t>
      </w:r>
    </w:p>
    <w:p w14:paraId="23FFE31D" w14:textId="77777777" w:rsidR="002B5874" w:rsidRDefault="00CC5DD1">
      <w:pPr>
        <w:spacing w:after="150"/>
      </w:pPr>
      <w:r>
        <w:t xml:space="preserve">Todas as médias por grupo (Avaliado/Gestor/Pares/Subordinados/Outros) foram recalculadas a partir das 96 respostas brutas do extrato e batem exatamente com o Resumo Executivo, com os gráficos de barras e com a Tabela de Frequência — usando o método "média das médias por grupo" (cada categoria de avaliador conta um voto, independente de quantas pessoas a compõem). </w:t>
      </w:r>
    </w:p>
    <w:p w14:paraId="74C130F6" w14:textId="3F726E57" w:rsidR="00A40294" w:rsidRDefault="00CC5DD1">
      <w:pPr>
        <w:spacing w:after="150"/>
      </w:pPr>
      <w:r>
        <w:t xml:space="preserve">A aritmética do Gráfico de Defasagem (Autoavaliação − Demais Avaliadores = Análise de defasagem) fecha nas 16 linhas, e o ranking Top 6 / </w:t>
      </w:r>
      <w:proofErr w:type="spellStart"/>
      <w:r>
        <w:t>Bottom</w:t>
      </w:r>
      <w:proofErr w:type="spellEnd"/>
      <w:r>
        <w:t xml:space="preserve"> 6 está ordenado corretamente, sem o problema de desempate encontrado no teste anterior. O mapeamento comportamento → competência também está correto desta vez (diferente do relatório de teste).</w:t>
      </w:r>
    </w:p>
    <w:p w14:paraId="32805151" w14:textId="04C8CD48" w:rsidR="00A40294" w:rsidRDefault="00CC5DD1">
      <w:pPr>
        <w:spacing w:after="150"/>
      </w:pPr>
      <w:r>
        <w:rPr>
          <w:b/>
          <w:bCs/>
        </w:rPr>
        <w:t>Porém, com Pares tendo 2 respondentes (diferente do relatório de teste, onde todos os grupos tinham só 1), apareceu um problema que só fica visível quando os grupos têm tamanhos diferentes: o relatório usa DUAS fórmulas diferentes de "média sem autoavaliação" em seções diferentes, e elas divergem o suficiente para mudar a conclusão de uma competência inteira.</w:t>
      </w:r>
    </w:p>
    <w:p w14:paraId="7FBC6551" w14:textId="77777777" w:rsidR="00A40294" w:rsidRDefault="00CC5DD1">
      <w:pPr>
        <w:pStyle w:val="Ttulo1"/>
        <w:spacing w:before="320" w:after="160"/>
      </w:pPr>
      <w:r>
        <w:rPr>
          <w:b/>
          <w:bCs/>
          <w:color w:val="1F4E79"/>
          <w:sz w:val="27"/>
          <w:szCs w:val="27"/>
        </w:rPr>
        <w:t xml:space="preserve">Achado 1 (principal) — duas metodologias de "Demais Avaliadores" convivem no relatório, e uma delas muda o quadrante da Janela de </w:t>
      </w:r>
      <w:proofErr w:type="spellStart"/>
      <w:r>
        <w:rPr>
          <w:b/>
          <w:bCs/>
          <w:color w:val="1F4E79"/>
          <w:sz w:val="27"/>
          <w:szCs w:val="27"/>
        </w:rPr>
        <w:t>Johari</w:t>
      </w:r>
      <w:proofErr w:type="spellEnd"/>
    </w:p>
    <w:p w14:paraId="62FE395E" w14:textId="77777777" w:rsidR="002B5874" w:rsidRDefault="00CC5DD1">
      <w:pPr>
        <w:spacing w:after="150"/>
      </w:pPr>
      <w:r>
        <w:t xml:space="preserve">O Resumo Executivo, os gráficos de barra, a Tabela de Frequência e a tabela-resumo da Janela de </w:t>
      </w:r>
      <w:proofErr w:type="spellStart"/>
      <w:r>
        <w:t>Johari</w:t>
      </w:r>
      <w:proofErr w:type="spellEnd"/>
      <w:r>
        <w:t xml:space="preserve"> (pág. 14) calculam "Média sem autoavaliação" como a média das médias de cada grupo — ou seja, Gestor(es), Pares, Subordinados e Outros contam cada um como 1 voto, não importa quantas pessoas responderam por eles. </w:t>
      </w:r>
    </w:p>
    <w:p w14:paraId="7987CCE8" w14:textId="2677F4FC" w:rsidR="00A40294" w:rsidRDefault="00CC5DD1">
      <w:pPr>
        <w:spacing w:after="150"/>
      </w:pPr>
      <w:r>
        <w:t xml:space="preserve">Já o Gráfico de Defasagem (pág. 16-18) e as tabelas "Avaliações mais altas/mais baixas" (pág. 15-16) calculam a mesma coisa agrupando todas as respostas individuais e tirando uma média única — o que faz Pares (2 respondentes) pesar o dobro de Gestor, </w:t>
      </w:r>
      <w:proofErr w:type="gramStart"/>
      <w:r>
        <w:t>Subordinados</w:t>
      </w:r>
      <w:proofErr w:type="gramEnd"/>
      <w:r>
        <w:t xml:space="preserve"> ou Outros (1 respondente cada).</w:t>
      </w:r>
    </w:p>
    <w:p w14:paraId="69CCE37A" w14:textId="77777777" w:rsidR="00A40294" w:rsidRDefault="00CC5DD1">
      <w:pPr>
        <w:spacing w:after="150"/>
      </w:pPr>
      <w:r>
        <w:t>Recalculando as 6 competências pelos dois métodos a partir do extrato bruto: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1112"/>
        <w:gridCol w:w="1514"/>
        <w:gridCol w:w="1690"/>
        <w:gridCol w:w="1027"/>
        <w:gridCol w:w="1665"/>
      </w:tblGrid>
      <w:tr w:rsidR="00A40294" w14:paraId="108CA0A9" w14:textId="77777777">
        <w:trPr>
          <w:tblHeader/>
        </w:trPr>
        <w:tc>
          <w:tcPr>
            <w:tcW w:w="36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FC19E" w14:textId="77777777" w:rsidR="00A40294" w:rsidRDefault="00CC5DD1">
            <w:r>
              <w:rPr>
                <w:b/>
                <w:bCs/>
                <w:color w:val="FFFFFF"/>
                <w:sz w:val="18"/>
                <w:szCs w:val="18"/>
              </w:rPr>
              <w:t>Competência</w:t>
            </w:r>
          </w:p>
        </w:tc>
        <w:tc>
          <w:tcPr>
            <w:tcW w:w="115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3C5BB" w14:textId="77777777" w:rsidR="00A40294" w:rsidRDefault="00CC5DD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Autoaval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5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57006" w14:textId="77777777" w:rsidR="00A40294" w:rsidRDefault="00CC5D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Demais (média das médias) — método do Resumo/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Johari</w:t>
            </w:r>
            <w:proofErr w:type="spellEnd"/>
          </w:p>
        </w:tc>
        <w:tc>
          <w:tcPr>
            <w:tcW w:w="155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76EE5" w14:textId="77777777" w:rsidR="00A40294" w:rsidRDefault="00CC5D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Demais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pooled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 — método da Defasagem/Ranking</w:t>
            </w:r>
          </w:p>
        </w:tc>
        <w:tc>
          <w:tcPr>
            <w:tcW w:w="105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6236E" w14:textId="77777777" w:rsidR="00A40294" w:rsidRDefault="00CC5D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Diferença</w:t>
            </w:r>
          </w:p>
        </w:tc>
        <w:tc>
          <w:tcPr>
            <w:tcW w:w="178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9FD70" w14:textId="77777777" w:rsidR="00A40294" w:rsidRDefault="00CC5D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Cruza o limiar 3,75?</w:t>
            </w:r>
          </w:p>
        </w:tc>
      </w:tr>
      <w:tr w:rsidR="00A40294" w14:paraId="215F84F4" w14:textId="77777777"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C2751" w14:textId="77777777" w:rsidR="00A40294" w:rsidRDefault="00CC5DD1">
            <w:r>
              <w:rPr>
                <w:color w:val="000000"/>
                <w:sz w:val="18"/>
                <w:szCs w:val="18"/>
              </w:rPr>
              <w:t>Inovar e melhorar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D49E8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4,25</w:t>
            </w:r>
          </w:p>
        </w:tc>
        <w:tc>
          <w:tcPr>
            <w:tcW w:w="15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9304E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4,08</w:t>
            </w:r>
          </w:p>
        </w:tc>
        <w:tc>
          <w:tcPr>
            <w:tcW w:w="15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F172C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4,06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8CFF8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0,02</w:t>
            </w:r>
          </w:p>
        </w:tc>
        <w:tc>
          <w:tcPr>
            <w:tcW w:w="17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F46E4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Não</w:t>
            </w:r>
          </w:p>
        </w:tc>
      </w:tr>
      <w:tr w:rsidR="00A40294" w14:paraId="36AD74F1" w14:textId="77777777">
        <w:tc>
          <w:tcPr>
            <w:tcW w:w="3600" w:type="dxa"/>
            <w:shd w:val="clear" w:color="auto" w:fill="FDE8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C3C3C" w14:textId="77777777" w:rsidR="00A40294" w:rsidRDefault="00CC5DD1">
            <w:r>
              <w:rPr>
                <w:b/>
                <w:bCs/>
                <w:color w:val="000000"/>
                <w:sz w:val="18"/>
                <w:szCs w:val="18"/>
              </w:rPr>
              <w:t>Gerar valor para o cliente</w:t>
            </w:r>
          </w:p>
        </w:tc>
        <w:tc>
          <w:tcPr>
            <w:tcW w:w="1150" w:type="dxa"/>
            <w:shd w:val="clear" w:color="auto" w:fill="FDE8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FC176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4,00</w:t>
            </w:r>
          </w:p>
        </w:tc>
        <w:tc>
          <w:tcPr>
            <w:tcW w:w="1550" w:type="dxa"/>
            <w:shd w:val="clear" w:color="auto" w:fill="FDE8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D826A" w14:textId="77777777" w:rsidR="00A40294" w:rsidRDefault="00CC5DD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3,79</w:t>
            </w:r>
          </w:p>
        </w:tc>
        <w:tc>
          <w:tcPr>
            <w:tcW w:w="1550" w:type="dxa"/>
            <w:shd w:val="clear" w:color="auto" w:fill="FDE8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FF57" w14:textId="77777777" w:rsidR="00A40294" w:rsidRDefault="00CC5DD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3,60</w:t>
            </w:r>
          </w:p>
        </w:tc>
        <w:tc>
          <w:tcPr>
            <w:tcW w:w="1050" w:type="dxa"/>
            <w:shd w:val="clear" w:color="auto" w:fill="FDE8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081F3" w14:textId="77777777" w:rsidR="00A40294" w:rsidRDefault="00CC5DD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0,19</w:t>
            </w:r>
          </w:p>
        </w:tc>
        <w:tc>
          <w:tcPr>
            <w:tcW w:w="1780" w:type="dxa"/>
            <w:shd w:val="clear" w:color="auto" w:fill="FDE8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61CD9" w14:textId="77777777" w:rsidR="00A40294" w:rsidRDefault="00CC5DD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SIM — muda de quadrante</w:t>
            </w:r>
          </w:p>
        </w:tc>
      </w:tr>
      <w:tr w:rsidR="00A40294" w14:paraId="3E35BDD1" w14:textId="77777777"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C1FA9" w14:textId="77777777" w:rsidR="00A40294" w:rsidRDefault="00CC5DD1">
            <w:r>
              <w:rPr>
                <w:color w:val="000000"/>
                <w:sz w:val="18"/>
                <w:szCs w:val="18"/>
              </w:rPr>
              <w:t>Liderar e treinar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775A1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4,67</w:t>
            </w:r>
          </w:p>
        </w:tc>
        <w:tc>
          <w:tcPr>
            <w:tcW w:w="15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87629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4,48</w:t>
            </w:r>
          </w:p>
        </w:tc>
        <w:tc>
          <w:tcPr>
            <w:tcW w:w="15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9C01C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4,50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BDB5F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-0,02</w:t>
            </w:r>
          </w:p>
        </w:tc>
        <w:tc>
          <w:tcPr>
            <w:tcW w:w="17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BA640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Não</w:t>
            </w:r>
          </w:p>
        </w:tc>
      </w:tr>
      <w:tr w:rsidR="00A40294" w14:paraId="48C67799" w14:textId="77777777"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FC93A" w14:textId="77777777" w:rsidR="00A40294" w:rsidRDefault="00CC5DD1">
            <w:r>
              <w:rPr>
                <w:color w:val="000000"/>
                <w:sz w:val="18"/>
                <w:szCs w:val="18"/>
              </w:rPr>
              <w:t>Incluir e engajar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788CB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4,50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79B9A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4,38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94434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4,38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A4FE3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7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79EDD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Não (só 1 Par respondeu)</w:t>
            </w:r>
          </w:p>
        </w:tc>
      </w:tr>
      <w:tr w:rsidR="00A40294" w14:paraId="62B23EC7" w14:textId="77777777"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71755" w14:textId="77777777" w:rsidR="00A40294" w:rsidRDefault="00CC5DD1">
            <w:r>
              <w:rPr>
                <w:color w:val="000000"/>
                <w:sz w:val="18"/>
                <w:szCs w:val="18"/>
              </w:rPr>
              <w:t>Executar de modo sustentável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6B6D3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5,00</w:t>
            </w:r>
          </w:p>
        </w:tc>
        <w:tc>
          <w:tcPr>
            <w:tcW w:w="15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0972B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4,81</w:t>
            </w:r>
          </w:p>
        </w:tc>
        <w:tc>
          <w:tcPr>
            <w:tcW w:w="15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41BBE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4,70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94109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0,11</w:t>
            </w:r>
          </w:p>
        </w:tc>
        <w:tc>
          <w:tcPr>
            <w:tcW w:w="17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0B73C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Não, mas gap relevante</w:t>
            </w:r>
          </w:p>
        </w:tc>
      </w:tr>
      <w:tr w:rsidR="00A40294" w14:paraId="33574128" w14:textId="77777777"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F4B28" w14:textId="77777777" w:rsidR="00A40294" w:rsidRDefault="00CC5DD1">
            <w:r>
              <w:rPr>
                <w:color w:val="000000"/>
                <w:sz w:val="18"/>
                <w:szCs w:val="18"/>
              </w:rPr>
              <w:t>Definir direção e planos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328D5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3,50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22B0C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4,00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A69FE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3,90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0E7B3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0,10</w:t>
            </w:r>
          </w:p>
        </w:tc>
        <w:tc>
          <w:tcPr>
            <w:tcW w:w="17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5A13C" w14:textId="77777777" w:rsidR="00A40294" w:rsidRDefault="00CC5DD1">
            <w:pPr>
              <w:jc w:val="center"/>
            </w:pPr>
            <w:r>
              <w:rPr>
                <w:color w:val="000000"/>
                <w:sz w:val="18"/>
                <w:szCs w:val="18"/>
              </w:rPr>
              <w:t>Não, mas gap relevante</w:t>
            </w:r>
          </w:p>
        </w:tc>
      </w:tr>
    </w:tbl>
    <w:p w14:paraId="356B6483" w14:textId="77777777" w:rsidR="00A40294" w:rsidRDefault="00A40294">
      <w:pPr>
        <w:spacing w:before="160"/>
      </w:pPr>
    </w:p>
    <w:p w14:paraId="73FBCC47" w14:textId="77777777" w:rsidR="00A40294" w:rsidRDefault="00CC5DD1">
      <w:pPr>
        <w:spacing w:after="150"/>
      </w:pPr>
      <w:r>
        <w:t xml:space="preserve">Em "Gerar valor para o cliente", isso não é só uma diferença de casas decimais: pelo método oficial (usado no Resumo e na Janela de </w:t>
      </w:r>
      <w:proofErr w:type="spellStart"/>
      <w:r>
        <w:t>Johari</w:t>
      </w:r>
      <w:proofErr w:type="spellEnd"/>
      <w:r>
        <w:t>), Demais Avaliadores = 3,79 — acima do limiar de 3,75 que o próprio relatório define, por isso a competência é classificada como "Ponto forte conhecido" (pág. 14). Mas pelo método usado no Gráfico de Defasagem para essa mesma competência, o valor cai para 3,60 — abaixo do limiar — o que combinado com a autoavaliação de 4,00 (acima do limiar) corresponderia à definição do relatório para "Ponto cego" (pág. 14: autoavaliação acima de 3,75, mas os demais avaliadores abaixo de 3,75), o quadrante logicamente oposto.</w:t>
      </w:r>
    </w:p>
    <w:p w14:paraId="1DD8C611" w14:textId="77777777" w:rsidR="00A40294" w:rsidRDefault="00CC5DD1">
      <w:pPr>
        <w:spacing w:after="150"/>
      </w:pPr>
      <w:r>
        <w:rPr>
          <w:b/>
          <w:bCs/>
          <w:i/>
          <w:iCs/>
        </w:rPr>
        <w:t>Ou seja: dependendo de qual página do relatório a pessoa olha para "o que os outros acham de mim em Gerar valor para o cliente", a resposta muda de "ponto forte reconhecido por todos" para "eu me avalio bem, mas os outros não concordam" — duas leituras de desenvolvimento opostas para a mesma competência, na mesma pessoa, no mesmo relatório.</w:t>
      </w:r>
    </w:p>
    <w:p w14:paraId="203340D6" w14:textId="77777777" w:rsidR="00A40294" w:rsidRDefault="00CC5DD1">
      <w:pPr>
        <w:pStyle w:val="Ttulo1"/>
        <w:spacing w:before="320" w:after="160"/>
      </w:pPr>
      <w:r>
        <w:rPr>
          <w:b/>
          <w:bCs/>
          <w:color w:val="1F4E79"/>
          <w:sz w:val="27"/>
          <w:szCs w:val="27"/>
        </w:rPr>
        <w:t>Achado 2 — rótulo "Pontuação do(a) Avaliado(a)" nas tabelas de destaque não é a autoavaliação</w:t>
      </w:r>
    </w:p>
    <w:p w14:paraId="18EF857E" w14:textId="77777777" w:rsidR="00513733" w:rsidRDefault="00CC5DD1">
      <w:pPr>
        <w:spacing w:after="150"/>
      </w:pPr>
      <w:r>
        <w:t xml:space="preserve">Nas tabelas "Avaliações mais altas" e "Avaliações mais baixas" (pág. 15-16), a coluna "Pontuação do(a) Avaliado(a)" ser </w:t>
      </w:r>
      <w:r w:rsidR="00513733">
        <w:t>é</w:t>
      </w:r>
      <w:r>
        <w:t xml:space="preserve"> nota que a própria pessoa se deu. </w:t>
      </w:r>
    </w:p>
    <w:p w14:paraId="4489C599" w14:textId="66A7E173" w:rsidR="00513733" w:rsidRDefault="00CC5DD1">
      <w:pPr>
        <w:spacing w:after="150"/>
      </w:pPr>
      <w:r>
        <w:t xml:space="preserve">Na prática, </w:t>
      </w:r>
      <w:r w:rsidR="00513733">
        <w:t>deveria ser</w:t>
      </w:r>
      <w:r>
        <w:t xml:space="preserve"> média de TODAS as respostas </w:t>
      </w:r>
      <w:r w:rsidR="00513733">
        <w:t xml:space="preserve">sem </w:t>
      </w:r>
      <w:r>
        <w:t xml:space="preserve">autoavaliação </w:t>
      </w:r>
      <w:r w:rsidR="00513733">
        <w:t>(</w:t>
      </w:r>
      <w:r>
        <w:t>Gestor + Pares + Subordinados + Outros, cada resposta individual com peso igual)</w:t>
      </w:r>
      <w:r w:rsidR="00513733">
        <w:t xml:space="preserve">. Além disso </w:t>
      </w:r>
      <w:proofErr w:type="spellStart"/>
      <w:r w:rsidR="00513733">
        <w:t>so</w:t>
      </w:r>
      <w:proofErr w:type="spellEnd"/>
      <w:r w:rsidR="00513733">
        <w:t xml:space="preserve"> </w:t>
      </w:r>
      <w:proofErr w:type="gramStart"/>
      <w:r w:rsidR="00513733">
        <w:t>esta</w:t>
      </w:r>
      <w:proofErr w:type="gramEnd"/>
      <w:r w:rsidR="00513733">
        <w:t xml:space="preserve"> mostrando a pontuação do avaliado</w:t>
      </w:r>
    </w:p>
    <w:p w14:paraId="46F41803" w14:textId="62D8C35C" w:rsidR="00513733" w:rsidRDefault="00513733">
      <w:pPr>
        <w:spacing w:after="150"/>
      </w:pPr>
      <w:r w:rsidRPr="00513733">
        <w:rPr>
          <w:noProof/>
        </w:rPr>
        <w:drawing>
          <wp:inline distT="0" distB="0" distL="0" distR="0" wp14:anchorId="30CB86ED" wp14:editId="5F918438">
            <wp:extent cx="6502400" cy="2933700"/>
            <wp:effectExtent l="0" t="0" r="0" b="0"/>
            <wp:docPr id="581876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103B" w14:textId="63EF5EBA" w:rsidR="00A40294" w:rsidRDefault="00513733">
      <w:pPr>
        <w:spacing w:after="150"/>
      </w:pPr>
      <w:r>
        <w:t>Os</w:t>
      </w:r>
      <w:r w:rsidR="00CC5DD1">
        <w:t xml:space="preserve"> caso</w:t>
      </w:r>
      <w:r>
        <w:t>s</w:t>
      </w:r>
      <w:r w:rsidR="00CC5DD1">
        <w:t xml:space="preserve"> mais chamativo</w:t>
      </w:r>
      <w:r>
        <w:t>s foram</w:t>
      </w:r>
      <w:r w:rsidR="00CC5DD1">
        <w:t>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9"/>
        <w:gridCol w:w="1892"/>
        <w:gridCol w:w="2090"/>
        <w:gridCol w:w="2089"/>
      </w:tblGrid>
      <w:tr w:rsidR="00A40294" w14:paraId="466D5518" w14:textId="77777777">
        <w:trPr>
          <w:tblHeader/>
        </w:trPr>
        <w:tc>
          <w:tcPr>
            <w:tcW w:w="42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A9400" w14:textId="77777777" w:rsidR="00A40294" w:rsidRDefault="00CC5DD1"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CCBC5" w14:textId="77777777" w:rsidR="00A40294" w:rsidRDefault="00CC5DD1">
            <w:r>
              <w:rPr>
                <w:b/>
                <w:bCs/>
                <w:color w:val="FFFFFF"/>
                <w:sz w:val="18"/>
                <w:szCs w:val="18"/>
              </w:rPr>
              <w:t>Competência</w:t>
            </w:r>
          </w:p>
        </w:tc>
        <w:tc>
          <w:tcPr>
            <w:tcW w:w="21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22380" w14:textId="77777777" w:rsidR="00A40294" w:rsidRDefault="00CC5D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Autoavaliação real (pág. 16-18)</w:t>
            </w:r>
          </w:p>
        </w:tc>
        <w:tc>
          <w:tcPr>
            <w:tcW w:w="21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8C4A9" w14:textId="77777777" w:rsidR="00A40294" w:rsidRDefault="00CC5D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"Pontuação do(a) Avaliado(a)" no ranking (pág. 15-16)</w:t>
            </w:r>
          </w:p>
        </w:tc>
      </w:tr>
      <w:tr w:rsidR="00A40294" w14:paraId="545F1C99" w14:textId="77777777"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6616B" w14:textId="77777777" w:rsidR="00A40294" w:rsidRDefault="00CC5DD1">
            <w:r>
              <w:rPr>
                <w:color w:val="000000"/>
                <w:sz w:val="18"/>
                <w:szCs w:val="18"/>
              </w:rPr>
              <w:t xml:space="preserve">Trabalha em conjunto com os clientes para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co-criar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produtos e soluções rentáveis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42EB2" w14:textId="77777777" w:rsidR="00A40294" w:rsidRDefault="00CC5DD1">
            <w:r>
              <w:rPr>
                <w:color w:val="000000"/>
                <w:sz w:val="18"/>
                <w:szCs w:val="18"/>
              </w:rPr>
              <w:t>Gerar valor para o cliente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04101" w14:textId="77777777" w:rsidR="00A40294" w:rsidRDefault="00CC5DD1"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>5,00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A6AC6" w14:textId="77777777" w:rsidR="00A40294" w:rsidRDefault="00CC5DD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3,83</w:t>
            </w:r>
          </w:p>
        </w:tc>
      </w:tr>
      <w:tr w:rsidR="00A40294" w14:paraId="2EFD7A73" w14:textId="77777777">
        <w:tc>
          <w:tcPr>
            <w:tcW w:w="4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8FE49" w14:textId="77777777" w:rsidR="00A40294" w:rsidRDefault="00CC5DD1">
            <w:r>
              <w:rPr>
                <w:color w:val="000000"/>
                <w:sz w:val="18"/>
                <w:szCs w:val="18"/>
              </w:rPr>
              <w:t>Toma decisões comerciais e ousadas em momentos de incerteza</w:t>
            </w:r>
          </w:p>
        </w:tc>
        <w:tc>
          <w:tcPr>
            <w:tcW w:w="1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01528" w14:textId="77777777" w:rsidR="00A40294" w:rsidRDefault="00CC5DD1">
            <w:r>
              <w:rPr>
                <w:color w:val="000000"/>
                <w:sz w:val="18"/>
                <w:szCs w:val="18"/>
              </w:rPr>
              <w:t>Gerar valor para o cliente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862D0" w14:textId="77777777" w:rsidR="00A40294" w:rsidRDefault="00CC5DD1"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>3,00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3CA1C" w14:textId="77777777" w:rsidR="00A40294" w:rsidRDefault="00CC5DD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3,50</w:t>
            </w:r>
          </w:p>
        </w:tc>
      </w:tr>
      <w:tr w:rsidR="00A40294" w14:paraId="761E6440" w14:textId="77777777"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F654B" w14:textId="77777777" w:rsidR="00A40294" w:rsidRDefault="00CC5DD1">
            <w:r>
              <w:rPr>
                <w:color w:val="000000"/>
                <w:sz w:val="18"/>
                <w:szCs w:val="18"/>
              </w:rPr>
              <w:t>Busca melhorar continuamente os processos, produtos e soluções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DCE13" w14:textId="77777777" w:rsidR="00A40294" w:rsidRDefault="00CC5DD1">
            <w:r>
              <w:rPr>
                <w:color w:val="000000"/>
                <w:sz w:val="18"/>
                <w:szCs w:val="18"/>
              </w:rPr>
              <w:t>Inovar e melhorar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7BB52" w14:textId="77777777" w:rsidR="00A40294" w:rsidRDefault="00CC5DD1"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>5,00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9FB66" w14:textId="77777777" w:rsidR="00A40294" w:rsidRDefault="00CC5DD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4,60</w:t>
            </w:r>
          </w:p>
        </w:tc>
      </w:tr>
      <w:tr w:rsidR="00A40294" w14:paraId="17624A4B" w14:textId="77777777">
        <w:tc>
          <w:tcPr>
            <w:tcW w:w="4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8D02F" w14:textId="77777777" w:rsidR="00A40294" w:rsidRDefault="00CC5DD1">
            <w:r>
              <w:rPr>
                <w:color w:val="000000"/>
                <w:sz w:val="18"/>
                <w:szCs w:val="18"/>
              </w:rPr>
              <w:t>Atua como um modelo a ser seguido</w:t>
            </w:r>
          </w:p>
        </w:tc>
        <w:tc>
          <w:tcPr>
            <w:tcW w:w="1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741F7" w14:textId="77777777" w:rsidR="00A40294" w:rsidRDefault="00CC5DD1">
            <w:r>
              <w:rPr>
                <w:color w:val="000000"/>
                <w:sz w:val="18"/>
                <w:szCs w:val="18"/>
              </w:rPr>
              <w:t>Liderar e treinar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5E9F" w14:textId="77777777" w:rsidR="00A40294" w:rsidRDefault="00CC5DD1"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>5,00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CD4F3" w14:textId="77777777" w:rsidR="00A40294" w:rsidRDefault="00CC5DD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4,50</w:t>
            </w:r>
          </w:p>
        </w:tc>
      </w:tr>
    </w:tbl>
    <w:p w14:paraId="30C8D4D2" w14:textId="77777777" w:rsidR="00A40294" w:rsidRDefault="00A40294">
      <w:pPr>
        <w:spacing w:before="160"/>
      </w:pPr>
    </w:p>
    <w:p w14:paraId="23995143" w14:textId="77777777" w:rsidR="00A40294" w:rsidRDefault="00CC5DD1">
      <w:pPr>
        <w:spacing w:after="150"/>
      </w:pPr>
      <w:r>
        <w:lastRenderedPageBreak/>
        <w:t xml:space="preserve">Em "Trabalha em conjunto com os clientes para </w:t>
      </w:r>
      <w:proofErr w:type="spellStart"/>
      <w:proofErr w:type="gramStart"/>
      <w:r>
        <w:t>co-criar</w:t>
      </w:r>
      <w:proofErr w:type="spellEnd"/>
      <w:proofErr w:type="gramEnd"/>
      <w:r>
        <w:t xml:space="preserve"> produtos e soluções rentáveis", a pessoa se autoavaliou com nota máxima (5,00), mas a tabela "Avaliações mais baixas" lista essa mesma frase, com o rótulo "Pontuação do(a) Avaliado(a)", mostrando 3,83 — um valor 1,17 ponto mais baixo que a autoavaliação real, sem deixar claro que ali entram as notas de Gestor/Pares/Subordinados/Outros também.</w:t>
      </w:r>
    </w:p>
    <w:p w14:paraId="153DF060" w14:textId="4BB1D526" w:rsidR="00513733" w:rsidRDefault="00513733">
      <w:pPr>
        <w:spacing w:after="150"/>
      </w:pPr>
      <w:r w:rsidRPr="00513733">
        <w:rPr>
          <w:noProof/>
        </w:rPr>
        <w:drawing>
          <wp:inline distT="0" distB="0" distL="0" distR="0" wp14:anchorId="004AFB2F" wp14:editId="77F6549D">
            <wp:extent cx="6502400" cy="2684145"/>
            <wp:effectExtent l="0" t="0" r="0" b="0"/>
            <wp:docPr id="328063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6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5512" w14:textId="77777777" w:rsidR="00A40294" w:rsidRDefault="00CC5DD1">
      <w:pPr>
        <w:pStyle w:val="Ttulo1"/>
        <w:spacing w:before="320" w:after="160"/>
      </w:pPr>
      <w:r>
        <w:rPr>
          <w:b/>
          <w:bCs/>
          <w:color w:val="1F4E79"/>
          <w:sz w:val="27"/>
          <w:szCs w:val="27"/>
        </w:rPr>
        <w:t>O que foi validado e está OK</w:t>
      </w:r>
    </w:p>
    <w:p w14:paraId="1FF437A8" w14:textId="77777777" w:rsidR="00A40294" w:rsidRDefault="00CC5DD1">
      <w:pPr>
        <w:pStyle w:val="PargrafodaLista"/>
        <w:numPr>
          <w:ilvl w:val="0"/>
          <w:numId w:val="1"/>
        </w:numPr>
        <w:spacing w:after="90"/>
      </w:pPr>
      <w:r>
        <w:t>Todas as médias por grupo em todas as 6 competências (Resumo Executivo, Resumo dos Resultados, gráficos de barra, Tabela de Frequência) batem exatamente com o recálculo a partir das 96 respostas brutas do extrato.</w:t>
      </w:r>
    </w:p>
    <w:p w14:paraId="7707F0A2" w14:textId="77777777" w:rsidR="00A40294" w:rsidRDefault="00CC5DD1">
      <w:pPr>
        <w:pStyle w:val="PargrafodaLista"/>
        <w:numPr>
          <w:ilvl w:val="0"/>
          <w:numId w:val="1"/>
        </w:numPr>
        <w:spacing w:after="90"/>
      </w:pPr>
      <w:r>
        <w:t>Gráfico de Defasagem: Autoavaliação − Demais Avaliadores = Análise de defasagem confere nas 16 linhas.</w:t>
      </w:r>
    </w:p>
    <w:p w14:paraId="06A7776F" w14:textId="77777777" w:rsidR="00A40294" w:rsidRDefault="00CC5DD1">
      <w:pPr>
        <w:pStyle w:val="PargrafodaLista"/>
        <w:numPr>
          <w:ilvl w:val="0"/>
          <w:numId w:val="1"/>
        </w:numPr>
        <w:spacing w:after="90"/>
      </w:pPr>
      <w:r>
        <w:t>Ranking "Avaliações mais altas/mais baixas": ordenação correta e, desta vez, sem o problema de desempate/duplicação encontrado no relatório de teste anterior (quando havia 3 comportamentos empatados no mesmo valor, os 3 foram tratados de forma equivalente).</w:t>
      </w:r>
    </w:p>
    <w:p w14:paraId="619D851C" w14:textId="77777777" w:rsidR="00A40294" w:rsidRDefault="00CC5DD1">
      <w:pPr>
        <w:pStyle w:val="PargrafodaLista"/>
        <w:numPr>
          <w:ilvl w:val="0"/>
          <w:numId w:val="1"/>
        </w:numPr>
        <w:spacing w:after="90"/>
      </w:pPr>
      <w:r>
        <w:t>Mapeamento comportamento → competência está correto — cada comportamento avaliado pertence de fato à competência sob a qual está listado, ao contrário do relatório de teste anterior.</w:t>
      </w:r>
    </w:p>
    <w:p w14:paraId="73086E51" w14:textId="77777777" w:rsidR="00A40294" w:rsidRDefault="00CC5DD1">
      <w:pPr>
        <w:pStyle w:val="PargrafodaLista"/>
        <w:numPr>
          <w:ilvl w:val="0"/>
          <w:numId w:val="1"/>
        </w:numPr>
        <w:spacing w:after="90"/>
      </w:pPr>
      <w:r>
        <w:t>Cabeçalho de avaliadores (Gestor(es): 1, Pares: 2, Subordinados: 1, Outros: 1, pág. 1) bate com o número de avaliadores distintos identificados no extrato bruto.</w:t>
      </w:r>
    </w:p>
    <w:sectPr w:rsidR="00A40294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96443"/>
    <w:multiLevelType w:val="hybridMultilevel"/>
    <w:tmpl w:val="7B944870"/>
    <w:lvl w:ilvl="0" w:tplc="4200848C">
      <w:start w:val="1"/>
      <w:numFmt w:val="bullet"/>
      <w:lvlText w:val="●"/>
      <w:lvlJc w:val="left"/>
      <w:pPr>
        <w:ind w:left="720" w:hanging="360"/>
      </w:pPr>
    </w:lvl>
    <w:lvl w:ilvl="1" w:tplc="6D92E588">
      <w:start w:val="1"/>
      <w:numFmt w:val="bullet"/>
      <w:lvlText w:val="○"/>
      <w:lvlJc w:val="left"/>
      <w:pPr>
        <w:ind w:left="1440" w:hanging="360"/>
      </w:pPr>
    </w:lvl>
    <w:lvl w:ilvl="2" w:tplc="46082A68">
      <w:start w:val="1"/>
      <w:numFmt w:val="bullet"/>
      <w:lvlText w:val="■"/>
      <w:lvlJc w:val="left"/>
      <w:pPr>
        <w:ind w:left="2160" w:hanging="360"/>
      </w:pPr>
    </w:lvl>
    <w:lvl w:ilvl="3" w:tplc="37B0EAF8">
      <w:start w:val="1"/>
      <w:numFmt w:val="bullet"/>
      <w:lvlText w:val="●"/>
      <w:lvlJc w:val="left"/>
      <w:pPr>
        <w:ind w:left="2880" w:hanging="360"/>
      </w:pPr>
    </w:lvl>
    <w:lvl w:ilvl="4" w:tplc="F50200BA">
      <w:start w:val="1"/>
      <w:numFmt w:val="bullet"/>
      <w:lvlText w:val="○"/>
      <w:lvlJc w:val="left"/>
      <w:pPr>
        <w:ind w:left="3600" w:hanging="360"/>
      </w:pPr>
    </w:lvl>
    <w:lvl w:ilvl="5" w:tplc="51104584">
      <w:start w:val="1"/>
      <w:numFmt w:val="bullet"/>
      <w:lvlText w:val="■"/>
      <w:lvlJc w:val="left"/>
      <w:pPr>
        <w:ind w:left="4320" w:hanging="360"/>
      </w:pPr>
    </w:lvl>
    <w:lvl w:ilvl="6" w:tplc="474CB022">
      <w:start w:val="1"/>
      <w:numFmt w:val="bullet"/>
      <w:lvlText w:val="●"/>
      <w:lvlJc w:val="left"/>
      <w:pPr>
        <w:ind w:left="5040" w:hanging="360"/>
      </w:pPr>
    </w:lvl>
    <w:lvl w:ilvl="7" w:tplc="76249DB8">
      <w:start w:val="1"/>
      <w:numFmt w:val="bullet"/>
      <w:lvlText w:val="●"/>
      <w:lvlJc w:val="left"/>
      <w:pPr>
        <w:ind w:left="5760" w:hanging="360"/>
      </w:pPr>
    </w:lvl>
    <w:lvl w:ilvl="8" w:tplc="16B43DAE">
      <w:start w:val="1"/>
      <w:numFmt w:val="bullet"/>
      <w:lvlText w:val="●"/>
      <w:lvlJc w:val="left"/>
      <w:pPr>
        <w:ind w:left="6480" w:hanging="360"/>
      </w:pPr>
    </w:lvl>
  </w:abstractNum>
  <w:num w:numId="1" w16cid:durableId="1615669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94"/>
    <w:rsid w:val="002B5874"/>
    <w:rsid w:val="00355D83"/>
    <w:rsid w:val="00513733"/>
    <w:rsid w:val="0083441F"/>
    <w:rsid w:val="009F676F"/>
    <w:rsid w:val="00A40294"/>
    <w:rsid w:val="00B60E5F"/>
    <w:rsid w:val="00CC5DD1"/>
    <w:rsid w:val="00F5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DD3347"/>
  <w15:docId w15:val="{8A2FBC60-ED9E-124E-9481-5B010399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6735952A61B340B8DF26FC14251CC8" ma:contentTypeVersion="16" ma:contentTypeDescription="Crie um novo documento." ma:contentTypeScope="" ma:versionID="e62f98ed305049c60168d75ab689343a">
  <xsd:schema xmlns:xsd="http://www.w3.org/2001/XMLSchema" xmlns:xs="http://www.w3.org/2001/XMLSchema" xmlns:p="http://schemas.microsoft.com/office/2006/metadata/properties" xmlns:ns2="a40de4d5-6501-49a8-8fa6-25cc47066681" xmlns:ns3="30227d9f-054a-400f-b2f7-32c29986bde6" targetNamespace="http://schemas.microsoft.com/office/2006/metadata/properties" ma:root="true" ma:fieldsID="4397bda2f920774fc2432e2dc2373878" ns2:_="" ns3:_="">
    <xsd:import namespace="a40de4d5-6501-49a8-8fa6-25cc47066681"/>
    <xsd:import namespace="30227d9f-054a-400f-b2f7-32c29986b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e4d5-6501-49a8-8fa6-25cc47066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447c4ee-c12b-482c-9b46-3737387fc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27d9f-054a-400f-b2f7-32c29986b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c91e0c-deaa-4807-989e-3344577004a1}" ma:internalName="TaxCatchAll" ma:showField="CatchAllData" ma:web="30227d9f-054a-400f-b2f7-32c29986b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227d9f-054a-400f-b2f7-32c29986bde6" xsi:nil="true"/>
    <lcf76f155ced4ddcb4097134ff3c332f xmlns="a40de4d5-6501-49a8-8fa6-25cc470666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7FCD7D-8ACF-4EB9-91FE-1DE6FB365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de4d5-6501-49a8-8fa6-25cc47066681"/>
    <ds:schemaRef ds:uri="30227d9f-054a-400f-b2f7-32c29986b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0B05D-882D-4A22-AA11-1A0BC9471EF4}">
  <ds:schemaRefs>
    <ds:schemaRef ds:uri="http://schemas.microsoft.com/office/2006/metadata/properties"/>
    <ds:schemaRef ds:uri="http://schemas.microsoft.com/office/infopath/2007/PartnerControls"/>
    <ds:schemaRef ds:uri="30227d9f-054a-400f-b2f7-32c29986bde6"/>
    <ds:schemaRef ds:uri="a40de4d5-6501-49a8-8fa6-25cc47066681"/>
  </ds:schemaRefs>
</ds:datastoreItem>
</file>

<file path=customXml/itemProps3.xml><?xml version="1.0" encoding="utf-8"?>
<ds:datastoreItem xmlns:ds="http://schemas.openxmlformats.org/officeDocument/2006/customXml" ds:itemID="{896580C9-756E-4C20-8CA8-FC4A8EAF6A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935</Words>
  <Characters>5030</Characters>
  <Application>Microsoft Office Word</Application>
  <DocSecurity>0</DocSecurity>
  <Lines>141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Eliwelton Batista</cp:lastModifiedBy>
  <cp:revision>3</cp:revision>
  <dcterms:created xsi:type="dcterms:W3CDTF">2026-08-27T18:52:00Z</dcterms:created>
  <dcterms:modified xsi:type="dcterms:W3CDTF">2026-08-28T13:20:00Z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0x0101001A6735952A61B340B8DF26FC14251CC8</vt:lpwstr>
  </property>
  <property fmtid="{D5CDD505-2E9C-101B-9397-08002B2CF9AE}" pid="3" name="MediaServiceImageTags">
    <vt:lpwstr/>
  </property>
</Properties>
</file>