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DC674B"/>
          <w:sz w:val="17"/>
        </w:rPr>
        <w:t>EBOOK PÉDAGOGIQUE</w:t>
      </w:r>
    </w:p>
    <w:p>
      <w:pPr>
        <w:pStyle w:val="Title"/>
        <w:spacing w:after="160"/>
      </w:pPr>
      <w:r>
        <w:t>Comprendre son dos</w:t>
      </w:r>
    </w:p>
    <w:p>
      <w:pPr>
        <w:spacing w:after="240"/>
      </w:pPr>
      <w:r>
        <w:rPr>
          <w:rFonts w:ascii="Aptos Display" w:hAnsi="Aptos Display"/>
          <w:color w:val="5C6361"/>
          <w:sz w:val="28"/>
        </w:rPr>
        <w:t>Des repères simples pour sortir du flou sans dramatiser</w:t>
      </w:r>
    </w:p>
    <w:p>
      <w:pPr>
        <w:jc w:val="center"/>
      </w:pPr>
      <w:r>
        <w:drawing>
          <wp:inline xmlns:a="http://schemas.openxmlformats.org/drawingml/2006/main" xmlns:pic="http://schemas.openxmlformats.org/drawingml/2006/picture">
            <wp:extent cx="3408000" cy="5112000"/>
            <wp:docPr id="1" name="Picture 1"/>
            <wp:cNvGraphicFramePr>
              <a:graphicFrameLocks noChangeAspect="1"/>
            </wp:cNvGraphicFramePr>
            <a:graphic>
              <a:graphicData uri="http://schemas.openxmlformats.org/drawingml/2006/picture">
                <pic:pic>
                  <pic:nvPicPr>
                    <pic:cNvPr id="0" name="couverture-praticien-patiente.png"/>
                    <pic:cNvPicPr/>
                  </pic:nvPicPr>
                  <pic:blipFill>
                    <a:blip r:embed="rId11"/>
                    <a:stretch>
                      <a:fillRect/>
                    </a:stretch>
                  </pic:blipFill>
                  <pic:spPr>
                    <a:xfrm>
                      <a:off x="0" y="0"/>
                      <a:ext cx="3408000" cy="5112000"/>
                    </a:xfrm>
                    <a:prstGeom prst="rect"/>
                  </pic:spPr>
                </pic:pic>
              </a:graphicData>
            </a:graphic>
          </wp:inline>
        </w:drawing>
      </w:r>
    </w:p>
    <w:p>
      <w:pPr>
        <w:spacing w:after="160"/>
        <w:jc w:val="center"/>
      </w:pPr>
      <w:r>
        <w:rPr>
          <w:rFonts w:ascii="Aptos" w:hAnsi="Aptos"/>
          <w:color w:val="5C6361"/>
          <w:sz w:val="16"/>
        </w:rPr>
        <w:t>Un praticien explique la région lombaire à une patiente  Visuel de couverture validé pour la phase de production</w:t>
      </w:r>
    </w:p>
    <w:p>
      <w:pPr>
        <w:spacing w:before="160"/>
      </w:pPr>
      <w:r>
        <w:rPr>
          <w:rFonts w:ascii="Aptos" w:hAnsi="Aptos"/>
          <w:b/>
          <w:color w:val="DC674B"/>
          <w:sz w:val="17"/>
        </w:rPr>
        <w:t>VERSION DE TRAVAIL 0.1</w:t>
      </w:r>
    </w:p>
    <w:p>
      <w:r>
        <w:t>Pour les adultes qui veulent comprendre une lombalgie commune, préparer une consultation et reprendre progressivement leurs activités.</w:t>
      </w:r>
    </w:p>
    <w:p>
      <w:pPr>
        <w:spacing w:before="140" w:after="140"/>
        <w:ind w:left="255" w:right="142"/>
        <w:pBdr>
          <w:left w:val="single" w:sz="18" w:space="8" w:color="DC674B"/>
        </w:pBdr>
      </w:pPr>
      <w:r>
        <w:rPr>
          <w:rFonts w:ascii="Aptos" w:hAnsi="Aptos"/>
          <w:b/>
          <w:color w:val="DC674B"/>
          <w:sz w:val="17"/>
        </w:rPr>
        <w:t xml:space="preserve">STATUT  </w:t>
      </w:r>
      <w:r>
        <w:t>Manuscrit de production. Les messages de santé, exercices et illustrations anatomiques doivent être relus par un médecin ou un kinésithérapeute avant diffusion.</w:t>
      </w:r>
    </w:p>
    <w:p>
      <w:r>
        <w:br w:type="page"/>
      </w:r>
    </w:p>
    <w:p>
      <w:pPr>
        <w:spacing w:after="80"/>
      </w:pPr>
      <w:r>
        <w:rPr>
          <w:rFonts w:ascii="Aptos" w:hAnsi="Aptos"/>
          <w:b/>
          <w:color w:val="DC674B"/>
          <w:sz w:val="17"/>
        </w:rPr>
        <w:t>SÉCURITÉ</w:t>
      </w:r>
    </w:p>
    <w:p>
      <w:pPr>
        <w:pStyle w:val="Title"/>
        <w:spacing w:after="160"/>
      </w:pPr>
      <w:r>
        <w:t>Avant de poursuivre</w:t>
      </w:r>
    </w:p>
    <w:p>
      <w:pPr>
        <w:spacing w:after="240"/>
      </w:pPr>
      <w:r>
        <w:rPr>
          <w:rFonts w:ascii="Aptos Display" w:hAnsi="Aptos Display"/>
          <w:color w:val="5C6361"/>
          <w:sz w:val="28"/>
        </w:rPr>
        <w:t>Ce document informe et accompagne mais ne pose aucun diagnostic</w:t>
      </w:r>
    </w:p>
    <w:p>
      <w:r>
        <w:t>Votre douleur mérite d’être prise au sérieux. Elle est souvent liée à une lombalgie commune, mais un guide ne peut pas vérifier votre situation. Si la douleur est récente, inhabituelle ou change nettement, demandez un avis médical. Vous n’avez pas à prendre cette décision seul.</w:t>
      </w:r>
    </w:p>
    <w:p>
      <w:pPr>
        <w:pStyle w:val="Heading2"/>
      </w:pPr>
      <w:r>
        <w:t>Demandez une aide urgente</w:t>
      </w:r>
    </w:p>
    <w:p>
      <w:pPr>
        <w:pStyle w:val="ListBullet"/>
        <w:ind w:left="283" w:hanging="142"/>
      </w:pPr>
      <w:r>
        <w:t>difficulté nouvelle à uriner, fuites urinaires ou perte du contrôle des selles</w:t>
      </w:r>
    </w:p>
    <w:p>
      <w:pPr>
        <w:pStyle w:val="ListBullet"/>
        <w:ind w:left="283" w:hanging="142"/>
      </w:pPr>
      <w:r>
        <w:t>perte de sensibilité autour du périnée ou sensation d’anesthésie en selle</w:t>
      </w:r>
    </w:p>
    <w:p>
      <w:pPr>
        <w:pStyle w:val="ListBullet"/>
        <w:ind w:left="283" w:hanging="142"/>
      </w:pPr>
      <w:r>
        <w:t>faiblesse marquée ou qui progresse dans une ou deux jambes</w:t>
      </w:r>
    </w:p>
    <w:p>
      <w:pPr>
        <w:pStyle w:val="ListBullet"/>
        <w:ind w:left="283" w:hanging="142"/>
      </w:pPr>
      <w:r>
        <w:t>douleur apparue après un traumatisme important</w:t>
      </w:r>
    </w:p>
    <w:p>
      <w:pPr>
        <w:pStyle w:val="ListBullet"/>
        <w:ind w:left="283" w:hanging="142"/>
      </w:pPr>
      <w:r>
        <w:t>douleur accompagnée d’une altération importante de l’état général, d’une fièvre ou de symptômes respiratoires inhabituels</w:t>
      </w:r>
    </w:p>
    <w:p>
      <w:r>
        <w:t>En France, appelez le 15 ou le 112 si la situation paraît urgente ou si vous ne savez pas vers quel service vous tourner.</w:t>
      </w:r>
    </w:p>
    <w:p>
      <w:pPr>
        <w:pStyle w:val="Heading2"/>
      </w:pPr>
      <w:r>
        <w:t>Prenez rapidement un avis médical</w:t>
      </w:r>
    </w:p>
    <w:p>
      <w:pPr>
        <w:pStyle w:val="ListBullet"/>
        <w:ind w:left="283" w:hanging="142"/>
      </w:pPr>
      <w:r>
        <w:t>douleur qui s’aggrave régulièrement, persiste au repos ou réveille sans cesse la nuit</w:t>
      </w:r>
    </w:p>
    <w:p>
      <w:pPr>
        <w:pStyle w:val="ListBullet"/>
        <w:ind w:left="283" w:hanging="142"/>
      </w:pPr>
      <w:r>
        <w:t>perte de poids inexpliquée, antécédent de cancer, traitement prolongé par corticoïdes ou immunodépression</w:t>
      </w:r>
    </w:p>
    <w:p>
      <w:pPr>
        <w:pStyle w:val="ListBullet"/>
        <w:ind w:left="283" w:hanging="142"/>
      </w:pPr>
      <w:r>
        <w:t>engourdissement ou faiblesse qui apparaît ou augmente dans une jambe</w:t>
      </w:r>
    </w:p>
    <w:p>
      <w:pPr>
        <w:pStyle w:val="ListBullet"/>
        <w:ind w:left="283" w:hanging="142"/>
      </w:pPr>
      <w:r>
        <w:t>douleur qui ne s’améliore pas ou qui limite fortement les activités malgré quelques jours d’adaptation</w:t>
      </w:r>
    </w:p>
    <w:p>
      <w:pPr>
        <w:spacing w:before="140" w:after="140"/>
        <w:ind w:left="255" w:right="142"/>
        <w:pBdr>
          <w:left w:val="single" w:sz="18" w:space="8" w:color="DC674B"/>
        </w:pBdr>
      </w:pPr>
      <w:r>
        <w:rPr>
          <w:rFonts w:ascii="Aptos" w:hAnsi="Aptos"/>
          <w:b/>
          <w:color w:val="DC674B"/>
          <w:sz w:val="17"/>
        </w:rPr>
        <w:t xml:space="preserve">REPÈRE  </w:t>
      </w:r>
      <w:r>
        <w:t>Un signe isolé ne veut pas forcément dire qu’il existe une maladie grave. Il mérite simplement d’être évalué dans son contexte. En cas de doute, un professionnel de santé peut vous aider à choisir la bonne suite.</w:t>
      </w:r>
    </w:p>
    <w:p>
      <w:r>
        <w:br w:type="page"/>
      </w:r>
    </w:p>
    <w:p>
      <w:pPr>
        <w:spacing w:after="80"/>
      </w:pPr>
      <w:r>
        <w:rPr>
          <w:rFonts w:ascii="Aptos" w:hAnsi="Aptos"/>
          <w:b/>
          <w:color w:val="DC674B"/>
          <w:sz w:val="17"/>
        </w:rPr>
        <w:t>MODE D’EMPLOI</w:t>
      </w:r>
    </w:p>
    <w:p>
      <w:pPr>
        <w:pStyle w:val="Title"/>
        <w:spacing w:after="160"/>
      </w:pPr>
      <w:r>
        <w:t>Comment lire ce guide</w:t>
      </w:r>
    </w:p>
    <w:p>
      <w:pPr>
        <w:spacing w:after="240"/>
      </w:pPr>
      <w:r>
        <w:rPr>
          <w:rFonts w:ascii="Aptos Display" w:hAnsi="Aptos Display"/>
          <w:color w:val="5C6361"/>
          <w:sz w:val="28"/>
        </w:rPr>
        <w:t>Chaque chapitre répond à une décision concrète</w:t>
      </w:r>
    </w:p>
    <w:p>
      <w:pPr>
        <w:ind w:left="312" w:hanging="159"/>
      </w:pPr>
      <w:r>
        <w:t>1. Comprendre ce qui est fréquent et ce qui mérite un avis médical.</w:t>
      </w:r>
    </w:p>
    <w:p>
      <w:pPr>
        <w:ind w:left="312" w:hanging="159"/>
      </w:pPr>
      <w:r>
        <w:t>2. Vérifier les signaux d’alerte avant d’essayer une stratégie d’autogestion.</w:t>
      </w:r>
    </w:p>
    <w:p>
      <w:pPr>
        <w:ind w:left="312" w:hanging="159"/>
      </w:pPr>
      <w:r>
        <w:t>3. Choisir une activité utile dans votre journée réelle.</w:t>
      </w:r>
    </w:p>
    <w:p>
      <w:pPr>
        <w:ind w:left="312" w:hanging="159"/>
      </w:pPr>
      <w:r>
        <w:t>4. Observer la réponse du corps sans transformer chaque sensation en test.</w:t>
      </w:r>
    </w:p>
    <w:p>
      <w:pPr>
        <w:ind w:left="312" w:hanging="159"/>
      </w:pPr>
      <w:r>
        <w:t>5. Ajuster la dose et demander de l’aide si la situation sort du cadre prévu.</w:t>
      </w:r>
    </w:p>
    <w:p>
      <w:pPr>
        <w:pStyle w:val="Heading2"/>
      </w:pPr>
      <w:r>
        <w:t>Ce que vous pouvez attendre</w:t>
      </w:r>
    </w:p>
    <w:p>
      <w:r>
        <w:t>Le guide vous donne des mots simples, une méthode de décision et des exemples. Il ne promet pas de supprimer la douleur en quelques jours. Il vous aide à avancer à votre rythme et à reprendre une part d’activité adaptée à votre situation.</w:t>
      </w:r>
    </w:p>
    <w:p>
      <w:pPr>
        <w:spacing w:before="140" w:after="140"/>
        <w:ind w:left="255" w:right="142"/>
        <w:pBdr>
          <w:left w:val="single" w:sz="18" w:space="8" w:color="DC674B"/>
        </w:pBdr>
      </w:pPr>
      <w:r>
        <w:rPr>
          <w:rFonts w:ascii="Aptos" w:hAnsi="Aptos"/>
          <w:b/>
          <w:color w:val="DC674B"/>
          <w:sz w:val="17"/>
        </w:rPr>
        <w:t xml:space="preserve">NOTRE ENGAGEMENT  </w:t>
      </w:r>
      <w:r>
        <w:t>Nous croyons votre douleur. Nous ne vous demandons ni de la minimiser ni de forcer. Nous vous aidons à faire un prochain pas raisonnable, puis à ajuster selon votre réponse.</w:t>
      </w:r>
    </w:p>
    <w:p>
      <w:pPr>
        <w:pStyle w:val="Heading2"/>
      </w:pPr>
      <w:r>
        <w:t>Ce que le guide ne fait pas</w:t>
      </w:r>
    </w:p>
    <w:p>
      <w:pPr>
        <w:pStyle w:val="ListBullet"/>
        <w:ind w:left="283" w:hanging="142"/>
      </w:pPr>
      <w:r>
        <w:t>diagnostiquer la cause d’une douleur</w:t>
      </w:r>
    </w:p>
    <w:p>
      <w:pPr>
        <w:pStyle w:val="ListBullet"/>
        <w:ind w:left="283" w:hanging="142"/>
      </w:pPr>
      <w:r>
        <w:t>interpréter une imagerie ou modifier un traitement</w:t>
      </w:r>
    </w:p>
    <w:p>
      <w:pPr>
        <w:pStyle w:val="ListBullet"/>
        <w:ind w:left="283" w:hanging="142"/>
      </w:pPr>
      <w:r>
        <w:t>remplacer un examen clinique</w:t>
      </w:r>
    </w:p>
    <w:p>
      <w:pPr>
        <w:pStyle w:val="ListBullet"/>
        <w:ind w:left="283" w:hanging="142"/>
      </w:pPr>
      <w:r>
        <w:t>prescrire un exercice personnalisé</w:t>
      </w:r>
    </w:p>
    <w:p>
      <w:r>
        <w:rPr>
          <w:rFonts w:ascii="Aptos" w:hAnsi="Aptos"/>
          <w:b/>
          <w:sz w:val="19"/>
        </w:rPr>
        <w:t>Ce que je veux pouvoir refaire plus facilement</w:t>
      </w:r>
    </w:p>
    <w:p>
      <w:pPr>
        <w:spacing w:after="80"/>
      </w:pPr>
      <w:r>
        <w:rPr>
          <w:rFonts w:ascii="Aptos" w:hAnsi="Aptos"/>
          <w:color w:val="B4B8B6"/>
          <w:sz w:val="16"/>
        </w:rPr>
        <w:t>________________________________________________________________________________</w:t>
      </w:r>
    </w:p>
    <w:p>
      <w:pPr>
        <w:spacing w:after="80"/>
      </w:pPr>
      <w:r>
        <w:rPr>
          <w:rFonts w:ascii="Aptos" w:hAnsi="Aptos"/>
          <w:color w:val="B4B8B6"/>
          <w:sz w:val="16"/>
        </w:rPr>
        <w:t>________________________________________________________________________________</w:t>
      </w:r>
    </w:p>
    <w:p>
      <w:r>
        <w:rPr>
          <w:rFonts w:ascii="Aptos" w:hAnsi="Aptos"/>
          <w:b/>
          <w:sz w:val="19"/>
        </w:rPr>
        <w:t>La question que je veux poser à un professionnel</w:t>
      </w:r>
    </w:p>
    <w:p>
      <w:pPr>
        <w:spacing w:after="80"/>
      </w:pPr>
      <w:r>
        <w:rPr>
          <w:rFonts w:ascii="Aptos" w:hAnsi="Aptos"/>
          <w:color w:val="B4B8B6"/>
          <w:sz w:val="16"/>
        </w:rPr>
        <w:t>________________________________________________________________________________</w:t>
      </w:r>
    </w:p>
    <w:p>
      <w:pPr>
        <w:spacing w:after="80"/>
      </w:pPr>
      <w:r>
        <w:rPr>
          <w:rFonts w:ascii="Aptos" w:hAnsi="Aptos"/>
          <w:color w:val="B4B8B6"/>
          <w:sz w:val="16"/>
        </w:rPr>
        <w:t>________________________________________________________________________________</w:t>
      </w:r>
    </w:p>
    <w:p>
      <w:r>
        <w:br w:type="page"/>
      </w:r>
    </w:p>
    <w:p>
      <w:pPr>
        <w:spacing w:after="80"/>
      </w:pPr>
      <w:r>
        <w:rPr>
          <w:rFonts w:ascii="Aptos" w:hAnsi="Aptos"/>
          <w:b/>
          <w:color w:val="DC674B"/>
          <w:sz w:val="17"/>
        </w:rPr>
        <w:t>SOMMAIRE</w:t>
      </w:r>
    </w:p>
    <w:p>
      <w:pPr>
        <w:pStyle w:val="Title"/>
        <w:spacing w:after="160"/>
      </w:pPr>
      <w:r>
        <w:t>Le parcours éditorial</w:t>
      </w:r>
    </w:p>
    <w:p>
      <w:r>
        <w:rPr>
          <w:rFonts w:ascii="Aptos" w:hAnsi="Aptos"/>
          <w:b/>
          <w:color w:val="DC674B"/>
          <w:sz w:val="18"/>
        </w:rPr>
        <w:t xml:space="preserve">01  </w:t>
      </w:r>
      <w:r>
        <w:rPr>
          <w:rFonts w:ascii="Aptos" w:hAnsi="Aptos"/>
          <w:b/>
          <w:sz w:val="24"/>
        </w:rPr>
        <w:t>La douleur et les dommages</w:t>
      </w:r>
    </w:p>
    <w:p>
      <w:pPr>
        <w:spacing w:after="140"/>
        <w:ind w:left="482"/>
      </w:pPr>
      <w:r>
        <w:t>Comprendre pourquoi l’intensité d’une douleur ne mesure pas à elle seule l’état des tissus</w:t>
      </w:r>
    </w:p>
    <w:p>
      <w:r>
        <w:rPr>
          <w:rFonts w:ascii="Aptos" w:hAnsi="Aptos"/>
          <w:b/>
          <w:color w:val="DC674B"/>
          <w:sz w:val="18"/>
        </w:rPr>
        <w:t xml:space="preserve">02  </w:t>
      </w:r>
      <w:r>
        <w:rPr>
          <w:rFonts w:ascii="Aptos" w:hAnsi="Aptos"/>
          <w:b/>
          <w:sz w:val="24"/>
        </w:rPr>
        <w:t>Un dos fait pour bouger</w:t>
      </w:r>
    </w:p>
    <w:p>
      <w:pPr>
        <w:spacing w:after="140"/>
        <w:ind w:left="482"/>
      </w:pPr>
      <w:r>
        <w:t>Situer le rôle des vertèbres, muscles, nerfs et habitudes de vie</w:t>
      </w:r>
    </w:p>
    <w:p>
      <w:r>
        <w:rPr>
          <w:rFonts w:ascii="Aptos" w:hAnsi="Aptos"/>
          <w:b/>
          <w:color w:val="DC674B"/>
          <w:sz w:val="18"/>
        </w:rPr>
        <w:t xml:space="preserve">03  </w:t>
      </w:r>
      <w:r>
        <w:rPr>
          <w:rFonts w:ascii="Aptos" w:hAnsi="Aptos"/>
          <w:b/>
          <w:sz w:val="24"/>
        </w:rPr>
        <w:t>La sécurité avant les exercices</w:t>
      </w:r>
    </w:p>
    <w:p>
      <w:pPr>
        <w:spacing w:after="140"/>
        <w:ind w:left="482"/>
      </w:pPr>
      <w:r>
        <w:t>Reconnaître les situations qui sortent de l’autogestion</w:t>
      </w:r>
    </w:p>
    <w:p>
      <w:r>
        <w:rPr>
          <w:rFonts w:ascii="Aptos" w:hAnsi="Aptos"/>
          <w:b/>
          <w:color w:val="DC674B"/>
          <w:sz w:val="18"/>
        </w:rPr>
        <w:t xml:space="preserve">04  </w:t>
      </w:r>
      <w:r>
        <w:rPr>
          <w:rFonts w:ascii="Aptos" w:hAnsi="Aptos"/>
          <w:b/>
          <w:sz w:val="24"/>
        </w:rPr>
        <w:t>Reprendre une activité</w:t>
      </w:r>
    </w:p>
    <w:p>
      <w:pPr>
        <w:spacing w:after="140"/>
        <w:ind w:left="482"/>
      </w:pPr>
      <w:r>
        <w:t>Choisir une dose réaliste et l’ajuster</w:t>
      </w:r>
    </w:p>
    <w:p>
      <w:r>
        <w:rPr>
          <w:rFonts w:ascii="Aptos" w:hAnsi="Aptos"/>
          <w:b/>
          <w:color w:val="DC674B"/>
          <w:sz w:val="18"/>
        </w:rPr>
        <w:t xml:space="preserve">05  </w:t>
      </w:r>
      <w:r>
        <w:rPr>
          <w:rFonts w:ascii="Aptos" w:hAnsi="Aptos"/>
          <w:b/>
          <w:sz w:val="24"/>
        </w:rPr>
        <w:t>Sommeil stress et attention</w:t>
      </w:r>
    </w:p>
    <w:p>
      <w:pPr>
        <w:spacing w:after="140"/>
        <w:ind w:left="482"/>
      </w:pPr>
      <w:r>
        <w:t>Comprendre ce qui peut amplifier ou apaiser l’expérience</w:t>
      </w:r>
    </w:p>
    <w:p>
      <w:r>
        <w:rPr>
          <w:rFonts w:ascii="Aptos" w:hAnsi="Aptos"/>
          <w:b/>
          <w:color w:val="DC674B"/>
          <w:sz w:val="18"/>
        </w:rPr>
        <w:t xml:space="preserve">06  </w:t>
      </w:r>
      <w:r>
        <w:rPr>
          <w:rFonts w:ascii="Aptos" w:hAnsi="Aptos"/>
          <w:b/>
          <w:sz w:val="24"/>
        </w:rPr>
        <w:t>Consultation imagerie et questions</w:t>
      </w:r>
    </w:p>
    <w:p>
      <w:pPr>
        <w:spacing w:after="140"/>
        <w:ind w:left="482"/>
      </w:pPr>
      <w:r>
        <w:t>Préparer un échange utile avec un professionnel</w:t>
      </w:r>
    </w:p>
    <w:p>
      <w:r>
        <w:rPr>
          <w:rFonts w:ascii="Aptos" w:hAnsi="Aptos"/>
          <w:b/>
          <w:color w:val="DC674B"/>
          <w:sz w:val="18"/>
        </w:rPr>
        <w:t xml:space="preserve">07  </w:t>
      </w:r>
      <w:r>
        <w:rPr>
          <w:rFonts w:ascii="Aptos" w:hAnsi="Aptos"/>
          <w:b/>
          <w:sz w:val="24"/>
        </w:rPr>
        <w:t>Prévenir les récidives</w:t>
      </w:r>
    </w:p>
    <w:p>
      <w:pPr>
        <w:spacing w:after="140"/>
        <w:ind w:left="482"/>
      </w:pPr>
      <w:r>
        <w:t>Construire une continuité sans dépendre d’une routine parfaite</w:t>
      </w:r>
    </w:p>
    <w:p>
      <w:r>
        <w:br w:type="page"/>
      </w:r>
    </w:p>
    <w:p>
      <w:pPr>
        <w:spacing w:after="80"/>
      </w:pPr>
      <w:r>
        <w:rPr>
          <w:rFonts w:ascii="Aptos" w:hAnsi="Aptos"/>
          <w:b/>
          <w:color w:val="DC674B"/>
          <w:sz w:val="17"/>
        </w:rPr>
        <w:t>CHAPITRE 01</w:t>
      </w:r>
    </w:p>
    <w:p>
      <w:pPr>
        <w:pStyle w:val="Title"/>
        <w:spacing w:after="160"/>
      </w:pPr>
      <w:r>
        <w:t>La douleur et les dommages</w:t>
      </w:r>
    </w:p>
    <w:p>
      <w:pPr>
        <w:spacing w:after="240"/>
      </w:pPr>
      <w:r>
        <w:rPr>
          <w:rFonts w:ascii="Aptos Display" w:hAnsi="Aptos Display"/>
          <w:color w:val="5C6361"/>
          <w:sz w:val="28"/>
        </w:rPr>
        <w:t>Une douleur forte est réelle sans être une mesure exacte de la lésion</w:t>
      </w:r>
    </w:p>
    <w:p>
      <w:r>
        <w:t>La douleur est une expérience de protection. Elle mobilise le système nerveux lorsqu’il estime qu’une partie du corps est menacée. Cette estimation utilise des informations venant des tissus, mais aussi le contexte, les expériences passées, la fatigue, le stress et le sens donné à la situation.</w:t>
      </w:r>
    </w:p>
    <w:p>
      <w:r>
        <w:t>Cela ne rend pas la douleur imaginaire. Cela explique pourquoi deux journées comparables peuvent être ressenties différemment et pourquoi une même image radiologique ne produit pas les mêmes symptômes chez tout le monde.</w:t>
      </w:r>
    </w:p>
    <w:p>
      <w:pPr>
        <w:pStyle w:val="Heading2"/>
      </w:pPr>
      <w:r>
        <w:t>Ce que la douleur permet de savoir</w:t>
      </w:r>
    </w:p>
    <w:p>
      <w:pPr>
        <w:pStyle w:val="ListBullet"/>
        <w:ind w:left="283" w:hanging="142"/>
      </w:pPr>
      <w:r>
        <w:t>quelque chose mérite votre attention maintenant</w:t>
      </w:r>
    </w:p>
    <w:p>
      <w:pPr>
        <w:pStyle w:val="ListBullet"/>
        <w:ind w:left="283" w:hanging="142"/>
      </w:pPr>
      <w:r>
        <w:t>certaines activités sont devenues difficiles ou inquiétantes</w:t>
      </w:r>
    </w:p>
    <w:p>
      <w:pPr>
        <w:pStyle w:val="ListBullet"/>
        <w:ind w:left="283" w:hanging="142"/>
      </w:pPr>
      <w:r>
        <w:t>votre stratégie doit tenir compte du sommeil, du travail et de la confiance, pas seulement d’un chiffre de douleur</w:t>
      </w:r>
    </w:p>
    <w:p>
      <w:pPr>
        <w:pStyle w:val="Heading2"/>
      </w:pPr>
      <w:r>
        <w:t>Ce qu’elle ne permet pas de conclure seule</w:t>
      </w:r>
    </w:p>
    <w:p>
      <w:pPr>
        <w:pStyle w:val="ListBullet"/>
        <w:ind w:left="283" w:hanging="142"/>
      </w:pPr>
      <w:r>
        <w:t>la quantité exacte de dommages dans le dos</w:t>
      </w:r>
    </w:p>
    <w:p>
      <w:pPr>
        <w:pStyle w:val="ListBullet"/>
        <w:ind w:left="283" w:hanging="142"/>
      </w:pPr>
      <w:r>
        <w:t>la nécessité automatique d’une imagerie</w:t>
      </w:r>
    </w:p>
    <w:p>
      <w:pPr>
        <w:pStyle w:val="ListBullet"/>
        <w:ind w:left="283" w:hanging="142"/>
      </w:pPr>
      <w:r>
        <w:t>l’existence d’un mouvement interdit pour toujours</w:t>
      </w:r>
    </w:p>
    <w:p>
      <w:pPr>
        <w:pStyle w:val="ListBullet"/>
        <w:ind w:left="283" w:hanging="142"/>
      </w:pPr>
      <w:r>
        <w:t>le délai précis de récupération</w:t>
      </w:r>
    </w:p>
    <w:p>
      <w:pPr>
        <w:spacing w:before="140" w:after="140"/>
        <w:ind w:left="255" w:right="142"/>
        <w:pBdr>
          <w:left w:val="single" w:sz="18" w:space="8" w:color="DC674B"/>
        </w:pBdr>
      </w:pPr>
      <w:r>
        <w:rPr>
          <w:rFonts w:ascii="Aptos" w:hAnsi="Aptos"/>
          <w:b/>
          <w:color w:val="DC674B"/>
          <w:sz w:val="17"/>
        </w:rPr>
        <w:t xml:space="preserve">REPÈRE  </w:t>
      </w:r>
      <w:r>
        <w:t>La Haute Autorité de santé rappelle l’absence de corrélation systématique entre les symptômes et les signes observés à l’imagerie. L’examen clinique et l’évolution des symptômes restent essentiels.</w:t>
      </w:r>
    </w:p>
    <w:p>
      <w:r>
        <w:br w:type="page"/>
      </w:r>
    </w:p>
    <w:p>
      <w:pPr>
        <w:spacing w:after="80"/>
      </w:pPr>
      <w:r>
        <w:rPr>
          <w:rFonts w:ascii="Aptos" w:hAnsi="Aptos"/>
          <w:b/>
          <w:color w:val="DC674B"/>
          <w:sz w:val="17"/>
        </w:rPr>
        <w:t>CHAPITRE 01</w:t>
      </w:r>
    </w:p>
    <w:p>
      <w:pPr>
        <w:pStyle w:val="Title"/>
        <w:spacing w:after="160"/>
      </w:pPr>
      <w:r>
        <w:t>Observer sans surveiller chaque sensation</w:t>
      </w:r>
    </w:p>
    <w:p>
      <w:pPr>
        <w:spacing w:after="240"/>
      </w:pPr>
      <w:r>
        <w:rPr>
          <w:rFonts w:ascii="Aptos Display" w:hAnsi="Aptos Display"/>
          <w:color w:val="5C6361"/>
          <w:sz w:val="28"/>
        </w:rPr>
        <w:t>Suivre la fonction donne souvent plus d’informations qu’un score isolé</w:t>
      </w:r>
    </w:p>
    <w:p>
      <w:r>
        <w:t>Noter uniquement la douleur peut donner l’impression que la journée entière doit être organisée autour d’elle. Ajoutez des indicateurs de capacité. Ils montrent ce que vous récupérez, même lorsque la douleur varie encore.</w:t>
      </w:r>
    </w:p>
    <w:p>
      <w:pPr>
        <w:pStyle w:val="Heading2"/>
      </w:pPr>
      <w:r>
        <w:t>Quatre indicateurs utiles</w:t>
      </w:r>
    </w:p>
    <w:p>
      <w:pPr>
        <w:pStyle w:val="ListBullet"/>
        <w:ind w:left="283" w:hanging="142"/>
      </w:pPr>
      <w:r>
        <w:t>une activité importante réalisée aujourd’hui</w:t>
      </w:r>
    </w:p>
    <w:p>
      <w:pPr>
        <w:pStyle w:val="ListBullet"/>
        <w:ind w:left="283" w:hanging="142"/>
      </w:pPr>
      <w:r>
        <w:t>le temps passé dans une même position avant d’avoir besoin de changer</w:t>
      </w:r>
    </w:p>
    <w:p>
      <w:pPr>
        <w:pStyle w:val="ListBullet"/>
        <w:ind w:left="283" w:hanging="142"/>
      </w:pPr>
      <w:r>
        <w:t>la confiance ressentie avant et après une activité</w:t>
      </w:r>
    </w:p>
    <w:p>
      <w:pPr>
        <w:pStyle w:val="ListBullet"/>
        <w:ind w:left="283" w:hanging="142"/>
      </w:pPr>
      <w:r>
        <w:t>la récupération observée le soir et le lendemain</w:t>
      </w:r>
    </w:p>
    <w:p>
      <w:pPr>
        <w:pStyle w:val="Heading2"/>
      </w:pPr>
      <w:r>
        <w:t>Exercice de mise au point</w:t>
      </w:r>
    </w:p>
    <w:p>
      <w:r>
        <w:rPr>
          <w:rFonts w:ascii="Aptos" w:hAnsi="Aptos"/>
          <w:b/>
          <w:sz w:val="19"/>
        </w:rPr>
        <w:t>Une activité que j’évite actuellement</w:t>
      </w:r>
    </w:p>
    <w:p>
      <w:pPr>
        <w:spacing w:after="80"/>
      </w:pPr>
      <w:r>
        <w:rPr>
          <w:rFonts w:ascii="Aptos" w:hAnsi="Aptos"/>
          <w:color w:val="B4B8B6"/>
          <w:sz w:val="16"/>
        </w:rPr>
        <w:t>________________________________________________________________________________</w:t>
      </w:r>
    </w:p>
    <w:p>
      <w:r>
        <w:rPr>
          <w:rFonts w:ascii="Aptos" w:hAnsi="Aptos"/>
          <w:b/>
          <w:sz w:val="19"/>
        </w:rPr>
        <w:t>Ce que je crains qu’il arrive</w:t>
      </w:r>
    </w:p>
    <w:p>
      <w:pPr>
        <w:spacing w:after="80"/>
      </w:pPr>
      <w:r>
        <w:rPr>
          <w:rFonts w:ascii="Aptos" w:hAnsi="Aptos"/>
          <w:color w:val="B4B8B6"/>
          <w:sz w:val="16"/>
        </w:rPr>
        <w:t>________________________________________________________________________________</w:t>
      </w:r>
    </w:p>
    <w:p>
      <w:r>
        <w:rPr>
          <w:rFonts w:ascii="Aptos" w:hAnsi="Aptos"/>
          <w:b/>
          <w:sz w:val="19"/>
        </w:rPr>
        <w:t>Une version plus courte ou plus simple que je pourrais discuter ou tester</w:t>
      </w:r>
    </w:p>
    <w:p>
      <w:pPr>
        <w:spacing w:after="80"/>
      </w:pPr>
      <w:r>
        <w:rPr>
          <w:rFonts w:ascii="Aptos" w:hAnsi="Aptos"/>
          <w:color w:val="B4B8B6"/>
          <w:sz w:val="16"/>
        </w:rPr>
        <w:t>________________________________________________________________________________</w:t>
      </w:r>
    </w:p>
    <w:p>
      <w:r>
        <w:rPr>
          <w:rFonts w:ascii="Aptos" w:hAnsi="Aptos"/>
          <w:b/>
          <w:sz w:val="19"/>
        </w:rPr>
        <w:t>Le signe qui me dira de réduire ou de demander conseil</w:t>
      </w:r>
    </w:p>
    <w:p>
      <w:pPr>
        <w:spacing w:after="80"/>
      </w:pPr>
      <w:r>
        <w:rPr>
          <w:rFonts w:ascii="Aptos" w:hAnsi="Aptos"/>
          <w:color w:val="B4B8B6"/>
          <w:sz w:val="16"/>
        </w:rPr>
        <w:t>________________________________________________________________________________</w:t>
      </w:r>
    </w:p>
    <w:p>
      <w:pPr>
        <w:spacing w:before="140" w:after="140"/>
        <w:ind w:left="255" w:right="142"/>
        <w:pBdr>
          <w:left w:val="single" w:sz="18" w:space="8" w:color="DC674B"/>
        </w:pBdr>
      </w:pPr>
      <w:r>
        <w:rPr>
          <w:rFonts w:ascii="Aptos" w:hAnsi="Aptos"/>
          <w:b/>
          <w:color w:val="DC674B"/>
          <w:sz w:val="17"/>
        </w:rPr>
        <w:t xml:space="preserve">À RETENIR  </w:t>
      </w:r>
      <w:r>
        <w:t>Une progression n’est pas forcément linéaire. Une journée plus douloureuse n’efface pas les capacités gagnées. Elle invite à regarder la dose, le contexte et la récupération.</w:t>
      </w:r>
    </w:p>
    <w:p>
      <w:r>
        <w:br w:type="page"/>
      </w:r>
    </w:p>
    <w:p>
      <w:pPr>
        <w:spacing w:after="80"/>
      </w:pPr>
      <w:r>
        <w:rPr>
          <w:rFonts w:ascii="Aptos" w:hAnsi="Aptos"/>
          <w:b/>
          <w:color w:val="DC674B"/>
          <w:sz w:val="17"/>
        </w:rPr>
        <w:t>CHAPITRE 02</w:t>
      </w:r>
    </w:p>
    <w:p>
      <w:pPr>
        <w:pStyle w:val="Title"/>
        <w:spacing w:after="160"/>
      </w:pPr>
      <w:r>
        <w:t>Un dos fait pour bouger</w:t>
      </w:r>
    </w:p>
    <w:p>
      <w:pPr>
        <w:spacing w:after="240"/>
      </w:pPr>
      <w:r>
        <w:rPr>
          <w:rFonts w:ascii="Aptos Display" w:hAnsi="Aptos Display"/>
          <w:color w:val="5C6361"/>
          <w:sz w:val="28"/>
        </w:rPr>
        <w:t>La colonne combine stabilité adaptation et mouvement</w:t>
      </w:r>
    </w:p>
    <w:p>
      <w:pPr>
        <w:jc w:val="center"/>
      </w:pPr>
      <w:r>
        <w:drawing>
          <wp:inline xmlns:a="http://schemas.openxmlformats.org/drawingml/2006/main" xmlns:pic="http://schemas.openxmlformats.org/drawingml/2006/picture">
            <wp:extent cx="5220000" cy="3480000"/>
            <wp:docPr id="2" name="Picture 2"/>
            <wp:cNvGraphicFramePr>
              <a:graphicFrameLocks noChangeAspect="1"/>
            </wp:cNvGraphicFramePr>
            <a:graphic>
              <a:graphicData uri="http://schemas.openxmlformats.org/drawingml/2006/picture">
                <pic:pic>
                  <pic:nvPicPr>
                    <pic:cNvPr id="0" name="exercice-mobilite.png"/>
                    <pic:cNvPicPr/>
                  </pic:nvPicPr>
                  <pic:blipFill>
                    <a:blip r:embed="rId12"/>
                    <a:stretch>
                      <a:fillRect/>
                    </a:stretch>
                  </pic:blipFill>
                  <pic:spPr>
                    <a:xfrm>
                      <a:off x="0" y="0"/>
                      <a:ext cx="5220000" cy="3480000"/>
                    </a:xfrm>
                    <a:prstGeom prst="rect"/>
                  </pic:spPr>
                </pic:pic>
              </a:graphicData>
            </a:graphic>
          </wp:inline>
        </w:drawing>
      </w:r>
    </w:p>
    <w:p>
      <w:pPr>
        <w:spacing w:after="160"/>
        <w:jc w:val="center"/>
      </w:pPr>
      <w:r>
        <w:rPr>
          <w:rFonts w:ascii="Aptos" w:hAnsi="Aptos"/>
          <w:color w:val="5C6361"/>
          <w:sz w:val="16"/>
        </w:rPr>
        <w:t>Mouvement guidé et progressif  L’illustration finale devra montrer une amplitude confortable et des adaptations visibles</w:t>
      </w:r>
    </w:p>
    <w:p>
      <w:r>
        <w:t>La région lombaire comprend cinq vertèbres, des disques, de petites articulations, des ligaments, des muscles et des nerfs. L’ensemble supporte des charges variées et s’adapte aux gestes répétés. Le dos n’est pas une pile de pièces qu’un mouvement ordinaire remettrait facilement de travers.</w:t>
      </w:r>
    </w:p>
    <w:p>
      <w:pPr>
        <w:pStyle w:val="Heading2"/>
      </w:pPr>
      <w:r>
        <w:t>Charge et capacité</w:t>
      </w:r>
    </w:p>
    <w:p>
      <w:r>
        <w:t>Une charge n’est pas seulement un poids. Elle inclut la durée, la répétition, la vitesse, la position, la fatigue et la confiance. La capacité correspond à ce que vous tolérez aujourd’hui. Elle peut évoluer grâce à une exposition progressive.</w:t>
      </w:r>
    </w:p>
    <w:p>
      <w:pPr>
        <w:pStyle w:val="ListBullet"/>
        <w:ind w:left="283" w:hanging="142"/>
      </w:pPr>
      <w:r>
        <w:t>Si la dose est très inférieure à votre capacité, le geste paraît facile.</w:t>
      </w:r>
    </w:p>
    <w:p>
      <w:pPr>
        <w:pStyle w:val="ListBullet"/>
        <w:ind w:left="283" w:hanging="142"/>
      </w:pPr>
      <w:r>
        <w:t>Si elle s’en approche, vous pouvez ressentir un effort ou une appréhension gérable.</w:t>
      </w:r>
    </w:p>
    <w:p>
      <w:pPr>
        <w:pStyle w:val="ListBullet"/>
        <w:ind w:left="283" w:hanging="142"/>
      </w:pPr>
      <w:r>
        <w:t>Si elle la dépasse nettement, la réponse peut durer et nécessiter une réduction temporaire.</w:t>
      </w:r>
    </w:p>
    <w:p>
      <w:r>
        <w:br w:type="page"/>
      </w:r>
    </w:p>
    <w:p>
      <w:pPr>
        <w:spacing w:after="80"/>
      </w:pPr>
      <w:r>
        <w:rPr>
          <w:rFonts w:ascii="Aptos" w:hAnsi="Aptos"/>
          <w:b/>
          <w:color w:val="DC674B"/>
          <w:sz w:val="17"/>
        </w:rPr>
        <w:t>CHAPITRE 03</w:t>
      </w:r>
    </w:p>
    <w:p>
      <w:pPr>
        <w:pStyle w:val="Title"/>
        <w:spacing w:after="160"/>
      </w:pPr>
      <w:r>
        <w:t>La sécurité avant les exercices</w:t>
      </w:r>
    </w:p>
    <w:p>
      <w:pPr>
        <w:spacing w:after="240"/>
      </w:pPr>
      <w:r>
        <w:rPr>
          <w:rFonts w:ascii="Aptos Display" w:hAnsi="Aptos Display"/>
          <w:color w:val="5C6361"/>
          <w:sz w:val="28"/>
        </w:rPr>
        <w:t>Décider si l’autogestion est adaptée aujourd’hui</w:t>
      </w:r>
    </w:p>
    <w:p>
      <w:r>
        <w:t>Commencez chaque nouveau programme par la page de sécurité. La plupart des lombalgies sont communes, mais certains signes imposent un examen plutôt qu’une expérimentation à domicile.</w:t>
      </w:r>
    </w:p>
    <w:p>
      <w:pPr>
        <w:pStyle w:val="Heading2"/>
      </w:pPr>
      <w:r>
        <w:t>Le contrôle en trois questions</w:t>
      </w:r>
    </w:p>
    <w:p>
      <w:pPr>
        <w:ind w:left="312" w:hanging="159"/>
      </w:pPr>
      <w:r>
        <w:t>1. Un signe neurologique nouveau est il apparu, comme une faiblesse qui progresse, une difficulté à uriner ou une perte de sensibilité du périnée</w:t>
      </w:r>
    </w:p>
    <w:p>
      <w:pPr>
        <w:ind w:left="312" w:hanging="159"/>
      </w:pPr>
      <w:r>
        <w:t>2. La douleur est elle liée à un traumatisme important, à une fièvre, à une altération générale ou à un contexte médical particulier</w:t>
      </w:r>
    </w:p>
    <w:p>
      <w:pPr>
        <w:ind w:left="312" w:hanging="159"/>
      </w:pPr>
      <w:r>
        <w:t>3. Les symptômes ont ils changé de nature ou se sont ils aggravés de façon inhabituelle</w:t>
      </w:r>
    </w:p>
    <w:p>
      <w:r>
        <w:t>Si la réponse est oui ou incertaine, suspendez le programme et demandez un avis adapté. Si la réponse est non, choisissez une action légère et observable plutôt qu’un test maximal.</w:t>
      </w:r>
    </w:p>
    <w:p>
      <w:pPr>
        <w:pStyle w:val="Heading2"/>
      </w:pPr>
      <w:r>
        <w:t>La règle d’arrêt pendant une activité</w:t>
      </w:r>
    </w:p>
    <w:p>
      <w:pPr>
        <w:pStyle w:val="ListBullet"/>
        <w:ind w:left="283" w:hanging="142"/>
      </w:pPr>
      <w:r>
        <w:t>arrêtez immédiatement en cas de faiblesse nouvelle, malaise, douleur thoracique, essoufflement inhabituel ou perte de sensibilité</w:t>
      </w:r>
    </w:p>
    <w:p>
      <w:pPr>
        <w:pStyle w:val="ListBullet"/>
        <w:ind w:left="283" w:hanging="142"/>
      </w:pPr>
      <w:r>
        <w:t>réduisez l’amplitude, la durée ou la répétition si la réponse devient nettement plus forte ou moins contrôlable</w:t>
      </w:r>
    </w:p>
    <w:p>
      <w:pPr>
        <w:pStyle w:val="ListBullet"/>
        <w:ind w:left="283" w:hanging="142"/>
      </w:pPr>
      <w:r>
        <w:t>demandez conseil si l’aggravation persiste ou modifie vos activités de façon importante</w:t>
      </w:r>
    </w:p>
    <w:p>
      <w:r>
        <w:br w:type="page"/>
      </w:r>
    </w:p>
    <w:p>
      <w:pPr>
        <w:spacing w:after="80"/>
      </w:pPr>
      <w:r>
        <w:rPr>
          <w:rFonts w:ascii="Aptos" w:hAnsi="Aptos"/>
          <w:b/>
          <w:color w:val="DC674B"/>
          <w:sz w:val="17"/>
        </w:rPr>
        <w:t>CHAPITRE 04</w:t>
      </w:r>
    </w:p>
    <w:p>
      <w:pPr>
        <w:pStyle w:val="Title"/>
        <w:spacing w:after="160"/>
      </w:pPr>
      <w:r>
        <w:t>Reprendre une activité</w:t>
      </w:r>
    </w:p>
    <w:p>
      <w:pPr>
        <w:spacing w:after="240"/>
      </w:pPr>
      <w:r>
        <w:rPr>
          <w:rFonts w:ascii="Aptos Display" w:hAnsi="Aptos Display"/>
          <w:color w:val="5C6361"/>
          <w:sz w:val="28"/>
        </w:rPr>
        <w:t>Choisir une dose que vous pouvez répéter</w:t>
      </w:r>
    </w:p>
    <w:p>
      <w:r>
        <w:t>Les recommandations françaises encouragent la poursuite des activités quotidiennes autant que possible et une activité physique adaptée. Vous n’avez rien à prouver aujourd’hui. L’idée est de retrouver peu à peu une continuité qui vous convient.</w:t>
      </w:r>
    </w:p>
    <w:p>
      <w:pPr>
        <w:pStyle w:val="Heading2"/>
      </w:pPr>
      <w:r>
        <w:t>La plus petite version utile</w:t>
      </w:r>
    </w:p>
    <w:p>
      <w:pPr>
        <w:ind w:left="312" w:hanging="159"/>
      </w:pPr>
      <w:r>
        <w:t>1. Choisissez une activité qui compte dans votre vie, par exemple marcher jusqu’à la boulangerie, vous habiller seul ou rester à votre poste pendant une réunion.</w:t>
      </w:r>
    </w:p>
    <w:p>
      <w:pPr>
        <w:ind w:left="312" w:hanging="159"/>
      </w:pPr>
      <w:r>
        <w:t>2. Réduisez un paramètre, comme la durée, la distance, la charge ou le nombre de répétitions.</w:t>
      </w:r>
    </w:p>
    <w:p>
      <w:pPr>
        <w:ind w:left="312" w:hanging="159"/>
      </w:pPr>
      <w:r>
        <w:t>3. Gardez une marge pour pouvoir refaire l’action demain ou après demain.</w:t>
      </w:r>
    </w:p>
    <w:p>
      <w:pPr>
        <w:ind w:left="312" w:hanging="159"/>
      </w:pPr>
      <w:r>
        <w:t>4. Observez la réponse pendant l’activité, le soir et le lendemain.</w:t>
      </w:r>
    </w:p>
    <w:p>
      <w:pPr>
        <w:ind w:left="312" w:hanging="159"/>
      </w:pPr>
      <w:r>
        <w:t>5. Augmentez un seul paramètre lorsque la réponse est acceptable et prévisible.</w:t>
      </w:r>
    </w:p>
    <w:p>
      <w:pPr>
        <w:pStyle w:val="Heading2"/>
      </w:pPr>
      <w:r>
        <w:t>Exemple</w:t>
      </w:r>
    </w:p>
    <w:p>
      <w:r>
        <w:t>Si dix minutes de marche semblent incertaines, commencez par deux sorties de quatre minutes à allure habituelle. Après deux ou trois essais, augmentez soit la durée d’une sortie, soit l’allure. Ne changez pas tout à la fois.</w:t>
      </w:r>
    </w:p>
    <w:p>
      <w:pPr>
        <w:spacing w:before="140" w:after="140"/>
        <w:ind w:left="255" w:right="142"/>
        <w:pBdr>
          <w:left w:val="single" w:sz="18" w:space="8" w:color="DC674B"/>
        </w:pBdr>
      </w:pPr>
      <w:r>
        <w:rPr>
          <w:rFonts w:ascii="Aptos" w:hAnsi="Aptos"/>
          <w:b/>
          <w:color w:val="DC674B"/>
          <w:sz w:val="17"/>
        </w:rPr>
        <w:t xml:space="preserve">IMPORTANT  </w:t>
      </w:r>
      <w:r>
        <w:t>Cet exemple illustre une méthode de dosage. Il ne constitue pas une prescription. Une douleur irradiée, une faiblesse, un contexte médical complexe ou une reprise difficile justifient un conseil personnalisé.</w:t>
      </w:r>
    </w:p>
    <w:p>
      <w:r>
        <w:br w:type="page"/>
      </w:r>
    </w:p>
    <w:p>
      <w:pPr>
        <w:spacing w:after="80"/>
      </w:pPr>
      <w:r>
        <w:rPr>
          <w:rFonts w:ascii="Aptos" w:hAnsi="Aptos"/>
          <w:b/>
          <w:color w:val="DC674B"/>
          <w:sz w:val="17"/>
        </w:rPr>
        <w:t>CHAPITRE 05</w:t>
      </w:r>
    </w:p>
    <w:p>
      <w:pPr>
        <w:pStyle w:val="Title"/>
        <w:spacing w:after="160"/>
      </w:pPr>
      <w:r>
        <w:t>Sommeil stress et attention</w:t>
      </w:r>
    </w:p>
    <w:p>
      <w:pPr>
        <w:spacing w:after="240"/>
      </w:pPr>
      <w:r>
        <w:rPr>
          <w:rFonts w:ascii="Aptos Display" w:hAnsi="Aptos Display"/>
          <w:color w:val="5C6361"/>
          <w:sz w:val="28"/>
        </w:rPr>
        <w:t>Le contexte peut modifier l’intensité et la récupération</w:t>
      </w:r>
    </w:p>
    <w:p>
      <w:r>
        <w:t>Un sommeil insuffisant, une forte inquiétude ou une journée sans possibilité de changer de position peuvent augmenter la sensibilité. Ces facteurs n’expliquent pas tout et ne signifient pas que la douleur est psychologique. Ils font partie des informations utilisées par le système de protection.</w:t>
      </w:r>
    </w:p>
    <w:p>
      <w:pPr>
        <w:pStyle w:val="Heading2"/>
      </w:pPr>
      <w:r>
        <w:t>Trois leviers sobres</w:t>
      </w:r>
    </w:p>
    <w:p>
      <w:pPr>
        <w:pStyle w:val="ListBullet"/>
        <w:ind w:left="283" w:hanging="142"/>
      </w:pPr>
      <w:r>
        <w:t>préparer une position de repos confortable sans chercher une posture parfaite</w:t>
      </w:r>
    </w:p>
    <w:p>
      <w:pPr>
        <w:pStyle w:val="ListBullet"/>
        <w:ind w:left="283" w:hanging="142"/>
      </w:pPr>
      <w:r>
        <w:t>alterner les positions et fractionner les tâches longues</w:t>
      </w:r>
    </w:p>
    <w:p>
      <w:pPr>
        <w:pStyle w:val="ListBullet"/>
        <w:ind w:left="283" w:hanging="142"/>
      </w:pPr>
      <w:r>
        <w:t>définir une action concrète pour le lendemain afin de réduire l’incertitude</w:t>
      </w:r>
    </w:p>
    <w:p>
      <w:pPr>
        <w:pStyle w:val="Heading2"/>
      </w:pPr>
      <w:r>
        <w:t>Question de fin de journée</w:t>
      </w:r>
    </w:p>
    <w:p>
      <w:r>
        <w:rPr>
          <w:rFonts w:ascii="Aptos" w:hAnsi="Aptos"/>
          <w:b/>
          <w:sz w:val="19"/>
        </w:rPr>
        <w:t>Ce qui a rendu la journée plus facile</w:t>
      </w:r>
    </w:p>
    <w:p>
      <w:pPr>
        <w:spacing w:after="80"/>
      </w:pPr>
      <w:r>
        <w:rPr>
          <w:rFonts w:ascii="Aptos" w:hAnsi="Aptos"/>
          <w:color w:val="B4B8B6"/>
          <w:sz w:val="16"/>
        </w:rPr>
        <w:t>________________________________________________________________________________</w:t>
      </w:r>
    </w:p>
    <w:p>
      <w:r>
        <w:rPr>
          <w:rFonts w:ascii="Aptos" w:hAnsi="Aptos"/>
          <w:b/>
          <w:sz w:val="19"/>
        </w:rPr>
        <w:t>Ce qui a augmenté la difficulté</w:t>
      </w:r>
    </w:p>
    <w:p>
      <w:pPr>
        <w:spacing w:after="80"/>
      </w:pPr>
      <w:r>
        <w:rPr>
          <w:rFonts w:ascii="Aptos" w:hAnsi="Aptos"/>
          <w:color w:val="B4B8B6"/>
          <w:sz w:val="16"/>
        </w:rPr>
        <w:t>________________________________________________________________________________</w:t>
      </w:r>
    </w:p>
    <w:p>
      <w:r>
        <w:rPr>
          <w:rFonts w:ascii="Aptos" w:hAnsi="Aptos"/>
          <w:b/>
          <w:sz w:val="19"/>
        </w:rPr>
        <w:t>Le réglage que je teste demain</w:t>
      </w:r>
    </w:p>
    <w:p>
      <w:pPr>
        <w:spacing w:after="80"/>
      </w:pPr>
      <w:r>
        <w:rPr>
          <w:rFonts w:ascii="Aptos" w:hAnsi="Aptos"/>
          <w:color w:val="B4B8B6"/>
          <w:sz w:val="16"/>
        </w:rPr>
        <w:t>________________________________________________________________________________</w:t>
      </w:r>
    </w:p>
    <w:p>
      <w:r>
        <w:br w:type="page"/>
      </w:r>
    </w:p>
    <w:p>
      <w:pPr>
        <w:spacing w:after="80"/>
      </w:pPr>
      <w:r>
        <w:rPr>
          <w:rFonts w:ascii="Aptos" w:hAnsi="Aptos"/>
          <w:b/>
          <w:color w:val="DC674B"/>
          <w:sz w:val="17"/>
        </w:rPr>
        <w:t>CHAPITRE 06</w:t>
      </w:r>
    </w:p>
    <w:p>
      <w:pPr>
        <w:pStyle w:val="Title"/>
        <w:spacing w:after="160"/>
      </w:pPr>
      <w:r>
        <w:t>Préparer une consultation</w:t>
      </w:r>
    </w:p>
    <w:p>
      <w:pPr>
        <w:spacing w:after="240"/>
      </w:pPr>
      <w:r>
        <w:rPr>
          <w:rFonts w:ascii="Aptos Display" w:hAnsi="Aptos Display"/>
          <w:color w:val="5C6361"/>
          <w:sz w:val="28"/>
        </w:rPr>
        <w:t>Arriver avec des informations utiles plutôt qu’un récit parfait</w:t>
      </w:r>
    </w:p>
    <w:p>
      <w:pPr>
        <w:jc w:val="center"/>
      </w:pPr>
      <w:r>
        <w:drawing>
          <wp:inline xmlns:a="http://schemas.openxmlformats.org/drawingml/2006/main" xmlns:pic="http://schemas.openxmlformats.org/drawingml/2006/picture">
            <wp:extent cx="5112000" cy="3408000"/>
            <wp:docPr id="3" name="Picture 3"/>
            <wp:cNvGraphicFramePr>
              <a:graphicFrameLocks noChangeAspect="1"/>
            </wp:cNvGraphicFramePr>
            <a:graphic>
              <a:graphicData uri="http://schemas.openxmlformats.org/drawingml/2006/picture">
                <pic:pic>
                  <pic:nvPicPr>
                    <pic:cNvPr id="0" name="consultation-kine.png"/>
                    <pic:cNvPicPr/>
                  </pic:nvPicPr>
                  <pic:blipFill>
                    <a:blip r:embed="rId13"/>
                    <a:stretch>
                      <a:fillRect/>
                    </a:stretch>
                  </pic:blipFill>
                  <pic:spPr>
                    <a:xfrm>
                      <a:off x="0" y="0"/>
                      <a:ext cx="5112000" cy="3408000"/>
                    </a:xfrm>
                    <a:prstGeom prst="rect"/>
                  </pic:spPr>
                </pic:pic>
              </a:graphicData>
            </a:graphic>
          </wp:inline>
        </w:drawing>
      </w:r>
    </w:p>
    <w:p>
      <w:pPr>
        <w:spacing w:after="160"/>
        <w:jc w:val="center"/>
      </w:pPr>
      <w:r>
        <w:rPr>
          <w:rFonts w:ascii="Aptos" w:hAnsi="Aptos"/>
          <w:color w:val="5C6361"/>
          <w:sz w:val="16"/>
        </w:rPr>
        <w:t>Consultation et décision partagée  Le professionnel recherche les signes d’alerte puis adapte les conseils</w:t>
      </w:r>
    </w:p>
    <w:p>
      <w:pPr>
        <w:pStyle w:val="Heading2"/>
      </w:pPr>
      <w:r>
        <w:t>Les informations à noter</w:t>
      </w:r>
    </w:p>
    <w:p>
      <w:pPr>
        <w:pStyle w:val="ListBullet"/>
        <w:ind w:left="283" w:hanging="142"/>
      </w:pPr>
      <w:r>
        <w:t>date et circonstances d’apparition ou de modification</w:t>
      </w:r>
    </w:p>
    <w:p>
      <w:pPr>
        <w:pStyle w:val="ListBullet"/>
        <w:ind w:left="283" w:hanging="142"/>
      </w:pPr>
      <w:r>
        <w:t>zone de douleur et éventuelle irradiation dans une jambe</w:t>
      </w:r>
    </w:p>
    <w:p>
      <w:pPr>
        <w:pStyle w:val="ListBullet"/>
        <w:ind w:left="283" w:hanging="142"/>
      </w:pPr>
      <w:r>
        <w:t>faiblesse, engourdissement, troubles urinaires ou autres symptômes associés</w:t>
      </w:r>
    </w:p>
    <w:p>
      <w:pPr>
        <w:pStyle w:val="ListBullet"/>
        <w:ind w:left="283" w:hanging="142"/>
      </w:pPr>
      <w:r>
        <w:t>activités devenues difficiles et activités encore possibles</w:t>
      </w:r>
    </w:p>
    <w:p>
      <w:pPr>
        <w:pStyle w:val="ListBullet"/>
        <w:ind w:left="283" w:hanging="142"/>
      </w:pPr>
      <w:r>
        <w:t>médicaments, antécédents, examens déjà réalisés et attentes principales</w:t>
      </w:r>
    </w:p>
    <w:p>
      <w:pPr>
        <w:pStyle w:val="Heading2"/>
      </w:pPr>
      <w:r>
        <w:t>Questions possibles</w:t>
      </w:r>
    </w:p>
    <w:p>
      <w:pPr>
        <w:pStyle w:val="ListBullet"/>
        <w:ind w:left="283" w:hanging="142"/>
      </w:pPr>
      <w:r>
        <w:t>Quels signes doivent me faire reconsulter rapidement</w:t>
      </w:r>
    </w:p>
    <w:p>
      <w:pPr>
        <w:pStyle w:val="ListBullet"/>
        <w:ind w:left="283" w:hanging="142"/>
      </w:pPr>
      <w:r>
        <w:t>Quelles activités puis je conserver dès maintenant</w:t>
      </w:r>
    </w:p>
    <w:p>
      <w:pPr>
        <w:pStyle w:val="ListBullet"/>
        <w:ind w:left="283" w:hanging="142"/>
      </w:pPr>
      <w:r>
        <w:t>Comment dois je ajuster la charge ou la durée</w:t>
      </w:r>
    </w:p>
    <w:p>
      <w:pPr>
        <w:pStyle w:val="ListBullet"/>
        <w:ind w:left="283" w:hanging="142"/>
      </w:pPr>
      <w:r>
        <w:t>Dans mon cas, qu’est ce qui justifierait une imagerie ou une orientation</w:t>
      </w:r>
    </w:p>
    <w:p>
      <w:r>
        <w:br w:type="page"/>
      </w:r>
    </w:p>
    <w:p>
      <w:pPr>
        <w:spacing w:after="80"/>
      </w:pPr>
      <w:r>
        <w:rPr>
          <w:rFonts w:ascii="Aptos" w:hAnsi="Aptos"/>
          <w:b/>
          <w:color w:val="DC674B"/>
          <w:sz w:val="17"/>
        </w:rPr>
        <w:t>CHAPITRE 07</w:t>
      </w:r>
    </w:p>
    <w:p>
      <w:pPr>
        <w:pStyle w:val="Title"/>
        <w:spacing w:after="160"/>
      </w:pPr>
      <w:r>
        <w:t>Prévenir les récidives</w:t>
      </w:r>
    </w:p>
    <w:p>
      <w:pPr>
        <w:spacing w:after="240"/>
      </w:pPr>
      <w:r>
        <w:rPr>
          <w:rFonts w:ascii="Aptos Display" w:hAnsi="Aptos Display"/>
          <w:color w:val="5C6361"/>
          <w:sz w:val="28"/>
        </w:rPr>
        <w:t>Construire une continuité compatible avec les semaines imparfaites</w:t>
      </w:r>
    </w:p>
    <w:p>
      <w:r>
        <w:t>La prévention repose moins sur un exercice secret que sur une activité régulière, choisie selon vos préférences et suffisamment souple pour survivre aux périodes chargées. Le programme doit prévoir une version courte, une version habituelle et une façon de reprendre après une interruption.</w:t>
      </w:r>
    </w:p>
    <w:p>
      <w:pPr>
        <w:pStyle w:val="Heading2"/>
      </w:pPr>
      <w:r>
        <w:t>Votre plan de continuité</w:t>
      </w:r>
    </w:p>
    <w:p>
      <w:r>
        <w:rPr>
          <w:rFonts w:ascii="Aptos" w:hAnsi="Aptos"/>
          <w:b/>
          <w:sz w:val="19"/>
        </w:rPr>
        <w:t>Mon activité principale</w:t>
      </w:r>
    </w:p>
    <w:p>
      <w:pPr>
        <w:spacing w:after="80"/>
      </w:pPr>
      <w:r>
        <w:rPr>
          <w:rFonts w:ascii="Aptos" w:hAnsi="Aptos"/>
          <w:color w:val="B4B8B6"/>
          <w:sz w:val="16"/>
        </w:rPr>
        <w:t>________________________________________________________________________________</w:t>
      </w:r>
    </w:p>
    <w:p>
      <w:r>
        <w:rPr>
          <w:rFonts w:ascii="Aptos" w:hAnsi="Aptos"/>
          <w:b/>
          <w:sz w:val="19"/>
        </w:rPr>
        <w:t>Ma version de dix minutes ou moins</w:t>
      </w:r>
    </w:p>
    <w:p>
      <w:pPr>
        <w:spacing w:after="80"/>
      </w:pPr>
      <w:r>
        <w:rPr>
          <w:rFonts w:ascii="Aptos" w:hAnsi="Aptos"/>
          <w:color w:val="B4B8B6"/>
          <w:sz w:val="16"/>
        </w:rPr>
        <w:t>________________________________________________________________________________</w:t>
      </w:r>
    </w:p>
    <w:p>
      <w:r>
        <w:rPr>
          <w:rFonts w:ascii="Aptos" w:hAnsi="Aptos"/>
          <w:b/>
          <w:sz w:val="19"/>
        </w:rPr>
        <w:t>Le moment réaliste dans ma semaine</w:t>
      </w:r>
    </w:p>
    <w:p>
      <w:pPr>
        <w:spacing w:after="80"/>
      </w:pPr>
      <w:r>
        <w:rPr>
          <w:rFonts w:ascii="Aptos" w:hAnsi="Aptos"/>
          <w:color w:val="B4B8B6"/>
          <w:sz w:val="16"/>
        </w:rPr>
        <w:t>________________________________________________________________________________</w:t>
      </w:r>
    </w:p>
    <w:p>
      <w:r>
        <w:rPr>
          <w:rFonts w:ascii="Aptos" w:hAnsi="Aptos"/>
          <w:b/>
          <w:sz w:val="19"/>
        </w:rPr>
        <w:t>La personne ou le repère qui m’aide à reprendre</w:t>
      </w:r>
    </w:p>
    <w:p>
      <w:pPr>
        <w:spacing w:after="80"/>
      </w:pPr>
      <w:r>
        <w:rPr>
          <w:rFonts w:ascii="Aptos" w:hAnsi="Aptos"/>
          <w:color w:val="B4B8B6"/>
          <w:sz w:val="16"/>
        </w:rPr>
        <w:t>________________________________________________________________________________</w:t>
      </w:r>
    </w:p>
    <w:p>
      <w:r>
        <w:rPr>
          <w:rFonts w:ascii="Aptos" w:hAnsi="Aptos"/>
          <w:b/>
          <w:sz w:val="19"/>
        </w:rPr>
        <w:t>Le signe qui m’indique de demander un avis professionnel</w:t>
      </w:r>
    </w:p>
    <w:p>
      <w:pPr>
        <w:spacing w:after="80"/>
      </w:pPr>
      <w:r>
        <w:rPr>
          <w:rFonts w:ascii="Aptos" w:hAnsi="Aptos"/>
          <w:color w:val="B4B8B6"/>
          <w:sz w:val="16"/>
        </w:rPr>
        <w:t>________________________________________________________________________________</w:t>
      </w:r>
    </w:p>
    <w:p>
      <w:pPr>
        <w:spacing w:before="140" w:after="140"/>
        <w:ind w:left="255" w:right="142"/>
        <w:pBdr>
          <w:left w:val="single" w:sz="18" w:space="8" w:color="DC674B"/>
        </w:pBdr>
      </w:pPr>
      <w:r>
        <w:rPr>
          <w:rFonts w:ascii="Aptos" w:hAnsi="Aptos"/>
          <w:b/>
          <w:color w:val="DC674B"/>
          <w:sz w:val="17"/>
        </w:rPr>
        <w:t xml:space="preserve">SUITE PROPOSÉE  </w:t>
      </w:r>
      <w:r>
        <w:t>Le cahier Dos solide 28 jours transforme ces repères en pratique quotidienne. Le guide SOS Lumbago 7 jours concerne les premiers jours d’une poussée et commence toujours par un contrôle de sécurité.</w:t>
      </w:r>
    </w:p>
    <w:p>
      <w:r>
        <w:br w:type="page"/>
      </w:r>
    </w:p>
    <w:p>
      <w:pPr>
        <w:spacing w:after="80"/>
      </w:pPr>
      <w:r>
        <w:rPr>
          <w:rFonts w:ascii="Aptos" w:hAnsi="Aptos"/>
          <w:b/>
          <w:color w:val="DC674B"/>
          <w:sz w:val="17"/>
        </w:rPr>
        <w:t>RÉFÉRENCES</w:t>
      </w:r>
    </w:p>
    <w:p>
      <w:pPr>
        <w:pStyle w:val="Title"/>
        <w:spacing w:after="160"/>
      </w:pPr>
      <w:r>
        <w:t>Sources et validation éditoriale</w:t>
      </w:r>
    </w:p>
    <w:p>
      <w:pPr>
        <w:pStyle w:val="Heading1"/>
      </w:pPr>
      <w:r>
        <w:t>Sources de référence</w:t>
      </w:r>
    </w:p>
    <w:p>
      <w:pPr>
        <w:pStyle w:val="ListBullet"/>
      </w:pPr>
      <w:hyperlink r:id="rId14">
        <w:r>
          <w:rPr>
            <w:color w:val="0D3B33"/>
            <w:u w:val="single"/>
          </w:rPr>
          <w:t>Haute Autorité de santé  Prise en charge du patient présentant une lombalgie commune</w:t>
        </w:r>
      </w:hyperlink>
    </w:p>
    <w:p>
      <w:pPr>
        <w:pStyle w:val="ListBullet"/>
      </w:pPr>
      <w:hyperlink r:id="rId15">
        <w:r>
          <w:rPr>
            <w:color w:val="0D3B33"/>
            <w:u w:val="single"/>
          </w:rPr>
          <w:t>Assurance Maladie  Lombalgie ou mal de dos</w:t>
        </w:r>
      </w:hyperlink>
    </w:p>
    <w:p>
      <w:pPr>
        <w:pStyle w:val="ListBullet"/>
      </w:pPr>
      <w:hyperlink r:id="rId16">
        <w:r>
          <w:rPr>
            <w:color w:val="0D3B33"/>
            <w:u w:val="single"/>
          </w:rPr>
          <w:t>Assurance Maladie  Le bon traitement est le mouvement</w:t>
        </w:r>
      </w:hyperlink>
    </w:p>
    <w:p>
      <w:pPr>
        <w:pStyle w:val="ListBullet"/>
      </w:pPr>
      <w:hyperlink r:id="rId17">
        <w:r>
          <w:rPr>
            <w:color w:val="0D3B33"/>
            <w:u w:val="single"/>
          </w:rPr>
          <w:t>Assurance Maladie  Éviter le passage à la chronicité</w:t>
        </w:r>
      </w:hyperlink>
    </w:p>
    <w:p>
      <w:pPr>
        <w:pStyle w:val="ListBullet"/>
      </w:pPr>
      <w:hyperlink r:id="rId18">
        <w:r>
          <w:rPr>
            <w:color w:val="0D3B33"/>
            <w:u w:val="single"/>
          </w:rPr>
          <w:t>Organisation mondiale de la Santé  Guideline on chronic primary low back pain</w:t>
        </w:r>
      </w:hyperlink>
    </w:p>
    <w:p>
      <w:r>
        <w:t>Sources consultées le 4 octobre 2026. Le manuscrit reformule les informations. Il ne reproduit pas les recommandations et ne se substitue pas à leur lecture par le relecteur médical.</w:t>
      </w:r>
    </w:p>
    <w:p>
      <w:pPr>
        <w:pStyle w:val="Heading2"/>
      </w:pPr>
      <w:r>
        <w:t>Validation avant publication</w:t>
      </w:r>
    </w:p>
    <w:p>
      <w:pPr>
        <w:pStyle w:val="ListBullet"/>
        <w:ind w:left="283" w:hanging="142"/>
      </w:pPr>
      <w:r>
        <w:t>relecture médicale de chaque message de sécurité et de chaque exemple</w:t>
      </w:r>
    </w:p>
    <w:p>
      <w:pPr>
        <w:pStyle w:val="ListBullet"/>
        <w:ind w:left="283" w:hanging="142"/>
      </w:pPr>
      <w:r>
        <w:t>validation des illustrations par un professionnel compétent</w:t>
      </w:r>
    </w:p>
    <w:p>
      <w:pPr>
        <w:pStyle w:val="ListBullet"/>
        <w:ind w:left="283" w:hanging="142"/>
      </w:pPr>
      <w:r>
        <w:t>test de compréhension auprès de lecteurs non spécialistes</w:t>
      </w:r>
    </w:p>
    <w:p>
      <w:pPr>
        <w:pStyle w:val="ListBullet"/>
        <w:ind w:left="283" w:hanging="142"/>
      </w:pPr>
      <w:r>
        <w:t>date de révision affichée dans le produit final</w:t>
      </w:r>
    </w:p>
    <w:sectPr w:rsidR="00FC693F" w:rsidRPr="0006063C" w:rsidSect="00034616">
      <w:headerReference w:type="default" r:id="rId9"/>
      <w:footerReference w:type="default" r:id="rId10"/>
      <w:pgSz w:w="11906" w:h="16838"/>
      <w:pgMar w:top="935"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361"/>
        <w:sz w:val="15"/>
      </w:rPr>
      <w:t xml:space="preserve">Document de travail 0.1   •   Relecture médicale obligatoire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C6361"/>
        <w:sz w:val="15"/>
      </w:rPr>
      <w:t>LE RÉFLEXE DOS   ·   COMPRENDRE SON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81D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ptos Display" w:hAnsi="Aptos Display"/>
      <w:b/>
      <w:bCs/>
      <w:color w:val="181D1C"/>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81D1C"/>
      <w:sz w:val="30"/>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181D1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40" w:lineRule="auto" w:before="0"/>
      <w:contextualSpacing/>
    </w:pPr>
    <w:rPr>
      <w:rFonts w:asciiTheme="majorHAnsi" w:eastAsiaTheme="majorEastAsia" w:hAnsiTheme="majorHAnsi" w:cstheme="majorBidi" w:ascii="Aptos Display" w:hAnsi="Aptos Display"/>
      <w:b/>
      <w:color w:val="181D1C"/>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has-sante.fr/jcms/c_2961499/" TargetMode="External"/><Relationship Id="rId15" Type="http://schemas.openxmlformats.org/officeDocument/2006/relationships/hyperlink" Target="https://www.ameli.fr/assure/sante/themes/lombalgie-aigue/comprendre-lombalgie" TargetMode="External"/><Relationship Id="rId16" Type="http://schemas.openxmlformats.org/officeDocument/2006/relationships/hyperlink" Target="https://www.ameli.fr/assure/sante/themes/lombalgie-aigue/traitement-prevention" TargetMode="External"/><Relationship Id="rId17" Type="http://schemas.openxmlformats.org/officeDocument/2006/relationships/hyperlink" Target="https://www.ameli.fr/assure/sante/themes/lombalgie-aigue/lombalgie-subaigue-chronique" TargetMode="External"/><Relationship Id="rId18" Type="http://schemas.openxmlformats.org/officeDocument/2006/relationships/hyperlink" Target="https://www.who.int/publications/i/item/97892400817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Prototype éditorial destiné à une relecture médicale et utilisateur</dc:subject>
  <dc:creator>Le Réflexe Dos</dc:creator>
  <cp:keywords/>
  <dc:description>Version 0.1 produite le 4 octobre 2026</dc:description>
  <cp:lastModifiedBy/>
  <cp:revision>1</cp:revision>
  <dcterms:created xsi:type="dcterms:W3CDTF">2013-12-23T23:15:00Z</dcterms:created>
  <dcterms:modified xsi:type="dcterms:W3CDTF">2013-12-23T23:15:00Z</dcterms:modified>
  <cp:category/>
</cp:coreProperties>
</file>