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DC674B"/>
          <w:sz w:val="17"/>
        </w:rPr>
        <w:t>GUIDE PRATIQUE ILLUSTRÉ</w:t>
      </w:r>
    </w:p>
    <w:p>
      <w:pPr>
        <w:pStyle w:val="Title"/>
        <w:spacing w:after="160"/>
      </w:pPr>
      <w:r>
        <w:t>SOS Lumbago 7 jours</w:t>
      </w:r>
    </w:p>
    <w:p>
      <w:pPr>
        <w:spacing w:after="240"/>
      </w:pPr>
      <w:r>
        <w:rPr>
          <w:rFonts w:ascii="Aptos Display" w:hAnsi="Aptos Display"/>
          <w:color w:val="5C6361"/>
          <w:sz w:val="28"/>
        </w:rPr>
        <w:t>Des décisions simples pour traverser les premiers jours et préparer la suite</w:t>
      </w:r>
    </w:p>
    <w:p>
      <w:pPr>
        <w:jc w:val="center"/>
      </w:pPr>
      <w:r>
        <w:drawing>
          <wp:inline xmlns:a="http://schemas.openxmlformats.org/drawingml/2006/main" xmlns:pic="http://schemas.openxmlformats.org/drawingml/2006/picture">
            <wp:extent cx="3408000" cy="5112000"/>
            <wp:docPr id="1" name="Picture 1"/>
            <wp:cNvGraphicFramePr>
              <a:graphicFrameLocks noChangeAspect="1"/>
            </wp:cNvGraphicFramePr>
            <a:graphic>
              <a:graphicData uri="http://schemas.openxmlformats.org/drawingml/2006/picture">
                <pic:pic>
                  <pic:nvPicPr>
                    <pic:cNvPr id="0" name="couverture-praticien-patiente.png"/>
                    <pic:cNvPicPr/>
                  </pic:nvPicPr>
                  <pic:blipFill>
                    <a:blip r:embed="rId11"/>
                    <a:stretch>
                      <a:fillRect/>
                    </a:stretch>
                  </pic:blipFill>
                  <pic:spPr>
                    <a:xfrm>
                      <a:off x="0" y="0"/>
                      <a:ext cx="3408000" cy="5112000"/>
                    </a:xfrm>
                    <a:prstGeom prst="rect"/>
                  </pic:spPr>
                </pic:pic>
              </a:graphicData>
            </a:graphic>
          </wp:inline>
        </w:drawing>
      </w:r>
    </w:p>
    <w:p>
      <w:pPr>
        <w:spacing w:after="160"/>
        <w:jc w:val="center"/>
      </w:pPr>
      <w:r>
        <w:rPr>
          <w:rFonts w:ascii="Aptos" w:hAnsi="Aptos"/>
          <w:color w:val="5C6361"/>
          <w:sz w:val="16"/>
        </w:rPr>
        <w:t>Un praticien montre la région lombaire à une patiente  Couverture retenue pour le produit</w:t>
      </w:r>
    </w:p>
    <w:p>
      <w:pPr>
        <w:spacing w:before="160"/>
      </w:pPr>
      <w:r>
        <w:rPr>
          <w:rFonts w:ascii="Aptos" w:hAnsi="Aptos"/>
          <w:b/>
          <w:color w:val="DC674B"/>
          <w:sz w:val="17"/>
        </w:rPr>
        <w:t>VERSION DE TRAVAIL 0.1</w:t>
      </w:r>
    </w:p>
    <w:p>
      <w:r>
        <w:t>Pour un adulte confronté à une poussée récente de douleur lombaire et qui cherche un cadre prudent jusqu’à l’amélioration ou la consultation.</w:t>
      </w:r>
    </w:p>
    <w:p>
      <w:pPr>
        <w:spacing w:before="140" w:after="140"/>
        <w:ind w:left="255" w:right="142"/>
        <w:pBdr>
          <w:left w:val="single" w:sz="18" w:space="8" w:color="DC674B"/>
        </w:pBdr>
      </w:pPr>
      <w:r>
        <w:rPr>
          <w:rFonts w:ascii="Aptos" w:hAnsi="Aptos"/>
          <w:b/>
          <w:color w:val="DC674B"/>
          <w:sz w:val="17"/>
        </w:rPr>
        <w:t xml:space="preserve">STATUT  </w:t>
      </w:r>
      <w:r>
        <w:t>Manuscrit de production. Les messages de santé, exercices et illustrations anatomiques doivent être relus par un médecin ou un kinésithérapeute avant diffusion.</w:t>
      </w:r>
    </w:p>
    <w:p>
      <w:r>
        <w:br w:type="page"/>
      </w:r>
    </w:p>
    <w:p>
      <w:pPr>
        <w:spacing w:after="80"/>
      </w:pPr>
      <w:r>
        <w:rPr>
          <w:rFonts w:ascii="Aptos" w:hAnsi="Aptos"/>
          <w:b/>
          <w:color w:val="DC674B"/>
          <w:sz w:val="17"/>
        </w:rPr>
        <w:t>SÉCURITÉ</w:t>
      </w:r>
    </w:p>
    <w:p>
      <w:pPr>
        <w:pStyle w:val="Title"/>
        <w:spacing w:after="160"/>
      </w:pPr>
      <w:r>
        <w:t>Avant de poursuivre</w:t>
      </w:r>
    </w:p>
    <w:p>
      <w:pPr>
        <w:spacing w:after="240"/>
      </w:pPr>
      <w:r>
        <w:rPr>
          <w:rFonts w:ascii="Aptos Display" w:hAnsi="Aptos Display"/>
          <w:color w:val="5C6361"/>
          <w:sz w:val="28"/>
        </w:rPr>
        <w:t>Ce document informe et accompagne mais ne pose aucun diagnostic</w:t>
      </w:r>
    </w:p>
    <w:p>
      <w:r>
        <w:t>Votre douleur mérite d’être prise au sérieux. Elle est souvent liée à une lombalgie commune, mais un guide ne peut pas vérifier votre situation. Si la douleur est récente, inhabituelle ou change nettement, demandez un avis médical. Vous n’avez pas à prendre cette décision seul.</w:t>
      </w:r>
    </w:p>
    <w:p>
      <w:pPr>
        <w:pStyle w:val="Heading2"/>
      </w:pPr>
      <w:r>
        <w:t>Demandez une aide urgente</w:t>
      </w:r>
    </w:p>
    <w:p>
      <w:pPr>
        <w:pStyle w:val="ListBullet"/>
        <w:ind w:left="283" w:hanging="142"/>
      </w:pPr>
      <w:r>
        <w:t>difficulté nouvelle à uriner, fuites urinaires ou perte du contrôle des selles</w:t>
      </w:r>
    </w:p>
    <w:p>
      <w:pPr>
        <w:pStyle w:val="ListBullet"/>
        <w:ind w:left="283" w:hanging="142"/>
      </w:pPr>
      <w:r>
        <w:t>perte de sensibilité autour du périnée ou sensation d’anesthésie en selle</w:t>
      </w:r>
    </w:p>
    <w:p>
      <w:pPr>
        <w:pStyle w:val="ListBullet"/>
        <w:ind w:left="283" w:hanging="142"/>
      </w:pPr>
      <w:r>
        <w:t>faiblesse marquée ou qui progresse dans une ou deux jambes</w:t>
      </w:r>
    </w:p>
    <w:p>
      <w:pPr>
        <w:pStyle w:val="ListBullet"/>
        <w:ind w:left="283" w:hanging="142"/>
      </w:pPr>
      <w:r>
        <w:t>douleur apparue après un traumatisme important</w:t>
      </w:r>
    </w:p>
    <w:p>
      <w:pPr>
        <w:pStyle w:val="ListBullet"/>
        <w:ind w:left="283" w:hanging="142"/>
      </w:pPr>
      <w:r>
        <w:t>douleur accompagnée d’une altération importante de l’état général, d’une fièvre ou de symptômes respiratoires inhabituels</w:t>
      </w:r>
    </w:p>
    <w:p>
      <w:r>
        <w:t>En France, appelez le 15 ou le 112 si la situation paraît urgente ou si vous ne savez pas vers quel service vous tourner.</w:t>
      </w:r>
    </w:p>
    <w:p>
      <w:pPr>
        <w:pStyle w:val="Heading2"/>
      </w:pPr>
      <w:r>
        <w:t>Prenez rapidement un avis médical</w:t>
      </w:r>
    </w:p>
    <w:p>
      <w:pPr>
        <w:pStyle w:val="ListBullet"/>
        <w:ind w:left="283" w:hanging="142"/>
      </w:pPr>
      <w:r>
        <w:t>douleur qui s’aggrave régulièrement, persiste au repos ou réveille sans cesse la nuit</w:t>
      </w:r>
    </w:p>
    <w:p>
      <w:pPr>
        <w:pStyle w:val="ListBullet"/>
        <w:ind w:left="283" w:hanging="142"/>
      </w:pPr>
      <w:r>
        <w:t>perte de poids inexpliquée, antécédent de cancer, traitement prolongé par corticoïdes ou immunodépression</w:t>
      </w:r>
    </w:p>
    <w:p>
      <w:pPr>
        <w:pStyle w:val="ListBullet"/>
        <w:ind w:left="283" w:hanging="142"/>
      </w:pPr>
      <w:r>
        <w:t>engourdissement ou faiblesse qui apparaît ou augmente dans une jambe</w:t>
      </w:r>
    </w:p>
    <w:p>
      <w:pPr>
        <w:pStyle w:val="ListBullet"/>
        <w:ind w:left="283" w:hanging="142"/>
      </w:pPr>
      <w:r>
        <w:t>douleur qui ne s’améliore pas ou qui limite fortement les activités malgré quelques jours d’adaptation</w:t>
      </w:r>
    </w:p>
    <w:p>
      <w:pPr>
        <w:spacing w:before="140" w:after="140"/>
        <w:ind w:left="255" w:right="142"/>
        <w:pBdr>
          <w:left w:val="single" w:sz="18" w:space="8" w:color="DC674B"/>
        </w:pBdr>
      </w:pPr>
      <w:r>
        <w:rPr>
          <w:rFonts w:ascii="Aptos" w:hAnsi="Aptos"/>
          <w:b/>
          <w:color w:val="DC674B"/>
          <w:sz w:val="17"/>
        </w:rPr>
        <w:t xml:space="preserve">REPÈRE  </w:t>
      </w:r>
      <w:r>
        <w:t>Un signe isolé ne veut pas forcément dire qu’il existe une maladie grave. Il mérite simplement d’être évalué dans son contexte. En cas de doute, un professionnel de santé peut vous aider à choisir la bonne suite.</w:t>
      </w:r>
    </w:p>
    <w:p>
      <w:r>
        <w:br w:type="page"/>
      </w:r>
    </w:p>
    <w:p>
      <w:pPr>
        <w:spacing w:after="80"/>
      </w:pPr>
      <w:r>
        <w:rPr>
          <w:rFonts w:ascii="Aptos" w:hAnsi="Aptos"/>
          <w:b/>
          <w:color w:val="DC674B"/>
          <w:sz w:val="17"/>
        </w:rPr>
        <w:t>LECTURE RAPIDE</w:t>
      </w:r>
    </w:p>
    <w:p>
      <w:pPr>
        <w:pStyle w:val="Title"/>
        <w:spacing w:after="160"/>
      </w:pPr>
      <w:r>
        <w:t>Que faire maintenant</w:t>
      </w:r>
    </w:p>
    <w:p>
      <w:pPr>
        <w:spacing w:after="240"/>
      </w:pPr>
      <w:r>
        <w:rPr>
          <w:rFonts w:ascii="Aptos Display" w:hAnsi="Aptos Display"/>
          <w:color w:val="5C6361"/>
          <w:sz w:val="28"/>
        </w:rPr>
        <w:t>Les cinq premières décisions</w:t>
      </w:r>
    </w:p>
    <w:p>
      <w:pPr>
        <w:ind w:left="312" w:hanging="159"/>
      </w:pPr>
      <w:r>
        <w:t>1. Vérifiez les signes d’alerte de la page précédente.</w:t>
      </w:r>
    </w:p>
    <w:p>
      <w:pPr>
        <w:ind w:left="312" w:hanging="159"/>
      </w:pPr>
      <w:r>
        <w:t>2. Choisissez une position qui vous permet de respirer et de vous détendre quelques minutes.</w:t>
      </w:r>
    </w:p>
    <w:p>
      <w:pPr>
        <w:ind w:left="312" w:hanging="159"/>
      </w:pPr>
      <w:r>
        <w:t>3. Évitez de rester au lit toute la journée sauf consigne médicale particulière.</w:t>
      </w:r>
    </w:p>
    <w:p>
      <w:pPr>
        <w:ind w:left="312" w:hanging="159"/>
      </w:pPr>
      <w:r>
        <w:t>4. Conservez de petits déplacements et les activités tolérables.</w:t>
      </w:r>
    </w:p>
    <w:p>
      <w:pPr>
        <w:ind w:left="312" w:hanging="159"/>
      </w:pPr>
      <w:r>
        <w:t>5. Notez ce qui a changé et demandez un avis si les symptômes sont inhabituels, s’aggravent ou limitent fortement la vie quotidienne.</w:t>
      </w:r>
    </w:p>
    <w:p>
      <w:pPr>
        <w:pStyle w:val="Heading2"/>
      </w:pPr>
      <w:r>
        <w:t>Votre seul objectif aujourd’hui</w:t>
      </w:r>
    </w:p>
    <w:p>
      <w:r>
        <w:t>Trouvez une combinaison de repos bref, de positions variées et de mouvements simples que vous pouvez répéter sans vous mettre à l’épreuve. Un petit mieux compte. Vous n’avez pas à résoudre toute la semaine en une journée.</w:t>
      </w:r>
    </w:p>
    <w:p>
      <w:pPr>
        <w:spacing w:before="140" w:after="140"/>
        <w:ind w:left="255" w:right="142"/>
        <w:pBdr>
          <w:left w:val="single" w:sz="18" w:space="8" w:color="DC674B"/>
        </w:pBdr>
      </w:pPr>
      <w:r>
        <w:rPr>
          <w:rFonts w:ascii="Aptos" w:hAnsi="Aptos"/>
          <w:b/>
          <w:color w:val="DC674B"/>
          <w:sz w:val="17"/>
        </w:rPr>
        <w:t xml:space="preserve">VOUS GUIDER  </w:t>
      </w:r>
      <w:r>
        <w:t>La douleur peut rendre chaque choix plus difficile. Suivez une étape à la fois. Si une étape ne vous convient pas, adaptez la ou demandez de l’aide.</w:t>
      </w:r>
    </w:p>
    <w:p>
      <w:r>
        <w:rPr>
          <w:rFonts w:ascii="Aptos" w:hAnsi="Aptos"/>
          <w:b/>
          <w:sz w:val="19"/>
        </w:rPr>
        <w:t>L’action essentielle d’aujourd’hui</w:t>
      </w:r>
    </w:p>
    <w:p>
      <w:pPr>
        <w:spacing w:after="80"/>
      </w:pPr>
      <w:r>
        <w:rPr>
          <w:rFonts w:ascii="Aptos" w:hAnsi="Aptos"/>
          <w:color w:val="B4B8B6"/>
          <w:sz w:val="16"/>
        </w:rPr>
        <w:t>________________________________________________________________________________</w:t>
      </w:r>
    </w:p>
    <w:p>
      <w:r>
        <w:rPr>
          <w:rFonts w:ascii="Aptos" w:hAnsi="Aptos"/>
          <w:b/>
          <w:sz w:val="19"/>
        </w:rPr>
        <w:t>La personne à prévenir si j’ai besoin d’aide</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0</w:t>
      </w:r>
    </w:p>
    <w:p>
      <w:pPr>
        <w:pStyle w:val="Title"/>
        <w:spacing w:after="160"/>
      </w:pPr>
      <w:r>
        <w:t>Les trente premières minutes</w:t>
      </w:r>
    </w:p>
    <w:p>
      <w:pPr>
        <w:spacing w:after="240"/>
      </w:pPr>
      <w:r>
        <w:rPr>
          <w:rFonts w:ascii="Aptos Display" w:hAnsi="Aptos Display"/>
          <w:color w:val="5C6361"/>
          <w:sz w:val="28"/>
        </w:rPr>
        <w:t>Réduire l’incertitude avant de chercher un exercice</w:t>
      </w:r>
    </w:p>
    <w:p>
      <w:pPr>
        <w:pStyle w:val="Heading2"/>
      </w:pPr>
      <w:r>
        <w:t>Vérifier</w:t>
      </w:r>
    </w:p>
    <w:p>
      <w:pPr>
        <w:pStyle w:val="ListBullet"/>
        <w:ind w:left="283" w:hanging="142"/>
      </w:pPr>
      <w:r>
        <w:t>☐ Ai je chuté ou subi un choc important</w:t>
      </w:r>
    </w:p>
    <w:p>
      <w:pPr>
        <w:pStyle w:val="ListBullet"/>
        <w:ind w:left="283" w:hanging="142"/>
      </w:pPr>
      <w:r>
        <w:t>☐ Ai je une faiblesse nouvelle, une perte de sensibilité au périnée ou un trouble urinaire</w:t>
      </w:r>
    </w:p>
    <w:p>
      <w:pPr>
        <w:pStyle w:val="ListBullet"/>
        <w:ind w:left="283" w:hanging="142"/>
      </w:pPr>
      <w:r>
        <w:t>☐ Ai je de la fièvre, un malaise important ou un symptôme inhabituel</w:t>
      </w:r>
    </w:p>
    <w:p>
      <w:pPr>
        <w:pStyle w:val="Heading2"/>
      </w:pPr>
      <w:r>
        <w:t>S’installer</w:t>
      </w:r>
    </w:p>
    <w:p>
      <w:r>
        <w:t>Testez deux ou trois positions sans chercher la posture parfaite. Par exemple, assis avec les pieds soutenus, debout appuyé sur un plan stable ou allongé avec les jambes soutenues. Gardez la position qui vous permet de relâcher l’effort pendant quelques minutes.</w:t>
      </w:r>
    </w:p>
    <w:p>
      <w:pPr>
        <w:pStyle w:val="Heading2"/>
      </w:pPr>
      <w:r>
        <w:t>Préparer la suite</w:t>
      </w:r>
    </w:p>
    <w:p>
      <w:pPr>
        <w:pStyle w:val="ListBullet"/>
        <w:ind w:left="283" w:hanging="142"/>
      </w:pPr>
      <w:r>
        <w:t>placez le téléphone et l’eau à portée</w:t>
      </w:r>
    </w:p>
    <w:p>
      <w:pPr>
        <w:pStyle w:val="ListBullet"/>
        <w:ind w:left="283" w:hanging="142"/>
      </w:pPr>
      <w:r>
        <w:t>dégagez le trajet vers les toilettes</w:t>
      </w:r>
    </w:p>
    <w:p>
      <w:pPr>
        <w:pStyle w:val="ListBullet"/>
        <w:ind w:left="283" w:hanging="142"/>
      </w:pPr>
      <w:r>
        <w:t>demandez de l’aide pour les charges ou les soins aux enfants si nécessaire</w:t>
      </w:r>
    </w:p>
    <w:p>
      <w:pPr>
        <w:pStyle w:val="ListBullet"/>
        <w:ind w:left="283" w:hanging="142"/>
      </w:pPr>
      <w:r>
        <w:t>notez l’heure d’apparition et les symptômes associés</w:t>
      </w:r>
    </w:p>
    <w:p>
      <w:r>
        <w:br w:type="page"/>
      </w:r>
    </w:p>
    <w:p>
      <w:pPr>
        <w:spacing w:after="80"/>
      </w:pPr>
      <w:r>
        <w:rPr>
          <w:rFonts w:ascii="Aptos" w:hAnsi="Aptos"/>
          <w:b/>
          <w:color w:val="DC674B"/>
          <w:sz w:val="17"/>
        </w:rPr>
        <w:t>JOUR 1</w:t>
      </w:r>
    </w:p>
    <w:p>
      <w:pPr>
        <w:pStyle w:val="Title"/>
        <w:spacing w:after="160"/>
      </w:pPr>
      <w:r>
        <w:t>Protéger sans immobiliser</w:t>
      </w:r>
    </w:p>
    <w:p>
      <w:pPr>
        <w:spacing w:after="240"/>
      </w:pPr>
      <w:r>
        <w:rPr>
          <w:rFonts w:ascii="Aptos Display" w:hAnsi="Aptos Display"/>
          <w:color w:val="5C6361"/>
          <w:sz w:val="28"/>
        </w:rPr>
        <w:t>Alterner repos bref et activité tolérable</w:t>
      </w:r>
    </w:p>
    <w:p>
      <w:r>
        <w:t>Le repos au lit prolongé n’est généralement pas recommandé pour une lombalgie commune. Cela ne signifie pas qu’il faut ignorer la douleur. Alternez quelques minutes de repos confortable avec des déplacements courts et utiles.</w:t>
      </w:r>
    </w:p>
    <w:p>
      <w:pPr>
        <w:pStyle w:val="Heading2"/>
      </w:pPr>
      <w:r>
        <w:t>Le rythme du jour</w:t>
      </w:r>
    </w:p>
    <w:p>
      <w:pPr>
        <w:pStyle w:val="ListBullet"/>
        <w:ind w:left="283" w:hanging="142"/>
      </w:pPr>
      <w:r>
        <w:t>matin  se lever en plusieurs temps et faire un premier déplacement court</w:t>
      </w:r>
    </w:p>
    <w:p>
      <w:pPr>
        <w:pStyle w:val="ListBullet"/>
        <w:ind w:left="283" w:hanging="142"/>
      </w:pPr>
      <w:r>
        <w:t>milieu de journée  changer de position avant une raideur prolongée</w:t>
      </w:r>
    </w:p>
    <w:p>
      <w:pPr>
        <w:pStyle w:val="ListBullet"/>
        <w:ind w:left="283" w:hanging="142"/>
      </w:pPr>
      <w:r>
        <w:t>après midi  répéter un trajet simple plutôt que faire une longue sortie</w:t>
      </w:r>
    </w:p>
    <w:p>
      <w:pPr>
        <w:pStyle w:val="ListBullet"/>
        <w:ind w:left="283" w:hanging="142"/>
      </w:pPr>
      <w:r>
        <w:t>soir  préparer la nuit et noter les changements</w:t>
      </w:r>
    </w:p>
    <w:p>
      <w:pPr>
        <w:pStyle w:val="Heading2"/>
      </w:pPr>
      <w:r>
        <w:t>Ce que vous observez</w:t>
      </w:r>
    </w:p>
    <w:p>
      <w:r>
        <w:rPr>
          <w:rFonts w:ascii="Aptos" w:hAnsi="Aptos"/>
          <w:b/>
          <w:sz w:val="19"/>
        </w:rPr>
        <w:t>Position la plus confortable</w:t>
      </w:r>
    </w:p>
    <w:p>
      <w:pPr>
        <w:spacing w:after="80"/>
      </w:pPr>
      <w:r>
        <w:rPr>
          <w:rFonts w:ascii="Aptos" w:hAnsi="Aptos"/>
          <w:color w:val="B4B8B6"/>
          <w:sz w:val="16"/>
        </w:rPr>
        <w:t>________________________________________________________________________________</w:t>
      </w:r>
    </w:p>
    <w:p>
      <w:r>
        <w:rPr>
          <w:rFonts w:ascii="Aptos" w:hAnsi="Aptos"/>
          <w:b/>
          <w:sz w:val="19"/>
        </w:rPr>
        <w:t>Déplacement le plus facile</w:t>
      </w:r>
    </w:p>
    <w:p>
      <w:pPr>
        <w:spacing w:after="80"/>
      </w:pPr>
      <w:r>
        <w:rPr>
          <w:rFonts w:ascii="Aptos" w:hAnsi="Aptos"/>
          <w:color w:val="B4B8B6"/>
          <w:sz w:val="16"/>
        </w:rPr>
        <w:t>________________________________________________________________________________</w:t>
      </w:r>
    </w:p>
    <w:p>
      <w:r>
        <w:rPr>
          <w:rFonts w:ascii="Aptos" w:hAnsi="Aptos"/>
          <w:b/>
          <w:sz w:val="19"/>
        </w:rPr>
        <w:t>Symptôme nouveau ou changement</w:t>
      </w:r>
    </w:p>
    <w:p>
      <w:pPr>
        <w:spacing w:after="80"/>
      </w:pPr>
      <w:r>
        <w:rPr>
          <w:rFonts w:ascii="Aptos" w:hAnsi="Aptos"/>
          <w:color w:val="B4B8B6"/>
          <w:sz w:val="16"/>
        </w:rPr>
        <w:t>________________________________________________________________________________</w:t>
      </w:r>
    </w:p>
    <w:p>
      <w:r>
        <w:rPr>
          <w:rFonts w:ascii="Aptos" w:hAnsi="Aptos"/>
          <w:b/>
          <w:sz w:val="19"/>
        </w:rPr>
        <w:t>Décision pour demain</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1</w:t>
      </w:r>
    </w:p>
    <w:p>
      <w:pPr>
        <w:pStyle w:val="Title"/>
        <w:spacing w:after="160"/>
      </w:pPr>
      <w:r>
        <w:t>Se lever se coucher et s’habiller</w:t>
      </w:r>
    </w:p>
    <w:p>
      <w:pPr>
        <w:spacing w:after="240"/>
      </w:pPr>
      <w:r>
        <w:rPr>
          <w:rFonts w:ascii="Aptos Display" w:hAnsi="Aptos Display"/>
          <w:color w:val="5C6361"/>
          <w:sz w:val="28"/>
        </w:rPr>
        <w:t>Utiliser des appuis temporaires sans en faire une règle rigide</w:t>
      </w:r>
    </w:p>
    <w:p>
      <w:pPr>
        <w:pStyle w:val="Heading2"/>
      </w:pPr>
      <w:r>
        <w:t>Sortir du lit</w:t>
      </w:r>
    </w:p>
    <w:p>
      <w:r>
        <w:t>Essayez de rouler sur le côté, de rapprocher les jambes du bord puis de pousser avec les bras pour vous asseoir. Si une autre façon est plus confortable et sûre, utilisez la. Le but est de répartir l’effort, pas de respecter une technique parfaite.</w:t>
      </w:r>
    </w:p>
    <w:p>
      <w:pPr>
        <w:pStyle w:val="Heading2"/>
      </w:pPr>
      <w:r>
        <w:t>S’habiller</w:t>
      </w:r>
    </w:p>
    <w:p>
      <w:r>
        <w:t>Asseyez vous pour enfiler pantalon, chaussettes et chaussures. Rapprochez le vêtement plutôt que de chercher une grande amplitude. Une pince de préhension ou l’aide d’un proche peut être utile pendant quelques jours.</w:t>
      </w:r>
    </w:p>
    <w:p>
      <w:pPr>
        <w:pStyle w:val="Heading2"/>
      </w:pPr>
      <w:r>
        <w:t>Utiliser une béquille ou une canne</w:t>
      </w:r>
    </w:p>
    <w:p>
      <w:r>
        <w:t>Une aide à la marche mal réglée peut augmenter l’effort ou le risque de chute. Si vous en avez déjà une, utilisez la selon les consignes reçues. Si vous pensez en avoir besoin pour la première fois, demandez conseil à un professionnel plutôt que d’improviser le réglage.</w:t>
      </w:r>
    </w:p>
    <w:p>
      <w:pPr>
        <w:jc w:val="center"/>
      </w:pPr>
      <w:r>
        <w:drawing>
          <wp:inline xmlns:a="http://schemas.openxmlformats.org/drawingml/2006/main" xmlns:pic="http://schemas.openxmlformats.org/drawingml/2006/picture">
            <wp:extent cx="4608000" cy="3072000"/>
            <wp:docPr id="2" name="Picture 2"/>
            <wp:cNvGraphicFramePr>
              <a:graphicFrameLocks noChangeAspect="1"/>
            </wp:cNvGraphicFramePr>
            <a:graphic>
              <a:graphicData uri="http://schemas.openxmlformats.org/drawingml/2006/picture">
                <pic:pic>
                  <pic:nvPicPr>
                    <pic:cNvPr id="0" name="bequilles-mobilite.png"/>
                    <pic:cNvPicPr/>
                  </pic:nvPicPr>
                  <pic:blipFill>
                    <a:blip r:embed="rId12"/>
                    <a:stretch>
                      <a:fillRect/>
                    </a:stretch>
                  </pic:blipFill>
                  <pic:spPr>
                    <a:xfrm>
                      <a:off x="0" y="0"/>
                      <a:ext cx="4608000" cy="3072000"/>
                    </a:xfrm>
                    <a:prstGeom prst="rect"/>
                  </pic:spPr>
                </pic:pic>
              </a:graphicData>
            </a:graphic>
          </wp:inline>
        </w:drawing>
      </w:r>
    </w:p>
    <w:p>
      <w:pPr>
        <w:spacing w:after="160"/>
        <w:jc w:val="center"/>
      </w:pPr>
      <w:r>
        <w:rPr>
          <w:rFonts w:ascii="Aptos" w:hAnsi="Aptos"/>
          <w:color w:val="5C6361"/>
          <w:sz w:val="16"/>
        </w:rPr>
        <w:t>Aide à la marche  Le réglage et l’apprentissage doivent être adaptés à la personne</w:t>
      </w:r>
    </w:p>
    <w:p>
      <w:r>
        <w:br w:type="page"/>
      </w:r>
    </w:p>
    <w:p>
      <w:pPr>
        <w:spacing w:after="80"/>
      </w:pPr>
      <w:r>
        <w:rPr>
          <w:rFonts w:ascii="Aptos" w:hAnsi="Aptos"/>
          <w:b/>
          <w:color w:val="DC674B"/>
          <w:sz w:val="17"/>
        </w:rPr>
        <w:t>JOUR 2</w:t>
      </w:r>
    </w:p>
    <w:p>
      <w:pPr>
        <w:pStyle w:val="Title"/>
        <w:spacing w:after="160"/>
      </w:pPr>
      <w:r>
        <w:t>Retrouver un peu de mobilité</w:t>
      </w:r>
    </w:p>
    <w:p>
      <w:pPr>
        <w:spacing w:after="240"/>
      </w:pPr>
      <w:r>
        <w:rPr>
          <w:rFonts w:ascii="Aptos Display" w:hAnsi="Aptos Display"/>
          <w:color w:val="5C6361"/>
          <w:sz w:val="28"/>
        </w:rPr>
        <w:t>Choisir des mouvements connus et de faible amplitude</w:t>
      </w:r>
    </w:p>
    <w:p>
      <w:r>
        <w:t>Commencez par les mouvements nécessaires à votre journée. Se retourner, se lever, marcher jusqu’à une autre pièce et changer d’appui sont déjà des activités. Il n’est pas indispensable d’ajouter une longue séance.</w:t>
      </w:r>
    </w:p>
    <w:p>
      <w:pPr>
        <w:pStyle w:val="Heading2"/>
      </w:pPr>
      <w:r>
        <w:t>Routine prototype</w:t>
      </w:r>
    </w:p>
    <w:p>
      <w:pPr>
        <w:ind w:left="312" w:hanging="159"/>
      </w:pPr>
      <w:r>
        <w:t>1. Respirez calmement dans une position confortable pendant quelques cycles.</w:t>
      </w:r>
    </w:p>
    <w:p>
      <w:pPr>
        <w:ind w:left="312" w:hanging="159"/>
      </w:pPr>
      <w:r>
        <w:t>2. Effectuez un petit transfert de poids ou un mouvement du bassin qui reste contrôlable.</w:t>
      </w:r>
    </w:p>
    <w:p>
      <w:pPr>
        <w:ind w:left="312" w:hanging="159"/>
      </w:pPr>
      <w:r>
        <w:t>3. Marchez une à trois minutes dans un espace sûr.</w:t>
      </w:r>
    </w:p>
    <w:p>
      <w:pPr>
        <w:ind w:left="312" w:hanging="159"/>
      </w:pPr>
      <w:r>
        <w:t>4. Reposez vous brièvement puis notez la réponse.</w:t>
      </w:r>
    </w:p>
    <w:p>
      <w:pPr>
        <w:spacing w:before="140" w:after="140"/>
        <w:ind w:left="255" w:right="142"/>
        <w:pBdr>
          <w:left w:val="single" w:sz="18" w:space="8" w:color="DC674B"/>
        </w:pBdr>
      </w:pPr>
      <w:r>
        <w:rPr>
          <w:rFonts w:ascii="Aptos" w:hAnsi="Aptos"/>
          <w:b/>
          <w:color w:val="DC674B"/>
          <w:sz w:val="17"/>
        </w:rPr>
        <w:t xml:space="preserve">VALIDATION  </w:t>
      </w:r>
      <w:r>
        <w:t>La version finale comportera des illustrations de trois options et leurs contre indications. Cette routine ne doit pas être publiée sans validation clinique.</w:t>
      </w:r>
    </w:p>
    <w:p>
      <w:r>
        <w:rPr>
          <w:rFonts w:ascii="Aptos" w:hAnsi="Aptos"/>
          <w:b/>
          <w:sz w:val="19"/>
        </w:rPr>
        <w:t>Option choisie</w:t>
      </w:r>
    </w:p>
    <w:p>
      <w:pPr>
        <w:spacing w:after="80"/>
      </w:pPr>
      <w:r>
        <w:rPr>
          <w:rFonts w:ascii="Aptos" w:hAnsi="Aptos"/>
          <w:color w:val="B4B8B6"/>
          <w:sz w:val="16"/>
        </w:rPr>
        <w:t>________________________________________________________________________________</w:t>
      </w:r>
    </w:p>
    <w:p>
      <w:r>
        <w:rPr>
          <w:rFonts w:ascii="Aptos" w:hAnsi="Aptos"/>
          <w:b/>
          <w:sz w:val="19"/>
        </w:rPr>
        <w:t>Durée</w:t>
      </w:r>
    </w:p>
    <w:p>
      <w:pPr>
        <w:spacing w:after="80"/>
      </w:pPr>
      <w:r>
        <w:rPr>
          <w:rFonts w:ascii="Aptos" w:hAnsi="Aptos"/>
          <w:color w:val="B4B8B6"/>
          <w:sz w:val="16"/>
        </w:rPr>
        <w:t>________________________________________________________________________________</w:t>
      </w:r>
    </w:p>
    <w:p>
      <w:r>
        <w:rPr>
          <w:rFonts w:ascii="Aptos" w:hAnsi="Aptos"/>
          <w:b/>
          <w:sz w:val="19"/>
        </w:rPr>
        <w:t>Réponse immédiate</w:t>
      </w:r>
    </w:p>
    <w:p>
      <w:pPr>
        <w:spacing w:after="80"/>
      </w:pPr>
      <w:r>
        <w:rPr>
          <w:rFonts w:ascii="Aptos" w:hAnsi="Aptos"/>
          <w:color w:val="B4B8B6"/>
          <w:sz w:val="16"/>
        </w:rPr>
        <w:t>________________________________________________________________________________</w:t>
      </w:r>
    </w:p>
    <w:p>
      <w:r>
        <w:rPr>
          <w:rFonts w:ascii="Aptos" w:hAnsi="Aptos"/>
          <w:b/>
          <w:sz w:val="19"/>
        </w:rPr>
        <w:t>Réponse plus tard</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3</w:t>
      </w:r>
    </w:p>
    <w:p>
      <w:pPr>
        <w:pStyle w:val="Title"/>
        <w:spacing w:after="160"/>
      </w:pPr>
      <w:r>
        <w:t>Reprendre une tâche utile</w:t>
      </w:r>
    </w:p>
    <w:p>
      <w:pPr>
        <w:spacing w:after="240"/>
      </w:pPr>
      <w:r>
        <w:rPr>
          <w:rFonts w:ascii="Aptos Display" w:hAnsi="Aptos Display"/>
          <w:color w:val="5C6361"/>
          <w:sz w:val="28"/>
        </w:rPr>
        <w:t>Mesurer la capacité par une action réelle</w:t>
      </w:r>
    </w:p>
    <w:p>
      <w:r>
        <w:t>Choisissez une tâche courte qui vous rend un peu d’autonomie, comme préparer un repas simple, prendre une douche ou ranger un petit objet. Réduisez la tâche avant de commencer et prévoyez une pause.</w:t>
      </w:r>
    </w:p>
    <w:p>
      <w:pPr>
        <w:pStyle w:val="Heading2"/>
      </w:pPr>
      <w:r>
        <w:t>Fractionner la tâche</w:t>
      </w:r>
    </w:p>
    <w:p>
      <w:pPr>
        <w:ind w:left="312" w:hanging="159"/>
      </w:pPr>
      <w:r>
        <w:t>1. Préparez le matériel à hauteur accessible.</w:t>
      </w:r>
    </w:p>
    <w:p>
      <w:pPr>
        <w:ind w:left="312" w:hanging="159"/>
      </w:pPr>
      <w:r>
        <w:t>2. Effectuez une première partie pendant quelques minutes.</w:t>
      </w:r>
    </w:p>
    <w:p>
      <w:pPr>
        <w:ind w:left="312" w:hanging="159"/>
      </w:pPr>
      <w:r>
        <w:t>3. Changez de position ou reposez vous brièvement.</w:t>
      </w:r>
    </w:p>
    <w:p>
      <w:pPr>
        <w:ind w:left="312" w:hanging="159"/>
      </w:pPr>
      <w:r>
        <w:t>4. Décidez si vous terminez, déléguez ou reportez la suite.</w:t>
      </w:r>
    </w:p>
    <w:p>
      <w:r>
        <w:rPr>
          <w:rFonts w:ascii="Aptos" w:hAnsi="Aptos"/>
          <w:b/>
          <w:sz w:val="19"/>
        </w:rPr>
        <w:t>Tâche choisie</w:t>
      </w:r>
    </w:p>
    <w:p>
      <w:pPr>
        <w:spacing w:after="80"/>
      </w:pPr>
      <w:r>
        <w:rPr>
          <w:rFonts w:ascii="Aptos" w:hAnsi="Aptos"/>
          <w:color w:val="B4B8B6"/>
          <w:sz w:val="16"/>
        </w:rPr>
        <w:t>________________________________________________________________________________</w:t>
      </w:r>
    </w:p>
    <w:p>
      <w:r>
        <w:rPr>
          <w:rFonts w:ascii="Aptos" w:hAnsi="Aptos"/>
          <w:b/>
          <w:sz w:val="19"/>
        </w:rPr>
        <w:t>Partie réalisée</w:t>
      </w:r>
    </w:p>
    <w:p>
      <w:pPr>
        <w:spacing w:after="80"/>
      </w:pPr>
      <w:r>
        <w:rPr>
          <w:rFonts w:ascii="Aptos" w:hAnsi="Aptos"/>
          <w:color w:val="B4B8B6"/>
          <w:sz w:val="16"/>
        </w:rPr>
        <w:t>________________________________________________________________________________</w:t>
      </w:r>
    </w:p>
    <w:p>
      <w:r>
        <w:rPr>
          <w:rFonts w:ascii="Aptos" w:hAnsi="Aptos"/>
          <w:b/>
          <w:sz w:val="19"/>
        </w:rPr>
        <w:t>Aide utilisée</w:t>
      </w:r>
    </w:p>
    <w:p>
      <w:pPr>
        <w:spacing w:after="80"/>
      </w:pPr>
      <w:r>
        <w:rPr>
          <w:rFonts w:ascii="Aptos" w:hAnsi="Aptos"/>
          <w:color w:val="B4B8B6"/>
          <w:sz w:val="16"/>
        </w:rPr>
        <w:t>________________________________________________________________________________</w:t>
      </w:r>
    </w:p>
    <w:p>
      <w:r>
        <w:rPr>
          <w:rFonts w:ascii="Aptos" w:hAnsi="Aptos"/>
          <w:b/>
          <w:sz w:val="19"/>
        </w:rPr>
        <w:t>Ce que je modifierai</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4</w:t>
      </w:r>
    </w:p>
    <w:p>
      <w:pPr>
        <w:pStyle w:val="Title"/>
        <w:spacing w:after="160"/>
      </w:pPr>
      <w:r>
        <w:t>Sortir et se déplacer</w:t>
      </w:r>
    </w:p>
    <w:p>
      <w:pPr>
        <w:spacing w:after="240"/>
      </w:pPr>
      <w:r>
        <w:rPr>
          <w:rFonts w:ascii="Aptos Display" w:hAnsi="Aptos Display"/>
          <w:color w:val="5C6361"/>
          <w:sz w:val="28"/>
        </w:rPr>
        <w:t>Préparer le trajet avant de tester la distance</w:t>
      </w:r>
    </w:p>
    <w:p>
      <w:pPr>
        <w:pStyle w:val="Heading2"/>
      </w:pPr>
      <w:r>
        <w:t>Avant de partir</w:t>
      </w:r>
    </w:p>
    <w:p>
      <w:pPr>
        <w:pStyle w:val="ListBullet"/>
        <w:ind w:left="283" w:hanging="142"/>
      </w:pPr>
      <w:r>
        <w:t>☐ choisir un trajet court avec un point de retour</w:t>
      </w:r>
    </w:p>
    <w:p>
      <w:pPr>
        <w:pStyle w:val="ListBullet"/>
        <w:ind w:left="283" w:hanging="142"/>
      </w:pPr>
      <w:r>
        <w:t>☐ prévoir un siège ou un lieu de pause</w:t>
      </w:r>
    </w:p>
    <w:p>
      <w:pPr>
        <w:pStyle w:val="ListBullet"/>
        <w:ind w:left="283" w:hanging="142"/>
      </w:pPr>
      <w:r>
        <w:t>☐ éviter de porter une charge non nécessaire</w:t>
      </w:r>
    </w:p>
    <w:p>
      <w:pPr>
        <w:pStyle w:val="ListBullet"/>
        <w:ind w:left="283" w:hanging="142"/>
      </w:pPr>
      <w:r>
        <w:t>☐ informer quelqu’un si vous manquez de confiance</w:t>
      </w:r>
    </w:p>
    <w:p>
      <w:pPr>
        <w:pStyle w:val="Heading2"/>
      </w:pPr>
      <w:r>
        <w:t>En voiture</w:t>
      </w:r>
    </w:p>
    <w:p>
      <w:r>
        <w:t>Rapprochez le siège pour éviter d’aller chercher les pédales, gardez les objets utiles accessibles et interrompez les longs trajets si possible. Pour entrer, asseyez vous d’abord puis faites pivoter les jambes ensemble si cette option vous convient.</w:t>
      </w:r>
    </w:p>
    <w:p>
      <w:pPr>
        <w:pStyle w:val="Heading2"/>
      </w:pPr>
      <w:r>
        <w:t>Dans les transports</w:t>
      </w:r>
    </w:p>
    <w:p>
      <w:r>
        <w:t>Privilégiez un horaire moins chargé, utilisez les appuis et acceptez de vous asseoir. La priorité est la sécurité dans un environnement imprévisible.</w:t>
      </w:r>
    </w:p>
    <w:p>
      <w:r>
        <w:br w:type="page"/>
      </w:r>
    </w:p>
    <w:p>
      <w:pPr>
        <w:spacing w:after="80"/>
      </w:pPr>
      <w:r>
        <w:rPr>
          <w:rFonts w:ascii="Aptos" w:hAnsi="Aptos"/>
          <w:b/>
          <w:color w:val="DC674B"/>
          <w:sz w:val="17"/>
        </w:rPr>
        <w:t>JOUR 5</w:t>
      </w:r>
    </w:p>
    <w:p>
      <w:pPr>
        <w:pStyle w:val="Title"/>
        <w:spacing w:after="160"/>
      </w:pPr>
      <w:r>
        <w:t>Préparer la reprise du travail</w:t>
      </w:r>
    </w:p>
    <w:p>
      <w:pPr>
        <w:spacing w:after="240"/>
      </w:pPr>
      <w:r>
        <w:rPr>
          <w:rFonts w:ascii="Aptos Display" w:hAnsi="Aptos Display"/>
          <w:color w:val="5C6361"/>
          <w:sz w:val="28"/>
        </w:rPr>
        <w:t>Décrire les contraintes avant de choisir une date</w:t>
      </w:r>
    </w:p>
    <w:p>
      <w:r>
        <w:t>La reprise dépend de votre état, du trajet, des horaires et des tâches réelles. Une activité professionnelle peut parfois être poursuivie ou reprise avec des adaptations temporaires. Discutez en avec votre médecin et, si nécessaire, avec le médecin du travail.</w:t>
      </w:r>
    </w:p>
    <w:p>
      <w:pPr>
        <w:pStyle w:val="Heading2"/>
      </w:pPr>
      <w:r>
        <w:t>Inventaire concret</w:t>
      </w:r>
    </w:p>
    <w:p>
      <w:r>
        <w:rPr>
          <w:rFonts w:ascii="Aptos" w:hAnsi="Aptos"/>
          <w:b/>
          <w:sz w:val="19"/>
        </w:rPr>
        <w:t>Temps de trajet et mode de transport</w:t>
      </w:r>
    </w:p>
    <w:p>
      <w:pPr>
        <w:spacing w:after="80"/>
      </w:pPr>
      <w:r>
        <w:rPr>
          <w:rFonts w:ascii="Aptos" w:hAnsi="Aptos"/>
          <w:color w:val="B4B8B6"/>
          <w:sz w:val="16"/>
        </w:rPr>
        <w:t>________________________________________________________________________________</w:t>
      </w:r>
    </w:p>
    <w:p>
      <w:r>
        <w:rPr>
          <w:rFonts w:ascii="Aptos" w:hAnsi="Aptos"/>
          <w:b/>
          <w:sz w:val="19"/>
        </w:rPr>
        <w:t>Durée des positions prolongées</w:t>
      </w:r>
    </w:p>
    <w:p>
      <w:pPr>
        <w:spacing w:after="80"/>
      </w:pPr>
      <w:r>
        <w:rPr>
          <w:rFonts w:ascii="Aptos" w:hAnsi="Aptos"/>
          <w:color w:val="B4B8B6"/>
          <w:sz w:val="16"/>
        </w:rPr>
        <w:t>________________________________________________________________________________</w:t>
      </w:r>
    </w:p>
    <w:p>
      <w:r>
        <w:rPr>
          <w:rFonts w:ascii="Aptos" w:hAnsi="Aptos"/>
          <w:b/>
          <w:sz w:val="19"/>
        </w:rPr>
        <w:t>Charges ou gestes répétitifs</w:t>
      </w:r>
    </w:p>
    <w:p>
      <w:pPr>
        <w:spacing w:after="80"/>
      </w:pPr>
      <w:r>
        <w:rPr>
          <w:rFonts w:ascii="Aptos" w:hAnsi="Aptos"/>
          <w:color w:val="B4B8B6"/>
          <w:sz w:val="16"/>
        </w:rPr>
        <w:t>________________________________________________________________________________</w:t>
      </w:r>
    </w:p>
    <w:p>
      <w:r>
        <w:rPr>
          <w:rFonts w:ascii="Aptos" w:hAnsi="Aptos"/>
          <w:b/>
          <w:sz w:val="19"/>
        </w:rPr>
        <w:t>Possibilités d’alterner les tâches</w:t>
      </w:r>
    </w:p>
    <w:p>
      <w:pPr>
        <w:spacing w:after="80"/>
      </w:pPr>
      <w:r>
        <w:rPr>
          <w:rFonts w:ascii="Aptos" w:hAnsi="Aptos"/>
          <w:color w:val="B4B8B6"/>
          <w:sz w:val="16"/>
        </w:rPr>
        <w:t>________________________________________________________________________________</w:t>
      </w:r>
    </w:p>
    <w:p>
      <w:r>
        <w:rPr>
          <w:rFonts w:ascii="Aptos" w:hAnsi="Aptos"/>
          <w:b/>
          <w:sz w:val="19"/>
        </w:rPr>
        <w:t>Adaptation temporaire à demander</w:t>
      </w:r>
    </w:p>
    <w:p>
      <w:pPr>
        <w:spacing w:after="80"/>
      </w:pPr>
      <w:r>
        <w:rPr>
          <w:rFonts w:ascii="Aptos" w:hAnsi="Aptos"/>
          <w:color w:val="B4B8B6"/>
          <w:sz w:val="16"/>
        </w:rPr>
        <w:t>________________________________________________________________________________</w:t>
      </w:r>
    </w:p>
    <w:p>
      <w:pPr>
        <w:spacing w:before="140" w:after="140"/>
        <w:ind w:left="255" w:right="142"/>
        <w:pBdr>
          <w:left w:val="single" w:sz="18" w:space="8" w:color="DC674B"/>
        </w:pBdr>
      </w:pPr>
      <w:r>
        <w:rPr>
          <w:rFonts w:ascii="Aptos" w:hAnsi="Aptos"/>
          <w:b/>
          <w:color w:val="DC674B"/>
          <w:sz w:val="17"/>
        </w:rPr>
        <w:t xml:space="preserve">CONSEIL  </w:t>
      </w:r>
      <w:r>
        <w:t>Ne transmettez pas de détail médical à votre employeur au delà de ce qui est nécessaire. Le médecin du travail peut proposer des adaptations en respectant le secret médical.</w:t>
      </w:r>
    </w:p>
    <w:p>
      <w:r>
        <w:br w:type="page"/>
      </w:r>
    </w:p>
    <w:p>
      <w:pPr>
        <w:spacing w:after="80"/>
      </w:pPr>
      <w:r>
        <w:rPr>
          <w:rFonts w:ascii="Aptos" w:hAnsi="Aptos"/>
          <w:b/>
          <w:color w:val="DC674B"/>
          <w:sz w:val="17"/>
        </w:rPr>
        <w:t>JOUR 6</w:t>
      </w:r>
    </w:p>
    <w:p>
      <w:pPr>
        <w:pStyle w:val="Title"/>
        <w:spacing w:after="160"/>
      </w:pPr>
      <w:r>
        <w:t>Préparer une consultation</w:t>
      </w:r>
    </w:p>
    <w:p>
      <w:pPr>
        <w:spacing w:after="240"/>
      </w:pPr>
      <w:r>
        <w:rPr>
          <w:rFonts w:ascii="Aptos Display" w:hAnsi="Aptos Display"/>
          <w:color w:val="5C6361"/>
          <w:sz w:val="28"/>
        </w:rPr>
        <w:t>Rendre visibles les changements et les limites</w:t>
      </w:r>
    </w:p>
    <w:p>
      <w:pPr>
        <w:jc w:val="center"/>
      </w:pPr>
      <w:r>
        <w:drawing>
          <wp:inline xmlns:a="http://schemas.openxmlformats.org/drawingml/2006/main" xmlns:pic="http://schemas.openxmlformats.org/drawingml/2006/picture">
            <wp:extent cx="4968000" cy="3312000"/>
            <wp:docPr id="3" name="Picture 3"/>
            <wp:cNvGraphicFramePr>
              <a:graphicFrameLocks noChangeAspect="1"/>
            </wp:cNvGraphicFramePr>
            <a:graphic>
              <a:graphicData uri="http://schemas.openxmlformats.org/drawingml/2006/picture">
                <pic:pic>
                  <pic:nvPicPr>
                    <pic:cNvPr id="0" name="consultation-kine.png"/>
                    <pic:cNvPicPr/>
                  </pic:nvPicPr>
                  <pic:blipFill>
                    <a:blip r:embed="rId13"/>
                    <a:stretch>
                      <a:fillRect/>
                    </a:stretch>
                  </pic:blipFill>
                  <pic:spPr>
                    <a:xfrm>
                      <a:off x="0" y="0"/>
                      <a:ext cx="4968000" cy="3312000"/>
                    </a:xfrm>
                    <a:prstGeom prst="rect"/>
                  </pic:spPr>
                </pic:pic>
              </a:graphicData>
            </a:graphic>
          </wp:inline>
        </w:drawing>
      </w:r>
    </w:p>
    <w:p>
      <w:pPr>
        <w:spacing w:after="160"/>
        <w:jc w:val="center"/>
      </w:pPr>
      <w:r>
        <w:rPr>
          <w:rFonts w:ascii="Aptos" w:hAnsi="Aptos"/>
          <w:color w:val="5C6361"/>
          <w:sz w:val="16"/>
        </w:rPr>
        <w:t>Un échange utile relie les symptômes aux activités et aux décisions</w:t>
      </w:r>
    </w:p>
    <w:p>
      <w:pPr>
        <w:pStyle w:val="Heading2"/>
      </w:pPr>
      <w:r>
        <w:t>À apporter</w:t>
      </w:r>
    </w:p>
    <w:p>
      <w:pPr>
        <w:pStyle w:val="ListBullet"/>
        <w:ind w:left="283" w:hanging="142"/>
      </w:pPr>
      <w:r>
        <w:t>☐ liste des médicaments et traitements déjà essayés</w:t>
      </w:r>
    </w:p>
    <w:p>
      <w:pPr>
        <w:pStyle w:val="ListBullet"/>
        <w:ind w:left="283" w:hanging="142"/>
      </w:pPr>
      <w:r>
        <w:t>☐ heure ou date de début et évolution sur les derniers jours</w:t>
      </w:r>
    </w:p>
    <w:p>
      <w:pPr>
        <w:pStyle w:val="ListBullet"/>
        <w:ind w:left="283" w:hanging="142"/>
      </w:pPr>
      <w:r>
        <w:t>☐ description des symptômes dans la jambe s’il y en a</w:t>
      </w:r>
    </w:p>
    <w:p>
      <w:pPr>
        <w:pStyle w:val="ListBullet"/>
        <w:ind w:left="283" w:hanging="142"/>
      </w:pPr>
      <w:r>
        <w:t>☐ activités impossibles, difficiles et encore possibles</w:t>
      </w:r>
    </w:p>
    <w:p>
      <w:pPr>
        <w:pStyle w:val="ListBullet"/>
        <w:ind w:left="283" w:hanging="142"/>
      </w:pPr>
      <w:r>
        <w:t>☐ vos deux questions prioritaires</w:t>
      </w:r>
    </w:p>
    <w:p>
      <w:r>
        <w:rPr>
          <w:rFonts w:ascii="Aptos" w:hAnsi="Aptos"/>
          <w:b/>
          <w:sz w:val="19"/>
        </w:rPr>
        <w:t>Question 1</w:t>
      </w:r>
    </w:p>
    <w:p>
      <w:pPr>
        <w:spacing w:after="80"/>
      </w:pPr>
      <w:r>
        <w:rPr>
          <w:rFonts w:ascii="Aptos" w:hAnsi="Aptos"/>
          <w:color w:val="B4B8B6"/>
          <w:sz w:val="16"/>
        </w:rPr>
        <w:t>________________________________________________________________________________</w:t>
      </w:r>
    </w:p>
    <w:p>
      <w:r>
        <w:rPr>
          <w:rFonts w:ascii="Aptos" w:hAnsi="Aptos"/>
          <w:b/>
          <w:sz w:val="19"/>
        </w:rPr>
        <w:t>Question 2</w:t>
      </w:r>
    </w:p>
    <w:p>
      <w:pPr>
        <w:spacing w:after="80"/>
      </w:pPr>
      <w:r>
        <w:rPr>
          <w:rFonts w:ascii="Aptos" w:hAnsi="Aptos"/>
          <w:color w:val="B4B8B6"/>
          <w:sz w:val="16"/>
        </w:rPr>
        <w:t>________________________________________________________________________________</w:t>
      </w:r>
    </w:p>
    <w:p>
      <w:r>
        <w:rPr>
          <w:rFonts w:ascii="Aptos" w:hAnsi="Aptos"/>
          <w:b/>
          <w:sz w:val="19"/>
        </w:rPr>
        <w:t>Ce que je veux retrouver en priorité</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JOUR 7</w:t>
      </w:r>
    </w:p>
    <w:p>
      <w:pPr>
        <w:pStyle w:val="Title"/>
        <w:spacing w:after="160"/>
      </w:pPr>
      <w:r>
        <w:t>Faire le bilan et choisir la suite</w:t>
      </w:r>
    </w:p>
    <w:p>
      <w:pPr>
        <w:spacing w:after="240"/>
      </w:pPr>
      <w:r>
        <w:rPr>
          <w:rFonts w:ascii="Aptos Display" w:hAnsi="Aptos Display"/>
          <w:color w:val="5C6361"/>
          <w:sz w:val="28"/>
        </w:rPr>
        <w:t>Amélioration stagnation ou aggravation</w:t>
      </w:r>
    </w:p>
    <w:p>
      <w:pPr>
        <w:pStyle w:val="Heading2"/>
      </w:pPr>
      <w:r>
        <w:t>Si la situation s’améliore</w:t>
      </w:r>
    </w:p>
    <w:p>
      <w:r>
        <w:t>Conservez les activités tolérées et augmentez un seul paramètre à la fois. Le cahier Dos solide 28 jours peut servir de cadre après validation de votre situation.</w:t>
      </w:r>
    </w:p>
    <w:p>
      <w:pPr>
        <w:pStyle w:val="Heading2"/>
      </w:pPr>
      <w:r>
        <w:t>Si la situation stagne</w:t>
      </w:r>
    </w:p>
    <w:p>
      <w:r>
        <w:t>Regardez les capacités autant que la douleur. Si les activités restent très limitées ou si vous êtes inquiet, prenez un avis médical plutôt que de multiplier les exercices au hasard.</w:t>
      </w:r>
    </w:p>
    <w:p>
      <w:pPr>
        <w:pStyle w:val="Heading2"/>
      </w:pPr>
      <w:r>
        <w:t>Si la situation s’aggrave</w:t>
      </w:r>
    </w:p>
    <w:p>
      <w:r>
        <w:t>Revenez à la page de sécurité. Un symptôme nouveau, une faiblesse, une atteinte du périnée, un trouble urinaire, une fièvre ou une altération générale impose une évaluation adaptée.</w:t>
      </w:r>
    </w:p>
    <w:p>
      <w:r>
        <w:rPr>
          <w:rFonts w:ascii="Aptos" w:hAnsi="Aptos"/>
          <w:b/>
          <w:sz w:val="19"/>
        </w:rPr>
        <w:t>Ce qui a progressé</w:t>
      </w:r>
    </w:p>
    <w:p>
      <w:pPr>
        <w:spacing w:after="80"/>
      </w:pPr>
      <w:r>
        <w:rPr>
          <w:rFonts w:ascii="Aptos" w:hAnsi="Aptos"/>
          <w:color w:val="B4B8B6"/>
          <w:sz w:val="16"/>
        </w:rPr>
        <w:t>________________________________________________________________________________</w:t>
      </w:r>
    </w:p>
    <w:p>
      <w:r>
        <w:rPr>
          <w:rFonts w:ascii="Aptos" w:hAnsi="Aptos"/>
          <w:b/>
          <w:sz w:val="19"/>
        </w:rPr>
        <w:t>Ce qui reste difficile</w:t>
      </w:r>
    </w:p>
    <w:p>
      <w:pPr>
        <w:spacing w:after="80"/>
      </w:pPr>
      <w:r>
        <w:rPr>
          <w:rFonts w:ascii="Aptos" w:hAnsi="Aptos"/>
          <w:color w:val="B4B8B6"/>
          <w:sz w:val="16"/>
        </w:rPr>
        <w:t>________________________________________________________________________________</w:t>
      </w:r>
    </w:p>
    <w:p>
      <w:r>
        <w:rPr>
          <w:rFonts w:ascii="Aptos" w:hAnsi="Aptos"/>
          <w:b/>
          <w:sz w:val="19"/>
        </w:rPr>
        <w:t>Ma décision pour les sept prochains jours</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VIE QUOTIDIENNE</w:t>
      </w:r>
    </w:p>
    <w:p>
      <w:pPr>
        <w:pStyle w:val="Title"/>
        <w:spacing w:after="160"/>
      </w:pPr>
      <w:r>
        <w:t>Quand les contraintes s’accumulent</w:t>
      </w:r>
    </w:p>
    <w:p>
      <w:pPr>
        <w:spacing w:after="240"/>
      </w:pPr>
      <w:r>
        <w:rPr>
          <w:rFonts w:ascii="Aptos Display" w:hAnsi="Aptos Display"/>
          <w:color w:val="5C6361"/>
          <w:sz w:val="28"/>
        </w:rPr>
        <w:t>Douleur organisation et pression financière</w:t>
      </w:r>
    </w:p>
    <w:p>
      <w:pPr>
        <w:jc w:val="center"/>
      </w:pPr>
      <w:r>
        <w:drawing>
          <wp:inline xmlns:a="http://schemas.openxmlformats.org/drawingml/2006/main" xmlns:pic="http://schemas.openxmlformats.org/drawingml/2006/picture">
            <wp:extent cx="4968000" cy="3312000"/>
            <wp:docPr id="4" name="Picture 4"/>
            <wp:cNvGraphicFramePr>
              <a:graphicFrameLocks noChangeAspect="1"/>
            </wp:cNvGraphicFramePr>
            <a:graphic>
              <a:graphicData uri="http://schemas.openxmlformats.org/drawingml/2006/picture">
                <pic:pic>
                  <pic:nvPicPr>
                    <pic:cNvPr id="0" name="factures-pression.png"/>
                    <pic:cNvPicPr/>
                  </pic:nvPicPr>
                  <pic:blipFill>
                    <a:blip r:embed="rId14"/>
                    <a:stretch>
                      <a:fillRect/>
                    </a:stretch>
                  </pic:blipFill>
                  <pic:spPr>
                    <a:xfrm>
                      <a:off x="0" y="0"/>
                      <a:ext cx="4968000" cy="3312000"/>
                    </a:xfrm>
                    <a:prstGeom prst="rect"/>
                  </pic:spPr>
                </pic:pic>
              </a:graphicData>
            </a:graphic>
          </wp:inline>
        </w:drawing>
      </w:r>
    </w:p>
    <w:p>
      <w:pPr>
        <w:spacing w:after="160"/>
        <w:jc w:val="center"/>
      </w:pPr>
      <w:r>
        <w:rPr>
          <w:rFonts w:ascii="Aptos" w:hAnsi="Aptos"/>
          <w:color w:val="5C6361"/>
          <w:sz w:val="16"/>
        </w:rPr>
        <w:t>Une poussée douloureuse peut compliquer les démarches le travail et le budget</w:t>
      </w:r>
    </w:p>
    <w:p>
      <w:r>
        <w:t>La douleur peut arriver au milieu de responsabilités qui ne s’arrêtent pas. Faites d’abord une liste courte des conséquences des sept prochains jours, puis séparez ce qui doit être fait, délégué ou reporté.</w:t>
      </w:r>
    </w:p>
    <w:p>
      <w:pPr>
        <w:pStyle w:val="Heading2"/>
      </w:pPr>
      <w:r>
        <w:t>Démarches utiles</w:t>
      </w:r>
    </w:p>
    <w:p>
      <w:pPr>
        <w:pStyle w:val="ListBullet"/>
        <w:ind w:left="283" w:hanging="142"/>
      </w:pPr>
      <w:r>
        <w:t>conserver les ordonnances, arrêts, factures et justificatifs au même endroit</w:t>
      </w:r>
    </w:p>
    <w:p>
      <w:pPr>
        <w:pStyle w:val="ListBullet"/>
        <w:ind w:left="283" w:hanging="142"/>
      </w:pPr>
      <w:r>
        <w:t>demander à l’organisme concerné les conditions de prise en charge avant une dépense importante</w:t>
      </w:r>
    </w:p>
    <w:p>
      <w:pPr>
        <w:pStyle w:val="ListBullet"/>
        <w:ind w:left="283" w:hanging="142"/>
      </w:pPr>
      <w:r>
        <w:t>prévenir rapidement si un rendez vous ou un paiement ne peut pas être tenu</w:t>
      </w:r>
    </w:p>
    <w:p>
      <w:pPr>
        <w:pStyle w:val="ListBullet"/>
        <w:ind w:left="283" w:hanging="142"/>
      </w:pPr>
      <w:r>
        <w:t>solliciter un service social si la santé met le logement, le revenu ou l’accès aux soins en difficulté</w:t>
      </w:r>
    </w:p>
    <w:p>
      <w:pPr>
        <w:spacing w:before="140" w:after="140"/>
        <w:ind w:left="255" w:right="142"/>
        <w:pBdr>
          <w:left w:val="single" w:sz="18" w:space="8" w:color="DC674B"/>
        </w:pBdr>
      </w:pPr>
      <w:r>
        <w:rPr>
          <w:rFonts w:ascii="Aptos" w:hAnsi="Aptos"/>
          <w:b/>
          <w:color w:val="DC674B"/>
          <w:sz w:val="17"/>
        </w:rPr>
        <w:t xml:space="preserve">LIMITE  </w:t>
      </w:r>
      <w:r>
        <w:t>Ce guide ne fournit pas de conseil juridique, assurantiel ou financier personnalisé. Les droits et remboursements dépendent de la situation et du régime applicable.</w:t>
      </w:r>
    </w:p>
    <w:p>
      <w:r>
        <w:br w:type="page"/>
      </w:r>
    </w:p>
    <w:p>
      <w:pPr>
        <w:spacing w:after="80"/>
      </w:pPr>
      <w:r>
        <w:rPr>
          <w:rFonts w:ascii="Aptos" w:hAnsi="Aptos"/>
          <w:b/>
          <w:color w:val="DC674B"/>
          <w:sz w:val="17"/>
        </w:rPr>
        <w:t>RÉFÉRENCES</w:t>
      </w:r>
    </w:p>
    <w:p>
      <w:pPr>
        <w:pStyle w:val="Title"/>
        <w:spacing w:after="160"/>
      </w:pPr>
      <w:r>
        <w:t>Sources et validation éditoriale</w:t>
      </w:r>
    </w:p>
    <w:p>
      <w:pPr>
        <w:pStyle w:val="Heading1"/>
      </w:pPr>
      <w:r>
        <w:t>Sources de référence</w:t>
      </w:r>
    </w:p>
    <w:p>
      <w:pPr>
        <w:pStyle w:val="ListBullet"/>
      </w:pPr>
      <w:hyperlink r:id="rId15">
        <w:r>
          <w:rPr>
            <w:color w:val="0D3B33"/>
            <w:u w:val="single"/>
          </w:rPr>
          <w:t>Haute Autorité de santé  Prise en charge du patient présentant une lombalgie commune</w:t>
        </w:r>
      </w:hyperlink>
    </w:p>
    <w:p>
      <w:pPr>
        <w:pStyle w:val="ListBullet"/>
      </w:pPr>
      <w:hyperlink r:id="rId16">
        <w:r>
          <w:rPr>
            <w:color w:val="0D3B33"/>
            <w:u w:val="single"/>
          </w:rPr>
          <w:t>Assurance Maladie  Lombalgie ou mal de dos</w:t>
        </w:r>
      </w:hyperlink>
    </w:p>
    <w:p>
      <w:pPr>
        <w:pStyle w:val="ListBullet"/>
      </w:pPr>
      <w:hyperlink r:id="rId17">
        <w:r>
          <w:rPr>
            <w:color w:val="0D3B33"/>
            <w:u w:val="single"/>
          </w:rPr>
          <w:t>Assurance Maladie  Le bon traitement est le mouvement</w:t>
        </w:r>
      </w:hyperlink>
    </w:p>
    <w:p>
      <w:pPr>
        <w:pStyle w:val="ListBullet"/>
      </w:pPr>
      <w:hyperlink r:id="rId18">
        <w:r>
          <w:rPr>
            <w:color w:val="0D3B33"/>
            <w:u w:val="single"/>
          </w:rPr>
          <w:t>Assurance Maladie  Éviter le passage à la chronicité</w:t>
        </w:r>
      </w:hyperlink>
    </w:p>
    <w:p>
      <w:pPr>
        <w:pStyle w:val="ListBullet"/>
      </w:pPr>
      <w:hyperlink r:id="rId19">
        <w:r>
          <w:rPr>
            <w:color w:val="0D3B33"/>
            <w:u w:val="single"/>
          </w:rPr>
          <w:t>Organisation mondiale de la Santé  Guideline on chronic primary low back pain</w:t>
        </w:r>
      </w:hyperlink>
    </w:p>
    <w:p>
      <w:r>
        <w:t>Sources consultées le 4 octobre 2026. Le manuscrit reformule les informations. Il ne reproduit pas les recommandations et ne se substitue pas à leur lecture par le relecteur médical.</w:t>
      </w:r>
    </w:p>
    <w:p>
      <w:pPr>
        <w:pStyle w:val="Heading2"/>
      </w:pPr>
      <w:r>
        <w:t>Étapes de production restantes</w:t>
      </w:r>
    </w:p>
    <w:p>
      <w:pPr>
        <w:pStyle w:val="ListBullet"/>
        <w:ind w:left="283" w:hanging="142"/>
      </w:pPr>
      <w:r>
        <w:t>relecture médicale du parcours des sept jours</w:t>
      </w:r>
    </w:p>
    <w:p>
      <w:pPr>
        <w:pStyle w:val="ListBullet"/>
        <w:ind w:left="283" w:hanging="142"/>
      </w:pPr>
      <w:r>
        <w:t>création de schémas pour les transferts et les positions de repos</w:t>
      </w:r>
    </w:p>
    <w:p>
      <w:pPr>
        <w:pStyle w:val="ListBullet"/>
        <w:ind w:left="283" w:hanging="142"/>
      </w:pPr>
      <w:r>
        <w:t>enregistrement de sept audios courts à partir du texte validé</w:t>
      </w:r>
    </w:p>
    <w:p>
      <w:pPr>
        <w:pStyle w:val="ListBullet"/>
        <w:ind w:left="283" w:hanging="142"/>
      </w:pPr>
      <w:r>
        <w:t>test utilisateur en situation de douleur avec critères d’arrêt stricts</w:t>
      </w:r>
    </w:p>
    <w:sectPr w:rsidR="00FC693F" w:rsidRPr="0006063C" w:rsidSect="00034616">
      <w:headerReference w:type="default" r:id="rId9"/>
      <w:footerReference w:type="default" r:id="rId10"/>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1"/>
        <w:sz w:val="15"/>
      </w:rPr>
      <w:t xml:space="preserve">Document de travail 0.1   •   Relecture médicale obligatoire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361"/>
        <w:sz w:val="15"/>
      </w:rPr>
      <w:t>LE RÉFLEXE DOS   ·   SOS LUMBAGO 7 JOURS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1D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81D1C"/>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1D1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1D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1D1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has-sante.fr/jcms/c_2961499/" TargetMode="External"/><Relationship Id="rId16" Type="http://schemas.openxmlformats.org/officeDocument/2006/relationships/hyperlink" Target="https://www.ameli.fr/assure/sante/themes/lombalgie-aigue/comprendre-lombalgie" TargetMode="External"/><Relationship Id="rId17" Type="http://schemas.openxmlformats.org/officeDocument/2006/relationships/hyperlink" Target="https://www.ameli.fr/assure/sante/themes/lombalgie-aigue/traitement-prevention" TargetMode="External"/><Relationship Id="rId18" Type="http://schemas.openxmlformats.org/officeDocument/2006/relationships/hyperlink" Target="https://www.ameli.fr/assure/sante/themes/lombalgie-aigue/lombalgie-subaigue-chronique" TargetMode="External"/><Relationship Id="rId19" Type="http://schemas.openxmlformats.org/officeDocument/2006/relationships/hyperlink" Target="https://www.who.int/publications/i/item/9789240081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Prototype éditorial destiné à une relecture médicale et utilisateur</dc:subject>
  <dc:creator>Le Réflexe Dos</dc:creator>
  <cp:keywords/>
  <dc:description>Version 0.1 produite le 4 octobre 2026</dc:description>
  <cp:lastModifiedBy/>
  <cp:revision>1</cp:revision>
  <dcterms:created xsi:type="dcterms:W3CDTF">2013-12-23T23:15:00Z</dcterms:created>
  <dcterms:modified xsi:type="dcterms:W3CDTF">2013-12-23T23:15:00Z</dcterms:modified>
  <cp:category/>
</cp:coreProperties>
</file>