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DC674B"/>
          <w:sz w:val="17"/>
        </w:rPr>
        <w:t>COLLECTION DÉTACHABLE</w:t>
      </w:r>
    </w:p>
    <w:p>
      <w:pPr>
        <w:pStyle w:val="Title"/>
        <w:spacing w:after="160"/>
      </w:pPr>
      <w:r>
        <w:t>Fiches pratiques Le Réflexe Dos</w:t>
      </w:r>
    </w:p>
    <w:p>
      <w:pPr>
        <w:spacing w:after="240"/>
      </w:pPr>
      <w:r>
        <w:rPr>
          <w:rFonts w:ascii="Aptos Display" w:hAnsi="Aptos Display"/>
          <w:color w:val="5C6361"/>
          <w:sz w:val="28"/>
        </w:rPr>
        <w:t>Lot 01 pour les premiers jours la consultation et la reprise</w:t>
      </w:r>
    </w:p>
    <w:p>
      <w:pPr>
        <w:jc w:val="center"/>
      </w:pPr>
      <w:r>
        <w:drawing>
          <wp:inline xmlns:a="http://schemas.openxmlformats.org/drawingml/2006/main" xmlns:pic="http://schemas.openxmlformats.org/drawingml/2006/picture">
            <wp:extent cx="6120000" cy="4080000"/>
            <wp:docPr id="1" name="Picture 1"/>
            <wp:cNvGraphicFramePr>
              <a:graphicFrameLocks noChangeAspect="1"/>
            </wp:cNvGraphicFramePr>
            <a:graphic>
              <a:graphicData uri="http://schemas.openxmlformats.org/drawingml/2006/picture">
                <pic:pic>
                  <pic:nvPicPr>
                    <pic:cNvPr id="0" name="consultation-kine.png"/>
                    <pic:cNvPicPr/>
                  </pic:nvPicPr>
                  <pic:blipFill>
                    <a:blip r:embed="rId11"/>
                    <a:stretch>
                      <a:fillRect/>
                    </a:stretch>
                  </pic:blipFill>
                  <pic:spPr>
                    <a:xfrm>
                      <a:off x="0" y="0"/>
                      <a:ext cx="6120000" cy="4080000"/>
                    </a:xfrm>
                    <a:prstGeom prst="rect"/>
                  </pic:spPr>
                </pic:pic>
              </a:graphicData>
            </a:graphic>
          </wp:inline>
        </w:drawing>
      </w:r>
    </w:p>
    <w:p>
      <w:pPr>
        <w:spacing w:after="160"/>
        <w:jc w:val="center"/>
      </w:pPr>
      <w:r>
        <w:rPr>
          <w:rFonts w:ascii="Aptos" w:hAnsi="Aptos"/>
          <w:color w:val="5C6361"/>
          <w:sz w:val="16"/>
        </w:rPr>
        <w:t>Une collection conçue pour être imprimée ou consultée séparément</w:t>
      </w:r>
    </w:p>
    <w:p>
      <w:pPr>
        <w:spacing w:before="160"/>
      </w:pPr>
      <w:r>
        <w:rPr>
          <w:rFonts w:ascii="Aptos" w:hAnsi="Aptos"/>
          <w:b/>
          <w:color w:val="DC674B"/>
          <w:sz w:val="17"/>
        </w:rPr>
        <w:t>VERSION DE TRAVAIL 0.1</w:t>
      </w:r>
    </w:p>
    <w:p>
      <w:r>
        <w:t>Huit fiches indépendantes à garder sur le téléphone, imprimer ou transmettre à un proche. Chaque fiche tient sur une situation précise.</w:t>
      </w:r>
    </w:p>
    <w:p>
      <w:pPr>
        <w:spacing w:before="140" w:after="140"/>
        <w:ind w:left="255" w:right="142"/>
        <w:pBdr>
          <w:left w:val="single" w:sz="18" w:space="8" w:color="DC674B"/>
        </w:pBdr>
      </w:pPr>
      <w:r>
        <w:rPr>
          <w:rFonts w:ascii="Aptos" w:hAnsi="Aptos"/>
          <w:b/>
          <w:color w:val="DC674B"/>
          <w:sz w:val="17"/>
        </w:rPr>
        <w:t xml:space="preserve">STATUT  </w:t>
      </w:r>
      <w:r>
        <w:t>Manuscrit de production. Les messages de santé, exercices et illustrations anatomiques doivent être relus par un médecin ou un kinésithérapeute avant diffusion.</w:t>
      </w:r>
    </w:p>
    <w:p>
      <w:r>
        <w:br w:type="page"/>
      </w:r>
    </w:p>
    <w:p>
      <w:pPr>
        <w:spacing w:after="80"/>
      </w:pPr>
      <w:r>
        <w:rPr>
          <w:rFonts w:ascii="Aptos" w:hAnsi="Aptos"/>
          <w:b/>
          <w:color w:val="DC674B"/>
          <w:sz w:val="17"/>
        </w:rPr>
        <w:t>SÉCURITÉ</w:t>
      </w:r>
    </w:p>
    <w:p>
      <w:pPr>
        <w:pStyle w:val="Title"/>
        <w:spacing w:after="160"/>
      </w:pPr>
      <w:r>
        <w:t>Avant de poursuivre</w:t>
      </w:r>
    </w:p>
    <w:p>
      <w:pPr>
        <w:spacing w:after="240"/>
      </w:pPr>
      <w:r>
        <w:rPr>
          <w:rFonts w:ascii="Aptos Display" w:hAnsi="Aptos Display"/>
          <w:color w:val="5C6361"/>
          <w:sz w:val="28"/>
        </w:rPr>
        <w:t>Ce document informe et accompagne mais ne pose aucun diagnostic</w:t>
      </w:r>
    </w:p>
    <w:p>
      <w:r>
        <w:t>Votre douleur mérite d’être prise au sérieux. Elle est souvent liée à une lombalgie commune, mais un guide ne peut pas vérifier votre situation. Si la douleur est récente, inhabituelle ou change nettement, demandez un avis médical. Vous n’avez pas à prendre cette décision seul.</w:t>
      </w:r>
    </w:p>
    <w:p>
      <w:pPr>
        <w:pStyle w:val="Heading2"/>
      </w:pPr>
      <w:r>
        <w:t>Demandez une aide urgente</w:t>
      </w:r>
    </w:p>
    <w:p>
      <w:pPr>
        <w:pStyle w:val="ListBullet"/>
        <w:ind w:left="283" w:hanging="142"/>
      </w:pPr>
      <w:r>
        <w:t>difficulté nouvelle à uriner, fuites urinaires ou perte du contrôle des selles</w:t>
      </w:r>
    </w:p>
    <w:p>
      <w:pPr>
        <w:pStyle w:val="ListBullet"/>
        <w:ind w:left="283" w:hanging="142"/>
      </w:pPr>
      <w:r>
        <w:t>perte de sensibilité autour du périnée ou sensation d’anesthésie en selle</w:t>
      </w:r>
    </w:p>
    <w:p>
      <w:pPr>
        <w:pStyle w:val="ListBullet"/>
        <w:ind w:left="283" w:hanging="142"/>
      </w:pPr>
      <w:r>
        <w:t>faiblesse marquée ou qui progresse dans une ou deux jambes</w:t>
      </w:r>
    </w:p>
    <w:p>
      <w:pPr>
        <w:pStyle w:val="ListBullet"/>
        <w:ind w:left="283" w:hanging="142"/>
      </w:pPr>
      <w:r>
        <w:t>douleur apparue après un traumatisme important</w:t>
      </w:r>
    </w:p>
    <w:p>
      <w:pPr>
        <w:pStyle w:val="ListBullet"/>
        <w:ind w:left="283" w:hanging="142"/>
      </w:pPr>
      <w:r>
        <w:t>douleur accompagnée d’une altération importante de l’état général, d’une fièvre ou de symptômes respiratoires inhabituels</w:t>
      </w:r>
    </w:p>
    <w:p>
      <w:r>
        <w:t>En France, appelez le 15 ou le 112 si la situation paraît urgente ou si vous ne savez pas vers quel service vous tourner.</w:t>
      </w:r>
    </w:p>
    <w:p>
      <w:pPr>
        <w:pStyle w:val="Heading2"/>
      </w:pPr>
      <w:r>
        <w:t>Prenez rapidement un avis médical</w:t>
      </w:r>
    </w:p>
    <w:p>
      <w:pPr>
        <w:pStyle w:val="ListBullet"/>
        <w:ind w:left="283" w:hanging="142"/>
      </w:pPr>
      <w:r>
        <w:t>douleur qui s’aggrave régulièrement, persiste au repos ou réveille sans cesse la nuit</w:t>
      </w:r>
    </w:p>
    <w:p>
      <w:pPr>
        <w:pStyle w:val="ListBullet"/>
        <w:ind w:left="283" w:hanging="142"/>
      </w:pPr>
      <w:r>
        <w:t>perte de poids inexpliquée, antécédent de cancer, traitement prolongé par corticoïdes ou immunodépression</w:t>
      </w:r>
    </w:p>
    <w:p>
      <w:pPr>
        <w:pStyle w:val="ListBullet"/>
        <w:ind w:left="283" w:hanging="142"/>
      </w:pPr>
      <w:r>
        <w:t>engourdissement ou faiblesse qui apparaît ou augmente dans une jambe</w:t>
      </w:r>
    </w:p>
    <w:p>
      <w:pPr>
        <w:pStyle w:val="ListBullet"/>
        <w:ind w:left="283" w:hanging="142"/>
      </w:pPr>
      <w:r>
        <w:t>douleur qui ne s’améliore pas ou qui limite fortement les activités malgré quelques jours d’adaptation</w:t>
      </w:r>
    </w:p>
    <w:p>
      <w:pPr>
        <w:spacing w:before="140" w:after="140"/>
        <w:ind w:left="255" w:right="142"/>
        <w:pBdr>
          <w:left w:val="single" w:sz="18" w:space="8" w:color="DC674B"/>
        </w:pBdr>
      </w:pPr>
      <w:r>
        <w:rPr>
          <w:rFonts w:ascii="Aptos" w:hAnsi="Aptos"/>
          <w:b/>
          <w:color w:val="DC674B"/>
          <w:sz w:val="17"/>
        </w:rPr>
        <w:t xml:space="preserve">REPÈRE  </w:t>
      </w:r>
      <w:r>
        <w:t>Un signe isolé ne veut pas forcément dire qu’il existe une maladie grave. Il mérite simplement d’être évalué dans son contexte. En cas de doute, un professionnel de santé peut vous aider à choisir la bonne suite.</w:t>
      </w:r>
    </w:p>
    <w:p>
      <w:r>
        <w:br w:type="page"/>
      </w:r>
    </w:p>
    <w:p>
      <w:pPr>
        <w:spacing w:after="80"/>
      </w:pPr>
      <w:r>
        <w:rPr>
          <w:rFonts w:ascii="Aptos" w:hAnsi="Aptos"/>
          <w:b/>
          <w:color w:val="DC674B"/>
          <w:sz w:val="17"/>
        </w:rPr>
        <w:t>MODE D’EMPLOI</w:t>
      </w:r>
    </w:p>
    <w:p>
      <w:pPr>
        <w:pStyle w:val="Title"/>
        <w:spacing w:after="160"/>
      </w:pPr>
      <w:r>
        <w:t>Une fiche pour une décision</w:t>
      </w:r>
    </w:p>
    <w:p>
      <w:r>
        <w:t>Commencez par la fiche 02 si la douleur est récente, inhabituelle ou plus forte que d’habitude. Ensuite, choisissez seulement la fiche qui répond à votre besoin du moment. Vous n’avez pas à tout lire ni à tout faire.</w:t>
      </w:r>
    </w:p>
    <w:p>
      <w:pPr>
        <w:spacing w:before="140" w:after="140"/>
        <w:ind w:left="255" w:right="142"/>
        <w:pBdr>
          <w:left w:val="single" w:sz="18" w:space="8" w:color="DC674B"/>
        </w:pBdr>
      </w:pPr>
      <w:r>
        <w:rPr>
          <w:rFonts w:ascii="Aptos" w:hAnsi="Aptos"/>
          <w:b/>
          <w:color w:val="DC674B"/>
          <w:sz w:val="17"/>
        </w:rPr>
        <w:t xml:space="preserve">NOTRE TON  </w:t>
      </w:r>
      <w:r>
        <w:t>Ces fiches sont là pour vous simplifier la prochaine décision. Elles reconnaissent vos contraintes, proposent plusieurs options et vous encouragent à demander de l’aide lorsque vous en avez besoin.</w:t>
      </w:r>
    </w:p>
    <w:p>
      <w:pPr>
        <w:pStyle w:val="Heading2"/>
      </w:pPr>
      <w:r>
        <w:t>Le gabarit commun</w:t>
      </w:r>
    </w:p>
    <w:p>
      <w:pPr>
        <w:pStyle w:val="ListBullet"/>
        <w:ind w:left="283" w:hanging="142"/>
      </w:pPr>
      <w:r>
        <w:t>objectif de la fiche</w:t>
      </w:r>
    </w:p>
    <w:p>
      <w:pPr>
        <w:pStyle w:val="ListBullet"/>
        <w:ind w:left="283" w:hanging="142"/>
      </w:pPr>
      <w:r>
        <w:t>contrôle de sécurité</w:t>
      </w:r>
    </w:p>
    <w:p>
      <w:pPr>
        <w:pStyle w:val="ListBullet"/>
        <w:ind w:left="283" w:hanging="142"/>
      </w:pPr>
      <w:r>
        <w:t>étapes courtes</w:t>
      </w:r>
    </w:p>
    <w:p>
      <w:pPr>
        <w:pStyle w:val="ListBullet"/>
        <w:ind w:left="283" w:hanging="142"/>
      </w:pPr>
      <w:r>
        <w:t>adaptation possible</w:t>
      </w:r>
    </w:p>
    <w:p>
      <w:pPr>
        <w:pStyle w:val="ListBullet"/>
        <w:ind w:left="283" w:hanging="142"/>
      </w:pPr>
      <w:r>
        <w:t>règle d’arrêt</w:t>
      </w:r>
    </w:p>
    <w:p>
      <w:pPr>
        <w:pStyle w:val="ListBullet"/>
        <w:ind w:left="283" w:hanging="142"/>
      </w:pPr>
      <w:r>
        <w:t>note personnelle</w:t>
      </w:r>
    </w:p>
    <w:p>
      <w:pPr>
        <w:pStyle w:val="Heading2"/>
      </w:pPr>
      <w:r>
        <w:t>Les huit fiches</w:t>
      </w:r>
    </w:p>
    <w:p>
      <w:pPr>
        <w:ind w:left="312" w:hanging="159"/>
      </w:pPr>
      <w:r>
        <w:t>1. Que faire dans les trente premières minutes</w:t>
      </w:r>
    </w:p>
    <w:p>
      <w:pPr>
        <w:ind w:left="312" w:hanging="159"/>
      </w:pPr>
      <w:r>
        <w:t>2. Quand demander de l’aide</w:t>
      </w:r>
    </w:p>
    <w:p>
      <w:pPr>
        <w:ind w:left="312" w:hanging="159"/>
      </w:pPr>
      <w:r>
        <w:t>3. Préparer une consultation</w:t>
      </w:r>
    </w:p>
    <w:p>
      <w:pPr>
        <w:ind w:left="312" w:hanging="159"/>
      </w:pPr>
      <w:r>
        <w:t>4. Organiser une journée difficile</w:t>
      </w:r>
    </w:p>
    <w:p>
      <w:pPr>
        <w:ind w:left="312" w:hanging="159"/>
      </w:pPr>
      <w:r>
        <w:t>5. Bouger quand on travaille assis</w:t>
      </w:r>
    </w:p>
    <w:p>
      <w:pPr>
        <w:ind w:left="312" w:hanging="159"/>
      </w:pPr>
      <w:r>
        <w:t>6. Préparer la nuit</w:t>
      </w:r>
    </w:p>
    <w:p>
      <w:pPr>
        <w:ind w:left="312" w:hanging="159"/>
      </w:pPr>
      <w:r>
        <w:t>7. Se déplacer avec une aide à la marche</w:t>
      </w:r>
    </w:p>
    <w:p>
      <w:pPr>
        <w:ind w:left="312" w:hanging="159"/>
      </w:pPr>
      <w:r>
        <w:t>8. Faire le bilan de la semaine</w:t>
      </w:r>
    </w:p>
    <w:p>
      <w:r>
        <w:br w:type="page"/>
      </w:r>
    </w:p>
    <w:p>
      <w:pPr>
        <w:spacing w:after="80"/>
      </w:pPr>
      <w:r>
        <w:rPr>
          <w:rFonts w:ascii="Aptos" w:hAnsi="Aptos"/>
          <w:b/>
          <w:color w:val="DC674B"/>
          <w:sz w:val="17"/>
        </w:rPr>
        <w:t>FICHE 01</w:t>
      </w:r>
    </w:p>
    <w:p>
      <w:pPr>
        <w:pStyle w:val="Title"/>
        <w:spacing w:after="160"/>
      </w:pPr>
      <w:r>
        <w:t>Les trente premières minutes</w:t>
      </w:r>
    </w:p>
    <w:p>
      <w:pPr>
        <w:spacing w:after="240"/>
      </w:pPr>
      <w:r>
        <w:rPr>
          <w:rFonts w:ascii="Aptos Display" w:hAnsi="Aptos Display"/>
          <w:color w:val="5C6361"/>
          <w:sz w:val="28"/>
        </w:rPr>
        <w:t>Réduire l’incertitude avant d’agir</w:t>
      </w:r>
    </w:p>
    <w:p>
      <w:pPr>
        <w:pStyle w:val="Heading2"/>
      </w:pPr>
      <w:r>
        <w:t>Objectif</w:t>
      </w:r>
    </w:p>
    <w:p>
      <w:r>
        <w:t>Vérifier la sécurité, trouver une position de répit et organiser le prochain déplacement utile.</w:t>
      </w:r>
    </w:p>
    <w:p>
      <w:pPr>
        <w:pStyle w:val="Heading2"/>
      </w:pPr>
      <w:r>
        <w:t>Étapes</w:t>
      </w:r>
    </w:p>
    <w:p>
      <w:pPr>
        <w:ind w:left="312" w:hanging="159"/>
      </w:pPr>
      <w:r>
        <w:t>1. Repérez l’heure et les circonstances d’apparition.</w:t>
      </w:r>
    </w:p>
    <w:p>
      <w:pPr>
        <w:ind w:left="312" w:hanging="159"/>
      </w:pPr>
      <w:r>
        <w:t>2. Vérifiez les signes de la fiche 02.</w:t>
      </w:r>
    </w:p>
    <w:p>
      <w:pPr>
        <w:ind w:left="312" w:hanging="159"/>
      </w:pPr>
      <w:r>
        <w:t>3. Testez deux positions sûres pendant quelques minutes.</w:t>
      </w:r>
    </w:p>
    <w:p>
      <w:pPr>
        <w:ind w:left="312" w:hanging="159"/>
      </w:pPr>
      <w:r>
        <w:t>4. Gardez à portée le téléphone, l’eau et les objets indispensables.</w:t>
      </w:r>
    </w:p>
    <w:p>
      <w:pPr>
        <w:ind w:left="312" w:hanging="159"/>
      </w:pPr>
      <w:r>
        <w:t>5. Faites un déplacement court si cela reste possible et sûr.</w:t>
      </w:r>
    </w:p>
    <w:p>
      <w:pPr>
        <w:pStyle w:val="Heading2"/>
      </w:pPr>
      <w:r>
        <w:t>Adaptation</w:t>
      </w:r>
    </w:p>
    <w:p>
      <w:r>
        <w:t>Demandez à un proche de sécuriser le trajet, d’apporter les objets ou de prendre en charge une tâche urgente. Évitez de porter une charge pour prouver que vous pouvez encore le faire.</w:t>
      </w:r>
    </w:p>
    <w:p>
      <w:pPr>
        <w:pStyle w:val="Heading2"/>
      </w:pPr>
      <w:r>
        <w:t>Règle d’arrêt</w:t>
      </w:r>
    </w:p>
    <w:p>
      <w:r>
        <w:t>Un trouble urinaire, une perte de sensibilité du périnée, une faiblesse progressive, un traumatisme important, une fièvre ou une altération générale impose une évaluation urgente ou rapide.</w:t>
      </w:r>
    </w:p>
    <w:p>
      <w:r>
        <w:rPr>
          <w:rFonts w:ascii="Aptos" w:hAnsi="Aptos"/>
          <w:b/>
          <w:sz w:val="19"/>
        </w:rPr>
        <w:t>Ma position de répit</w:t>
      </w:r>
    </w:p>
    <w:p>
      <w:pPr>
        <w:spacing w:after="80"/>
      </w:pPr>
      <w:r>
        <w:rPr>
          <w:rFonts w:ascii="Aptos" w:hAnsi="Aptos"/>
          <w:color w:val="B4B8B6"/>
          <w:sz w:val="16"/>
        </w:rPr>
        <w:t>________________________________________________________________________________</w:t>
      </w:r>
    </w:p>
    <w:p>
      <w:r>
        <w:rPr>
          <w:rFonts w:ascii="Aptos" w:hAnsi="Aptos"/>
          <w:b/>
          <w:sz w:val="19"/>
        </w:rPr>
        <w:t>La prochaine action utile</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FICHE 02</w:t>
      </w:r>
    </w:p>
    <w:p>
      <w:pPr>
        <w:pStyle w:val="Title"/>
        <w:spacing w:after="160"/>
      </w:pPr>
      <w:r>
        <w:t>Quand demander de l’aide</w:t>
      </w:r>
    </w:p>
    <w:p>
      <w:pPr>
        <w:spacing w:after="240"/>
      </w:pPr>
      <w:r>
        <w:rPr>
          <w:rFonts w:ascii="Aptos Display" w:hAnsi="Aptos Display"/>
          <w:color w:val="5C6361"/>
          <w:sz w:val="28"/>
        </w:rPr>
        <w:t>Une décision de sécurité avant toute routine</w:t>
      </w:r>
    </w:p>
    <w:p>
      <w:pPr>
        <w:pStyle w:val="Heading2"/>
      </w:pPr>
      <w:r>
        <w:t>Aide urgente</w:t>
      </w:r>
    </w:p>
    <w:p>
      <w:pPr>
        <w:pStyle w:val="ListBullet"/>
        <w:ind w:left="283" w:hanging="142"/>
      </w:pPr>
      <w:r>
        <w:t>☐ difficulté nouvelle à uriner ou perte du contrôle des urines ou des selles</w:t>
      </w:r>
    </w:p>
    <w:p>
      <w:pPr>
        <w:pStyle w:val="ListBullet"/>
        <w:ind w:left="283" w:hanging="142"/>
      </w:pPr>
      <w:r>
        <w:t>☐ perte de sensibilité autour du périnée</w:t>
      </w:r>
    </w:p>
    <w:p>
      <w:pPr>
        <w:pStyle w:val="ListBullet"/>
        <w:ind w:left="283" w:hanging="142"/>
      </w:pPr>
      <w:r>
        <w:t>☐ faiblesse importante ou qui progresse dans une ou deux jambes</w:t>
      </w:r>
    </w:p>
    <w:p>
      <w:pPr>
        <w:pStyle w:val="ListBullet"/>
        <w:ind w:left="283" w:hanging="142"/>
      </w:pPr>
      <w:r>
        <w:t>☐ douleur après un traumatisme important</w:t>
      </w:r>
    </w:p>
    <w:p>
      <w:pPr>
        <w:pStyle w:val="ListBullet"/>
        <w:ind w:left="283" w:hanging="142"/>
      </w:pPr>
      <w:r>
        <w:t>☐ altération marquée de l’état général ou symptômes inhabituels inquiétants</w:t>
      </w:r>
    </w:p>
    <w:p>
      <w:r>
        <w:t>En France, contactez le 15 ou le 112 si la situation paraît urgente ou si vous ne savez pas quel service appeler.</w:t>
      </w:r>
    </w:p>
    <w:p>
      <w:pPr>
        <w:pStyle w:val="Heading2"/>
      </w:pPr>
      <w:r>
        <w:t>Avis médical rapide</w:t>
      </w:r>
    </w:p>
    <w:p>
      <w:pPr>
        <w:pStyle w:val="ListBullet"/>
        <w:ind w:left="283" w:hanging="142"/>
      </w:pPr>
      <w:r>
        <w:t>☐ fièvre, douleur nocturne incessante ou aggravation progressive</w:t>
      </w:r>
    </w:p>
    <w:p>
      <w:pPr>
        <w:pStyle w:val="ListBullet"/>
        <w:ind w:left="283" w:hanging="142"/>
      </w:pPr>
      <w:r>
        <w:t>☐ perte de poids inexpliquée, antécédent de cancer ou traitement prolongé par corticoïdes</w:t>
      </w:r>
    </w:p>
    <w:p>
      <w:pPr>
        <w:pStyle w:val="ListBullet"/>
        <w:ind w:left="283" w:hanging="142"/>
      </w:pPr>
      <w:r>
        <w:t>☐ engourdissement ou faiblesse nouvelle dans une jambe</w:t>
      </w:r>
    </w:p>
    <w:p>
      <w:pPr>
        <w:pStyle w:val="ListBullet"/>
        <w:ind w:left="283" w:hanging="142"/>
      </w:pPr>
      <w:r>
        <w:t>☐ forte limitation des activités sans amélioration</w:t>
      </w:r>
    </w:p>
    <w:p>
      <w:pPr>
        <w:spacing w:before="140" w:after="140"/>
        <w:ind w:left="255" w:right="142"/>
        <w:pBdr>
          <w:left w:val="single" w:sz="18" w:space="8" w:color="DC674B"/>
        </w:pBdr>
      </w:pPr>
      <w:r>
        <w:rPr>
          <w:rFonts w:ascii="Aptos" w:hAnsi="Aptos"/>
          <w:b/>
          <w:color w:val="DC674B"/>
          <w:sz w:val="17"/>
        </w:rPr>
        <w:t xml:space="preserve">À SAVOIR  </w:t>
      </w:r>
      <w:r>
        <w:t>Cette liste aide à décider de demander un avis. Elle ne permet ni d’identifier ni d’exclure une maladie.</w:t>
      </w:r>
    </w:p>
    <w:p>
      <w:r>
        <w:br w:type="page"/>
      </w:r>
    </w:p>
    <w:p>
      <w:pPr>
        <w:spacing w:after="80"/>
      </w:pPr>
      <w:r>
        <w:rPr>
          <w:rFonts w:ascii="Aptos" w:hAnsi="Aptos"/>
          <w:b/>
          <w:color w:val="DC674B"/>
          <w:sz w:val="17"/>
        </w:rPr>
        <w:t>FICHE 03</w:t>
      </w:r>
    </w:p>
    <w:p>
      <w:pPr>
        <w:pStyle w:val="Title"/>
        <w:spacing w:after="160"/>
      </w:pPr>
      <w:r>
        <w:t>Préparer une consultation</w:t>
      </w:r>
    </w:p>
    <w:p>
      <w:pPr>
        <w:spacing w:after="240"/>
      </w:pPr>
      <w:r>
        <w:rPr>
          <w:rFonts w:ascii="Aptos Display" w:hAnsi="Aptos Display"/>
          <w:color w:val="5C6361"/>
          <w:sz w:val="28"/>
        </w:rPr>
        <w:t>Donner au professionnel les informations qui changent la décision</w:t>
      </w:r>
    </w:p>
    <w:p>
      <w:pPr>
        <w:pStyle w:val="Heading2"/>
      </w:pPr>
      <w:r>
        <w:t>Avant le rendez vous</w:t>
      </w:r>
    </w:p>
    <w:p>
      <w:pPr>
        <w:pStyle w:val="ListBullet"/>
        <w:ind w:left="283" w:hanging="142"/>
      </w:pPr>
      <w:r>
        <w:t>☐ notez la date de début et les circonstances</w:t>
      </w:r>
    </w:p>
    <w:p>
      <w:pPr>
        <w:pStyle w:val="ListBullet"/>
        <w:ind w:left="283" w:hanging="142"/>
      </w:pPr>
      <w:r>
        <w:t>☐ décrivez la zone et une éventuelle douleur dans la jambe</w:t>
      </w:r>
    </w:p>
    <w:p>
      <w:pPr>
        <w:pStyle w:val="ListBullet"/>
        <w:ind w:left="283" w:hanging="142"/>
      </w:pPr>
      <w:r>
        <w:t>☐ listez les symptômes associés et leurs changements</w:t>
      </w:r>
    </w:p>
    <w:p>
      <w:pPr>
        <w:pStyle w:val="ListBullet"/>
        <w:ind w:left="283" w:hanging="142"/>
      </w:pPr>
      <w:r>
        <w:t>☐ apportez les traitements, examens et antécédents utiles</w:t>
      </w:r>
    </w:p>
    <w:p>
      <w:pPr>
        <w:pStyle w:val="ListBullet"/>
        <w:ind w:left="283" w:hanging="142"/>
      </w:pPr>
      <w:r>
        <w:t>☐ choisissez deux questions prioritaires</w:t>
      </w:r>
    </w:p>
    <w:p>
      <w:r>
        <w:rPr>
          <w:rFonts w:ascii="Aptos" w:hAnsi="Aptos"/>
          <w:b/>
          <w:sz w:val="19"/>
        </w:rPr>
        <w:t>Ce que je ne peux plus faire</w:t>
      </w:r>
    </w:p>
    <w:p>
      <w:pPr>
        <w:spacing w:after="80"/>
      </w:pPr>
      <w:r>
        <w:rPr>
          <w:rFonts w:ascii="Aptos" w:hAnsi="Aptos"/>
          <w:color w:val="B4B8B6"/>
          <w:sz w:val="16"/>
        </w:rPr>
        <w:t>________________________________________________________________________________</w:t>
      </w:r>
    </w:p>
    <w:p>
      <w:r>
        <w:rPr>
          <w:rFonts w:ascii="Aptos" w:hAnsi="Aptos"/>
          <w:b/>
          <w:sz w:val="19"/>
        </w:rPr>
        <w:t>Ce que je peux encore faire</w:t>
      </w:r>
    </w:p>
    <w:p>
      <w:pPr>
        <w:spacing w:after="80"/>
      </w:pPr>
      <w:r>
        <w:rPr>
          <w:rFonts w:ascii="Aptos" w:hAnsi="Aptos"/>
          <w:color w:val="B4B8B6"/>
          <w:sz w:val="16"/>
        </w:rPr>
        <w:t>________________________________________________________________________________</w:t>
      </w:r>
    </w:p>
    <w:p>
      <w:r>
        <w:rPr>
          <w:rFonts w:ascii="Aptos" w:hAnsi="Aptos"/>
          <w:b/>
          <w:sz w:val="19"/>
        </w:rPr>
        <w:t>Question 1</w:t>
      </w:r>
    </w:p>
    <w:p>
      <w:pPr>
        <w:spacing w:after="80"/>
      </w:pPr>
      <w:r>
        <w:rPr>
          <w:rFonts w:ascii="Aptos" w:hAnsi="Aptos"/>
          <w:color w:val="B4B8B6"/>
          <w:sz w:val="16"/>
        </w:rPr>
        <w:t>________________________________________________________________________________</w:t>
      </w:r>
    </w:p>
    <w:p>
      <w:r>
        <w:rPr>
          <w:rFonts w:ascii="Aptos" w:hAnsi="Aptos"/>
          <w:b/>
          <w:sz w:val="19"/>
        </w:rPr>
        <w:t>Question 2</w:t>
      </w:r>
    </w:p>
    <w:p>
      <w:pPr>
        <w:spacing w:after="80"/>
      </w:pPr>
      <w:r>
        <w:rPr>
          <w:rFonts w:ascii="Aptos" w:hAnsi="Aptos"/>
          <w:color w:val="B4B8B6"/>
          <w:sz w:val="16"/>
        </w:rPr>
        <w:t>________________________________________________________________________________</w:t>
      </w:r>
    </w:p>
    <w:p>
      <w:pPr>
        <w:pStyle w:val="Heading2"/>
      </w:pPr>
      <w:r>
        <w:t>Après le rendez vous</w:t>
      </w:r>
    </w:p>
    <w:p>
      <w:r>
        <w:rPr>
          <w:rFonts w:ascii="Aptos" w:hAnsi="Aptos"/>
          <w:b/>
          <w:sz w:val="19"/>
        </w:rPr>
        <w:t>Ce que j’ai compris</w:t>
      </w:r>
    </w:p>
    <w:p>
      <w:pPr>
        <w:spacing w:after="80"/>
      </w:pPr>
      <w:r>
        <w:rPr>
          <w:rFonts w:ascii="Aptos" w:hAnsi="Aptos"/>
          <w:color w:val="B4B8B6"/>
          <w:sz w:val="16"/>
        </w:rPr>
        <w:t>________________________________________________________________________________</w:t>
      </w:r>
    </w:p>
    <w:p>
      <w:r>
        <w:rPr>
          <w:rFonts w:ascii="Aptos" w:hAnsi="Aptos"/>
          <w:b/>
          <w:sz w:val="19"/>
        </w:rPr>
        <w:t>Ce que je fais aujourd’hui</w:t>
      </w:r>
    </w:p>
    <w:p>
      <w:pPr>
        <w:spacing w:after="80"/>
      </w:pPr>
      <w:r>
        <w:rPr>
          <w:rFonts w:ascii="Aptos" w:hAnsi="Aptos"/>
          <w:color w:val="B4B8B6"/>
          <w:sz w:val="16"/>
        </w:rPr>
        <w:t>________________________________________________________________________________</w:t>
      </w:r>
    </w:p>
    <w:p>
      <w:r>
        <w:rPr>
          <w:rFonts w:ascii="Aptos" w:hAnsi="Aptos"/>
          <w:b/>
          <w:sz w:val="19"/>
        </w:rPr>
        <w:t>Quand je dois reconsulter</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FICHE 04</w:t>
      </w:r>
    </w:p>
    <w:p>
      <w:pPr>
        <w:pStyle w:val="Title"/>
        <w:spacing w:after="160"/>
      </w:pPr>
      <w:r>
        <w:t>Organiser une journée difficile</w:t>
      </w:r>
    </w:p>
    <w:p>
      <w:pPr>
        <w:spacing w:after="240"/>
      </w:pPr>
      <w:r>
        <w:rPr>
          <w:rFonts w:ascii="Aptos Display" w:hAnsi="Aptos Display"/>
          <w:color w:val="5C6361"/>
          <w:sz w:val="28"/>
        </w:rPr>
        <w:t>Préserver l’essentiel sans rester immobile toute la journée</w:t>
      </w:r>
    </w:p>
    <w:p>
      <w:pPr>
        <w:pStyle w:val="Heading2"/>
      </w:pPr>
      <w:r>
        <w:t>Choisir trois priorités</w:t>
      </w:r>
    </w:p>
    <w:p>
      <w:r>
        <w:rPr>
          <w:rFonts w:ascii="Aptos" w:hAnsi="Aptos"/>
          <w:b/>
          <w:sz w:val="19"/>
        </w:rPr>
        <w:t>Indispensable aujourd’hui</w:t>
      </w:r>
    </w:p>
    <w:p>
      <w:pPr>
        <w:spacing w:after="80"/>
      </w:pPr>
      <w:r>
        <w:rPr>
          <w:rFonts w:ascii="Aptos" w:hAnsi="Aptos"/>
          <w:color w:val="B4B8B6"/>
          <w:sz w:val="16"/>
        </w:rPr>
        <w:t>________________________________________________________________________________</w:t>
      </w:r>
    </w:p>
    <w:p>
      <w:r>
        <w:rPr>
          <w:rFonts w:ascii="Aptos" w:hAnsi="Aptos"/>
          <w:b/>
          <w:sz w:val="19"/>
        </w:rPr>
        <w:t>Peut être délégué</w:t>
      </w:r>
    </w:p>
    <w:p>
      <w:pPr>
        <w:spacing w:after="80"/>
      </w:pPr>
      <w:r>
        <w:rPr>
          <w:rFonts w:ascii="Aptos" w:hAnsi="Aptos"/>
          <w:color w:val="B4B8B6"/>
          <w:sz w:val="16"/>
        </w:rPr>
        <w:t>________________________________________________________________________________</w:t>
      </w:r>
    </w:p>
    <w:p>
      <w:r>
        <w:rPr>
          <w:rFonts w:ascii="Aptos" w:hAnsi="Aptos"/>
          <w:b/>
          <w:sz w:val="19"/>
        </w:rPr>
        <w:t>Peut attendre</w:t>
      </w:r>
    </w:p>
    <w:p>
      <w:pPr>
        <w:spacing w:after="80"/>
      </w:pPr>
      <w:r>
        <w:rPr>
          <w:rFonts w:ascii="Aptos" w:hAnsi="Aptos"/>
          <w:color w:val="B4B8B6"/>
          <w:sz w:val="16"/>
        </w:rPr>
        <w:t>________________________________________________________________________________</w:t>
      </w:r>
    </w:p>
    <w:p>
      <w:pPr>
        <w:pStyle w:val="Heading2"/>
      </w:pPr>
      <w:r>
        <w:t>Créer un rythme</w:t>
      </w:r>
    </w:p>
    <w:p>
      <w:pPr>
        <w:pStyle w:val="ListBullet"/>
        <w:ind w:left="283" w:hanging="142"/>
      </w:pPr>
      <w:r>
        <w:t>☐ alterner une tâche courte et un repos bref</w:t>
      </w:r>
    </w:p>
    <w:p>
      <w:pPr>
        <w:pStyle w:val="ListBullet"/>
        <w:ind w:left="283" w:hanging="142"/>
      </w:pPr>
      <w:r>
        <w:t>☐ changer de position avant une longue période figée</w:t>
      </w:r>
    </w:p>
    <w:p>
      <w:pPr>
        <w:pStyle w:val="ListBullet"/>
        <w:ind w:left="283" w:hanging="142"/>
      </w:pPr>
      <w:r>
        <w:t>☐ garder un déplacement simple dans la journée</w:t>
      </w:r>
    </w:p>
    <w:p>
      <w:pPr>
        <w:pStyle w:val="ListBullet"/>
        <w:ind w:left="283" w:hanging="142"/>
      </w:pPr>
      <w:r>
        <w:t>☐ préparer les objets avant de commencer une tâche</w:t>
      </w:r>
    </w:p>
    <w:p>
      <w:pPr>
        <w:pStyle w:val="Heading2"/>
      </w:pPr>
      <w:r>
        <w:t>Réduire la charge mentale</w:t>
      </w:r>
    </w:p>
    <w:p>
      <w:r>
        <w:t>Regroupez les justificatifs, ordonnances et factures dans une même pochette ou un dossier numérique. Demandez une information écrite avant une dépense importante si la prise en charge est incertaine.</w:t>
      </w:r>
    </w:p>
    <w:p>
      <w:r>
        <w:rPr>
          <w:rFonts w:ascii="Aptos" w:hAnsi="Aptos"/>
          <w:b/>
          <w:sz w:val="19"/>
        </w:rPr>
        <w:t>La personne que je peux appeler</w:t>
      </w:r>
    </w:p>
    <w:p>
      <w:pPr>
        <w:spacing w:after="80"/>
      </w:pPr>
      <w:r>
        <w:rPr>
          <w:rFonts w:ascii="Aptos" w:hAnsi="Aptos"/>
          <w:color w:val="B4B8B6"/>
          <w:sz w:val="16"/>
        </w:rPr>
        <w:t>________________________________________________________________________________</w:t>
      </w:r>
    </w:p>
    <w:p>
      <w:r>
        <w:rPr>
          <w:rFonts w:ascii="Aptos" w:hAnsi="Aptos"/>
          <w:b/>
          <w:sz w:val="19"/>
        </w:rPr>
        <w:t>Le réglage le plus utile aujourd’hui</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FICHE 05</w:t>
      </w:r>
    </w:p>
    <w:p>
      <w:pPr>
        <w:pStyle w:val="Title"/>
        <w:spacing w:after="160"/>
      </w:pPr>
      <w:r>
        <w:t>Bouger quand on travaille assis</w:t>
      </w:r>
    </w:p>
    <w:p>
      <w:pPr>
        <w:spacing w:after="240"/>
      </w:pPr>
      <w:r>
        <w:rPr>
          <w:rFonts w:ascii="Aptos Display" w:hAnsi="Aptos Display"/>
          <w:color w:val="5C6361"/>
          <w:sz w:val="28"/>
        </w:rPr>
        <w:t>Varier les positions plutôt que chercher la posture parfaite</w:t>
      </w:r>
    </w:p>
    <w:p>
      <w:pPr>
        <w:pStyle w:val="Heading2"/>
      </w:pPr>
      <w:r>
        <w:t>Objectif</w:t>
      </w:r>
    </w:p>
    <w:p>
      <w:r>
        <w:t>Réduire les longues périodes sans changement et conserver une activité professionnelle compatible avec la situation.</w:t>
      </w:r>
    </w:p>
    <w:p>
      <w:pPr>
        <w:pStyle w:val="Heading2"/>
      </w:pPr>
      <w:r>
        <w:t>Plan de la demi journée</w:t>
      </w:r>
    </w:p>
    <w:p>
      <w:pPr>
        <w:pStyle w:val="ListBullet"/>
        <w:ind w:left="283" w:hanging="142"/>
      </w:pPr>
      <w:r>
        <w:t>☐ pieds soutenus et écran lisible sans tension inutile</w:t>
      </w:r>
    </w:p>
    <w:p>
      <w:pPr>
        <w:pStyle w:val="ListBullet"/>
        <w:ind w:left="283" w:hanging="142"/>
      </w:pPr>
      <w:r>
        <w:t>☐ rappels de changement de position</w:t>
      </w:r>
    </w:p>
    <w:p>
      <w:pPr>
        <w:pStyle w:val="ListBullet"/>
        <w:ind w:left="283" w:hanging="142"/>
      </w:pPr>
      <w:r>
        <w:t>☐ appels réalisés debout si cela est plus confortable</w:t>
      </w:r>
    </w:p>
    <w:p>
      <w:pPr>
        <w:pStyle w:val="ListBullet"/>
        <w:ind w:left="283" w:hanging="142"/>
      </w:pPr>
      <w:r>
        <w:t>☐ courte marche ou déplacement entre deux blocs de travail</w:t>
      </w:r>
    </w:p>
    <w:p>
      <w:pPr>
        <w:pStyle w:val="Heading2"/>
      </w:pPr>
      <w:r>
        <w:t>Adaptations à discuter</w:t>
      </w:r>
    </w:p>
    <w:p>
      <w:pPr>
        <w:pStyle w:val="ListBullet"/>
        <w:ind w:left="283" w:hanging="142"/>
      </w:pPr>
      <w:r>
        <w:t>alternance temporaire des tâches</w:t>
      </w:r>
    </w:p>
    <w:p>
      <w:pPr>
        <w:pStyle w:val="ListBullet"/>
        <w:ind w:left="283" w:hanging="142"/>
      </w:pPr>
      <w:r>
        <w:t>réduction des charges ou des déplacements</w:t>
      </w:r>
    </w:p>
    <w:p>
      <w:pPr>
        <w:pStyle w:val="ListBullet"/>
        <w:ind w:left="283" w:hanging="142"/>
      </w:pPr>
      <w:r>
        <w:t>horaires ou reprise progressive selon avis médical</w:t>
      </w:r>
    </w:p>
    <w:p>
      <w:pPr>
        <w:pStyle w:val="ListBullet"/>
        <w:ind w:left="283" w:hanging="142"/>
      </w:pPr>
      <w:r>
        <w:t>évaluation par le médecin du travail si la reprise est difficile</w:t>
      </w:r>
    </w:p>
    <w:p>
      <w:r>
        <w:rPr>
          <w:rFonts w:ascii="Aptos" w:hAnsi="Aptos"/>
          <w:b/>
          <w:sz w:val="19"/>
        </w:rPr>
        <w:t>Mon changement de position le plus simple</w:t>
      </w:r>
    </w:p>
    <w:p>
      <w:pPr>
        <w:spacing w:after="80"/>
      </w:pPr>
      <w:r>
        <w:rPr>
          <w:rFonts w:ascii="Aptos" w:hAnsi="Aptos"/>
          <w:color w:val="B4B8B6"/>
          <w:sz w:val="16"/>
        </w:rPr>
        <w:t>________________________________________________________________________________</w:t>
      </w:r>
    </w:p>
    <w:p>
      <w:r>
        <w:rPr>
          <w:rFonts w:ascii="Aptos" w:hAnsi="Aptos"/>
          <w:b/>
          <w:sz w:val="19"/>
        </w:rPr>
        <w:t>L’adaptation à demander</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FICHE 06</w:t>
      </w:r>
    </w:p>
    <w:p>
      <w:pPr>
        <w:pStyle w:val="Title"/>
        <w:spacing w:after="160"/>
      </w:pPr>
      <w:r>
        <w:t>Préparer la nuit</w:t>
      </w:r>
    </w:p>
    <w:p>
      <w:pPr>
        <w:spacing w:after="240"/>
      </w:pPr>
      <w:r>
        <w:rPr>
          <w:rFonts w:ascii="Aptos Display" w:hAnsi="Aptos Display"/>
          <w:color w:val="5C6361"/>
          <w:sz w:val="28"/>
        </w:rPr>
        <w:t>Chercher le confort sans imposer une position unique</w:t>
      </w:r>
    </w:p>
    <w:p>
      <w:pPr>
        <w:pStyle w:val="Heading2"/>
      </w:pPr>
      <w:r>
        <w:t>Avant de vous coucher</w:t>
      </w:r>
    </w:p>
    <w:p>
      <w:pPr>
        <w:pStyle w:val="ListBullet"/>
        <w:ind w:left="283" w:hanging="142"/>
      </w:pPr>
      <w:r>
        <w:t>☐ préparez le trajet nocturne et un éclairage accessible</w:t>
      </w:r>
    </w:p>
    <w:p>
      <w:pPr>
        <w:pStyle w:val="ListBullet"/>
        <w:ind w:left="283" w:hanging="142"/>
      </w:pPr>
      <w:r>
        <w:t>☐ placez les objets utiles à portée sans encombrer le passage</w:t>
      </w:r>
    </w:p>
    <w:p>
      <w:pPr>
        <w:pStyle w:val="ListBullet"/>
        <w:ind w:left="283" w:hanging="142"/>
      </w:pPr>
      <w:r>
        <w:t>☐ testez un coussin sous ou entre les jambes si cela améliore le confort</w:t>
      </w:r>
    </w:p>
    <w:p>
      <w:pPr>
        <w:pStyle w:val="ListBullet"/>
        <w:ind w:left="283" w:hanging="142"/>
      </w:pPr>
      <w:r>
        <w:t>☐ préparez une façon de vous relever en plusieurs temps</w:t>
      </w:r>
    </w:p>
    <w:p>
      <w:pPr>
        <w:pStyle w:val="Heading2"/>
      </w:pPr>
      <w:r>
        <w:t>Si le sommeil est interrompu</w:t>
      </w:r>
    </w:p>
    <w:p>
      <w:r>
        <w:t>Changez de position, levez vous quelques instants si cela vous aide, puis revenez au lit. Évitez d’interpréter une mauvaise nuit comme la preuve d’une aggravation. Demandez un avis si la douleur nocturne est incessante, s’aggrave ou s’accompagne d’autres signes d’alerte.</w:t>
      </w:r>
    </w:p>
    <w:p>
      <w:r>
        <w:rPr>
          <w:rFonts w:ascii="Aptos" w:hAnsi="Aptos"/>
          <w:b/>
          <w:sz w:val="19"/>
        </w:rPr>
        <w:t>Position la plus confortable</w:t>
      </w:r>
    </w:p>
    <w:p>
      <w:pPr>
        <w:spacing w:after="80"/>
      </w:pPr>
      <w:r>
        <w:rPr>
          <w:rFonts w:ascii="Aptos" w:hAnsi="Aptos"/>
          <w:color w:val="B4B8B6"/>
          <w:sz w:val="16"/>
        </w:rPr>
        <w:t>________________________________________________________________________________</w:t>
      </w:r>
    </w:p>
    <w:p>
      <w:r>
        <w:rPr>
          <w:rFonts w:ascii="Aptos" w:hAnsi="Aptos"/>
          <w:b/>
          <w:sz w:val="19"/>
        </w:rPr>
        <w:t>Ce qui facilite le lever</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FICHE 07</w:t>
      </w:r>
    </w:p>
    <w:p>
      <w:pPr>
        <w:pStyle w:val="Title"/>
        <w:spacing w:after="160"/>
      </w:pPr>
      <w:r>
        <w:t>Utiliser une aide à la marche</w:t>
      </w:r>
    </w:p>
    <w:p>
      <w:pPr>
        <w:spacing w:after="240"/>
      </w:pPr>
      <w:r>
        <w:rPr>
          <w:rFonts w:ascii="Aptos Display" w:hAnsi="Aptos Display"/>
          <w:color w:val="5C6361"/>
          <w:sz w:val="28"/>
        </w:rPr>
        <w:t>Sécuriser le déplacement avant de chercher la distance</w:t>
      </w:r>
    </w:p>
    <w:p>
      <w:pPr>
        <w:jc w:val="center"/>
      </w:pPr>
      <w:r>
        <w:drawing>
          <wp:inline xmlns:a="http://schemas.openxmlformats.org/drawingml/2006/main" xmlns:pic="http://schemas.openxmlformats.org/drawingml/2006/picture">
            <wp:extent cx="4392000" cy="2928000"/>
            <wp:docPr id="2" name="Picture 2"/>
            <wp:cNvGraphicFramePr>
              <a:graphicFrameLocks noChangeAspect="1"/>
            </wp:cNvGraphicFramePr>
            <a:graphic>
              <a:graphicData uri="http://schemas.openxmlformats.org/drawingml/2006/picture">
                <pic:pic>
                  <pic:nvPicPr>
                    <pic:cNvPr id="0" name="bequilles-mobilite.png"/>
                    <pic:cNvPicPr/>
                  </pic:nvPicPr>
                  <pic:blipFill>
                    <a:blip r:embed="rId12"/>
                    <a:stretch>
                      <a:fillRect/>
                    </a:stretch>
                  </pic:blipFill>
                  <pic:spPr>
                    <a:xfrm>
                      <a:off x="0" y="0"/>
                      <a:ext cx="4392000" cy="2928000"/>
                    </a:xfrm>
                    <a:prstGeom prst="rect"/>
                  </pic:spPr>
                </pic:pic>
              </a:graphicData>
            </a:graphic>
          </wp:inline>
        </w:drawing>
      </w:r>
    </w:p>
    <w:p>
      <w:pPr>
        <w:spacing w:after="160"/>
        <w:jc w:val="center"/>
      </w:pPr>
      <w:r>
        <w:rPr>
          <w:rFonts w:ascii="Aptos" w:hAnsi="Aptos"/>
          <w:color w:val="5C6361"/>
          <w:sz w:val="16"/>
        </w:rPr>
        <w:t>Une aide utile doit être réglée et utilisée correctement</w:t>
      </w:r>
    </w:p>
    <w:p>
      <w:pPr>
        <w:pStyle w:val="Heading2"/>
      </w:pPr>
      <w:r>
        <w:t>Avant l’utilisation</w:t>
      </w:r>
    </w:p>
    <w:p>
      <w:pPr>
        <w:pStyle w:val="ListBullet"/>
        <w:ind w:left="283" w:hanging="142"/>
      </w:pPr>
      <w:r>
        <w:t>☐ vérifiez l’état des embouts et la stabilité</w:t>
      </w:r>
    </w:p>
    <w:p>
      <w:pPr>
        <w:pStyle w:val="ListBullet"/>
        <w:ind w:left="283" w:hanging="142"/>
      </w:pPr>
      <w:r>
        <w:t>☐ portez des chaussures stables</w:t>
      </w:r>
    </w:p>
    <w:p>
      <w:pPr>
        <w:pStyle w:val="ListBullet"/>
        <w:ind w:left="283" w:hanging="142"/>
      </w:pPr>
      <w:r>
        <w:t>☐ dégagez les tapis et obstacles</w:t>
      </w:r>
    </w:p>
    <w:p>
      <w:pPr>
        <w:pStyle w:val="ListBullet"/>
        <w:ind w:left="283" w:hanging="142"/>
      </w:pPr>
      <w:r>
        <w:t>☐ utilisez l’aide selon le réglage et les consignes reçues</w:t>
      </w:r>
    </w:p>
    <w:p>
      <w:r>
        <w:t>Une canne ou des béquilles utilisées pour la première fois méritent un conseil professionnel. La hauteur, le côté d’utilisation et la séquence de marche dépendent de votre situation.</w:t>
      </w:r>
    </w:p>
    <w:p>
      <w:pPr>
        <w:pStyle w:val="Heading2"/>
      </w:pPr>
      <w:r>
        <w:t>Règle d’arrêt</w:t>
      </w:r>
    </w:p>
    <w:p>
      <w:r>
        <w:t>Arrêtez si l’aide augmente le risque de chute, provoque un malaise ou s’accompagne d’une faiblesse nouvelle. Demandez de l’aide pour les escaliers si vous n’avez pas appris la technique adaptée.</w:t>
      </w:r>
    </w:p>
    <w:p>
      <w:r>
        <w:br w:type="page"/>
      </w:r>
    </w:p>
    <w:p>
      <w:pPr>
        <w:spacing w:after="80"/>
      </w:pPr>
      <w:r>
        <w:rPr>
          <w:rFonts w:ascii="Aptos" w:hAnsi="Aptos"/>
          <w:b/>
          <w:color w:val="DC674B"/>
          <w:sz w:val="17"/>
        </w:rPr>
        <w:t>FICHE 08</w:t>
      </w:r>
    </w:p>
    <w:p>
      <w:pPr>
        <w:pStyle w:val="Title"/>
        <w:spacing w:after="160"/>
      </w:pPr>
      <w:r>
        <w:t>Faire le bilan de la semaine</w:t>
      </w:r>
    </w:p>
    <w:p>
      <w:pPr>
        <w:spacing w:after="240"/>
      </w:pPr>
      <w:r>
        <w:rPr>
          <w:rFonts w:ascii="Aptos Display" w:hAnsi="Aptos Display"/>
          <w:color w:val="5C6361"/>
          <w:sz w:val="28"/>
        </w:rPr>
        <w:t>Transformer les observations en une seule décision</w:t>
      </w:r>
    </w:p>
    <w:p>
      <w:r>
        <w:rPr>
          <w:rFonts w:ascii="Aptos" w:hAnsi="Aptos"/>
          <w:b/>
          <w:sz w:val="19"/>
        </w:rPr>
        <w:t>Une activité devenue plus facile</w:t>
      </w:r>
    </w:p>
    <w:p>
      <w:pPr>
        <w:spacing w:after="80"/>
      </w:pPr>
      <w:r>
        <w:rPr>
          <w:rFonts w:ascii="Aptos" w:hAnsi="Aptos"/>
          <w:color w:val="B4B8B6"/>
          <w:sz w:val="16"/>
        </w:rPr>
        <w:t>________________________________________________________________________________</w:t>
      </w:r>
    </w:p>
    <w:p>
      <w:r>
        <w:rPr>
          <w:rFonts w:ascii="Aptos" w:hAnsi="Aptos"/>
          <w:b/>
          <w:sz w:val="19"/>
        </w:rPr>
        <w:t>Une activité encore évitée</w:t>
      </w:r>
    </w:p>
    <w:p>
      <w:pPr>
        <w:spacing w:after="80"/>
      </w:pPr>
      <w:r>
        <w:rPr>
          <w:rFonts w:ascii="Aptos" w:hAnsi="Aptos"/>
          <w:color w:val="B4B8B6"/>
          <w:sz w:val="16"/>
        </w:rPr>
        <w:t>________________________________________________________________________________</w:t>
      </w:r>
    </w:p>
    <w:p>
      <w:r>
        <w:rPr>
          <w:rFonts w:ascii="Aptos" w:hAnsi="Aptos"/>
          <w:b/>
          <w:sz w:val="19"/>
        </w:rPr>
        <w:t>Une réponse du corps devenue plus prévisible</w:t>
      </w:r>
    </w:p>
    <w:p>
      <w:pPr>
        <w:spacing w:after="80"/>
      </w:pPr>
      <w:r>
        <w:rPr>
          <w:rFonts w:ascii="Aptos" w:hAnsi="Aptos"/>
          <w:color w:val="B4B8B6"/>
          <w:sz w:val="16"/>
        </w:rPr>
        <w:t>________________________________________________________________________________</w:t>
      </w:r>
    </w:p>
    <w:p>
      <w:r>
        <w:rPr>
          <w:rFonts w:ascii="Aptos" w:hAnsi="Aptos"/>
          <w:b/>
          <w:sz w:val="19"/>
        </w:rPr>
        <w:t>Un réglage qui m’aide</w:t>
      </w:r>
    </w:p>
    <w:p>
      <w:pPr>
        <w:spacing w:after="80"/>
      </w:pPr>
      <w:r>
        <w:rPr>
          <w:rFonts w:ascii="Aptos" w:hAnsi="Aptos"/>
          <w:color w:val="B4B8B6"/>
          <w:sz w:val="16"/>
        </w:rPr>
        <w:t>________________________________________________________________________________</w:t>
      </w:r>
    </w:p>
    <w:p>
      <w:r>
        <w:rPr>
          <w:rFonts w:ascii="Aptos" w:hAnsi="Aptos"/>
          <w:b/>
          <w:sz w:val="19"/>
        </w:rPr>
        <w:t>Un signe qui justifie un avis</w:t>
      </w:r>
    </w:p>
    <w:p>
      <w:pPr>
        <w:spacing w:after="80"/>
      </w:pPr>
      <w:r>
        <w:rPr>
          <w:rFonts w:ascii="Aptos" w:hAnsi="Aptos"/>
          <w:color w:val="B4B8B6"/>
          <w:sz w:val="16"/>
        </w:rPr>
        <w:t>________________________________________________________________________________</w:t>
      </w:r>
    </w:p>
    <w:p>
      <w:pPr>
        <w:pStyle w:val="Heading2"/>
      </w:pPr>
      <w:r>
        <w:t>Décision</w:t>
      </w:r>
    </w:p>
    <w:p>
      <w:pPr>
        <w:pStyle w:val="ListBullet"/>
        <w:ind w:left="283" w:hanging="142"/>
      </w:pPr>
      <w:r>
        <w:t>☐ Je conserve la même dose une semaine de plus.</w:t>
      </w:r>
    </w:p>
    <w:p>
      <w:pPr>
        <w:pStyle w:val="ListBullet"/>
        <w:ind w:left="283" w:hanging="142"/>
      </w:pPr>
      <w:r>
        <w:t>☐ J’augmente un seul paramètre.</w:t>
      </w:r>
    </w:p>
    <w:p>
      <w:pPr>
        <w:pStyle w:val="ListBullet"/>
        <w:ind w:left="283" w:hanging="142"/>
      </w:pPr>
      <w:r>
        <w:t>☐ Je réduis et je demande conseil.</w:t>
      </w:r>
    </w:p>
    <w:p>
      <w:pPr>
        <w:pStyle w:val="ListBullet"/>
        <w:ind w:left="283" w:hanging="142"/>
      </w:pPr>
      <w:r>
        <w:t>☐ Je consulte car les symptômes ont changé ou restent très limitants.</w:t>
      </w:r>
    </w:p>
    <w:p>
      <w:r>
        <w:rPr>
          <w:rFonts w:ascii="Aptos" w:hAnsi="Aptos"/>
          <w:b/>
          <w:sz w:val="19"/>
        </w:rPr>
        <w:t>Mon prochain rendez vous avec moi même</w:t>
      </w:r>
    </w:p>
    <w:p>
      <w:pPr>
        <w:spacing w:after="80"/>
      </w:pPr>
      <w:r>
        <w:rPr>
          <w:rFonts w:ascii="Aptos" w:hAnsi="Aptos"/>
          <w:color w:val="B4B8B6"/>
          <w:sz w:val="16"/>
        </w:rPr>
        <w:t>________________________________________________________________________________</w:t>
      </w:r>
    </w:p>
    <w:p>
      <w:r>
        <w:rPr>
          <w:rFonts w:ascii="Aptos" w:hAnsi="Aptos"/>
          <w:b/>
          <w:sz w:val="19"/>
        </w:rPr>
        <w:t>L’action choisie</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RÉFÉRENCES</w:t>
      </w:r>
    </w:p>
    <w:p>
      <w:pPr>
        <w:pStyle w:val="Title"/>
        <w:spacing w:after="160"/>
      </w:pPr>
      <w:r>
        <w:t>Sources et validation éditoriale</w:t>
      </w:r>
    </w:p>
    <w:p>
      <w:pPr>
        <w:pStyle w:val="Heading1"/>
      </w:pPr>
      <w:r>
        <w:t>Sources de référence</w:t>
      </w:r>
    </w:p>
    <w:p>
      <w:pPr>
        <w:pStyle w:val="ListBullet"/>
      </w:pPr>
      <w:hyperlink r:id="rId13">
        <w:r>
          <w:rPr>
            <w:color w:val="0D3B33"/>
            <w:u w:val="single"/>
          </w:rPr>
          <w:t>Haute Autorité de santé  Prise en charge du patient présentant une lombalgie commune</w:t>
        </w:r>
      </w:hyperlink>
    </w:p>
    <w:p>
      <w:pPr>
        <w:pStyle w:val="ListBullet"/>
      </w:pPr>
      <w:hyperlink r:id="rId14">
        <w:r>
          <w:rPr>
            <w:color w:val="0D3B33"/>
            <w:u w:val="single"/>
          </w:rPr>
          <w:t>Assurance Maladie  Lombalgie ou mal de dos</w:t>
        </w:r>
      </w:hyperlink>
    </w:p>
    <w:p>
      <w:pPr>
        <w:pStyle w:val="ListBullet"/>
      </w:pPr>
      <w:hyperlink r:id="rId15">
        <w:r>
          <w:rPr>
            <w:color w:val="0D3B33"/>
            <w:u w:val="single"/>
          </w:rPr>
          <w:t>Assurance Maladie  Le bon traitement est le mouvement</w:t>
        </w:r>
      </w:hyperlink>
    </w:p>
    <w:p>
      <w:pPr>
        <w:pStyle w:val="ListBullet"/>
      </w:pPr>
      <w:hyperlink r:id="rId16">
        <w:r>
          <w:rPr>
            <w:color w:val="0D3B33"/>
            <w:u w:val="single"/>
          </w:rPr>
          <w:t>Assurance Maladie  Éviter le passage à la chronicité</w:t>
        </w:r>
      </w:hyperlink>
    </w:p>
    <w:p>
      <w:pPr>
        <w:pStyle w:val="ListBullet"/>
      </w:pPr>
      <w:hyperlink r:id="rId17">
        <w:r>
          <w:rPr>
            <w:color w:val="0D3B33"/>
            <w:u w:val="single"/>
          </w:rPr>
          <w:t>Organisation mondiale de la Santé  Guideline on chronic primary low back pain</w:t>
        </w:r>
      </w:hyperlink>
    </w:p>
    <w:p>
      <w:r>
        <w:t>Sources consultées le 4 octobre 2026. Le manuscrit reformule les informations. Il ne reproduit pas les recommandations et ne se substitue pas à leur lecture par le relecteur médical.</w:t>
      </w:r>
    </w:p>
    <w:p>
      <w:pPr>
        <w:pStyle w:val="Heading2"/>
      </w:pPr>
      <w:r>
        <w:t>Étapes de production restantes</w:t>
      </w:r>
    </w:p>
    <w:p>
      <w:pPr>
        <w:pStyle w:val="ListBullet"/>
        <w:ind w:left="283" w:hanging="142"/>
      </w:pPr>
      <w:r>
        <w:t>faire valider chaque règle d’arrêt par un professionnel de santé</w:t>
      </w:r>
    </w:p>
    <w:p>
      <w:pPr>
        <w:pStyle w:val="ListBullet"/>
        <w:ind w:left="283" w:hanging="142"/>
      </w:pPr>
      <w:r>
        <w:t>créer une version une page recto pour les fiches 1 à 6</w:t>
      </w:r>
    </w:p>
    <w:p>
      <w:pPr>
        <w:pStyle w:val="ListBullet"/>
        <w:ind w:left="283" w:hanging="142"/>
      </w:pPr>
      <w:r>
        <w:t>tester l’impression en noir et blanc et sur téléphone</w:t>
      </w:r>
    </w:p>
    <w:p>
      <w:pPr>
        <w:pStyle w:val="ListBullet"/>
        <w:ind w:left="283" w:hanging="142"/>
      </w:pPr>
      <w:r>
        <w:t>ajouter un QR vers les mises à jour et la date de révision</w:t>
      </w:r>
    </w:p>
    <w:sectPr w:rsidR="00FC693F" w:rsidRPr="0006063C" w:rsidSect="00034616">
      <w:headerReference w:type="default" r:id="rId9"/>
      <w:footerReference w:type="default" r:id="rId10"/>
      <w:pgSz w:w="11906" w:h="16838"/>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361"/>
        <w:sz w:val="15"/>
      </w:rPr>
      <w:t xml:space="preserve">Document de travail 0.1   •   Relecture médicale obligatoire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361"/>
        <w:sz w:val="15"/>
      </w:rPr>
      <w:t>LE RÉFLEXE DOS   ·   FICHES PRATIQUES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81D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ptos Display" w:hAnsi="Aptos Display"/>
      <w:b/>
      <w:bCs/>
      <w:color w:val="181D1C"/>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81D1C"/>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181D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181D1C"/>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has-sante.fr/jcms/c_2961499/" TargetMode="External"/><Relationship Id="rId14" Type="http://schemas.openxmlformats.org/officeDocument/2006/relationships/hyperlink" Target="https://www.ameli.fr/assure/sante/themes/lombalgie-aigue/comprendre-lombalgie" TargetMode="External"/><Relationship Id="rId15" Type="http://schemas.openxmlformats.org/officeDocument/2006/relationships/hyperlink" Target="https://www.ameli.fr/assure/sante/themes/lombalgie-aigue/traitement-prevention" TargetMode="External"/><Relationship Id="rId16" Type="http://schemas.openxmlformats.org/officeDocument/2006/relationships/hyperlink" Target="https://www.ameli.fr/assure/sante/themes/lombalgie-aigue/lombalgie-subaigue-chronique" TargetMode="External"/><Relationship Id="rId17" Type="http://schemas.openxmlformats.org/officeDocument/2006/relationships/hyperlink" Target="https://www.who.int/publications/i/item/97892400817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Prototype éditorial destiné à une relecture médicale et utilisateur</dc:subject>
  <dc:creator>Le Réflexe Dos</dc:creator>
  <cp:keywords/>
  <dc:description>Version 0.1 produite le 4 octobre 2026</dc:description>
  <cp:lastModifiedBy/>
  <cp:revision>1</cp:revision>
  <dcterms:created xsi:type="dcterms:W3CDTF">2013-12-23T23:15:00Z</dcterms:created>
  <dcterms:modified xsi:type="dcterms:W3CDTF">2013-12-23T23:15:00Z</dcterms:modified>
  <cp:category/>
</cp:coreProperties>
</file>