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621" w:rsidRPr="00764A74" w:rsidRDefault="008B4F64" w:rsidP="00AC23D7">
      <w:pPr>
        <w:ind w:firstLine="360"/>
        <w:jc w:val="center"/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t xml:space="preserve">Goodness-of-Fit Test for a </w:t>
      </w:r>
      <w:r w:rsidR="0004504D">
        <w:rPr>
          <w:rFonts w:eastAsiaTheme="minorEastAsia"/>
          <w:b/>
          <w:sz w:val="28"/>
          <w:szCs w:val="28"/>
          <w:u w:val="single"/>
        </w:rPr>
        <w:t xml:space="preserve">Single </w:t>
      </w:r>
      <w:r>
        <w:rPr>
          <w:rFonts w:eastAsiaTheme="minorEastAsia"/>
          <w:b/>
          <w:sz w:val="28"/>
          <w:szCs w:val="28"/>
          <w:u w:val="single"/>
        </w:rPr>
        <w:t>Categorical Variable</w:t>
      </w:r>
    </w:p>
    <w:p w:rsidR="00CF1FCC" w:rsidRDefault="00CF1FCC" w:rsidP="00CF1FCC">
      <w:pPr>
        <w:rPr>
          <w:rFonts w:eastAsiaTheme="minorEastAsia"/>
        </w:rPr>
      </w:pPr>
    </w:p>
    <w:p w:rsidR="00CF1FCC" w:rsidRPr="001F09AF" w:rsidRDefault="00CF1FCC" w:rsidP="00CF1FCC">
      <w:r w:rsidRPr="00CF1FCC">
        <w:rPr>
          <w:rFonts w:eastAsiaTheme="minorEastAsia"/>
        </w:rPr>
        <w:t>Goodness-of-Fit tests test whether or not a categorical variable fits a particular multinomial probability distribution. A multinomial</w:t>
      </w:r>
      <w:r>
        <w:t xml:space="preserve"> probability distribution </w:t>
      </w:r>
      <w:r w:rsidRPr="001F09AF">
        <w:t xml:space="preserve">gives the probabilities for </w:t>
      </w:r>
      <w:r>
        <w:t>three</w:t>
      </w:r>
      <w:r w:rsidRPr="001F09AF">
        <w:t xml:space="preserve"> or more categorical outcomes</w:t>
      </w:r>
      <w:r>
        <w:t xml:space="preserve"> of a given variable</w:t>
      </w:r>
      <w:r w:rsidRPr="001F09AF">
        <w:t>. The multinomial probability distribution for</w:t>
      </w:r>
      <w:r>
        <w:t xml:space="preserve"> a variable with</w:t>
      </w:r>
      <w:r w:rsidRPr="001F09AF">
        <w:t xml:space="preserve"> </w:t>
      </w:r>
      <m:oMath>
        <m:r>
          <w:rPr>
            <w:rFonts w:ascii="Cambria Math" w:hAnsi="Cambria Math"/>
          </w:rPr>
          <m:t xml:space="preserve">k </m:t>
        </m:r>
      </m:oMath>
      <w:r w:rsidRPr="001F09AF">
        <w:t>categorical outcomes is:</w:t>
      </w:r>
    </w:p>
    <w:p w:rsidR="00CF1FCC" w:rsidRPr="001F09AF" w:rsidRDefault="00FA45BF" w:rsidP="00CF1FCC">
      <w:pPr>
        <w:pStyle w:val="ListParagraph"/>
        <w:spacing w:line="276" w:lineRule="auto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=probability of an outcome being in category 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=probability of an outcome being in category 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…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=probability of an outcome being in category k</m:t>
          </m:r>
        </m:oMath>
      </m:oMathPara>
    </w:p>
    <w:p w:rsidR="00CF1FCC" w:rsidRPr="001F09AF" w:rsidRDefault="00CF1FCC" w:rsidP="00CF1FCC">
      <w:pPr>
        <w:pStyle w:val="ListParagraph"/>
        <w:ind w:left="360"/>
        <w:rPr>
          <w:rFonts w:eastAsiaTheme="minorEastAsia"/>
        </w:rPr>
      </w:pPr>
      <w:r w:rsidRPr="001F09AF">
        <w:rPr>
          <w:rFonts w:eastAsiaTheme="minorEastAsia"/>
        </w:rPr>
        <w:tab/>
      </w:r>
      <w:r w:rsidRPr="001F09AF">
        <w:rPr>
          <w:rFonts w:eastAsiaTheme="minorEastAsia"/>
        </w:rPr>
        <w:tab/>
      </w:r>
    </w:p>
    <w:p w:rsidR="00CF1FCC" w:rsidRPr="001F09AF" w:rsidRDefault="00CF1FCC" w:rsidP="00CF1FCC">
      <w:pPr>
        <w:pStyle w:val="ListParagraph"/>
        <w:ind w:left="1800" w:firstLine="360"/>
        <w:rPr>
          <w:rFonts w:eastAsiaTheme="minorEastAsia"/>
        </w:rPr>
      </w:pPr>
      <w:r w:rsidRPr="001F09AF">
        <w:rPr>
          <w:rFonts w:eastAsiaTheme="minorEastAsia"/>
        </w:rPr>
        <w:t>where</w:t>
      </w:r>
    </w:p>
    <w:p w:rsidR="00CF1FCC" w:rsidRPr="001F09AF" w:rsidRDefault="00FA45BF" w:rsidP="00CF1FCC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are probabilities between 0 and 1</m:t>
          </m:r>
        </m:oMath>
      </m:oMathPara>
    </w:p>
    <w:p w:rsidR="00CF1FCC" w:rsidRPr="001F09AF" w:rsidRDefault="00CF1FCC" w:rsidP="00CF1FCC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k=the number of categories in the variable</m:t>
          </m:r>
        </m:oMath>
      </m:oMathPara>
    </w:p>
    <w:p w:rsidR="00CF1FCC" w:rsidRPr="001F09AF" w:rsidRDefault="00CF1FCC" w:rsidP="00CF1FCC">
      <w:pPr>
        <w:pStyle w:val="ListParagraph"/>
        <w:ind w:left="360"/>
        <w:rPr>
          <w:rFonts w:eastAsiaTheme="minorEastAsia"/>
        </w:rPr>
      </w:pPr>
    </w:p>
    <w:p w:rsidR="0073105B" w:rsidRDefault="0073105B" w:rsidP="0073105B">
      <w:pPr>
        <w:pStyle w:val="ListParagraph"/>
        <w:ind w:left="360"/>
        <w:rPr>
          <w:rFonts w:eastAsiaTheme="minorEastAsia"/>
        </w:rPr>
      </w:pPr>
    </w:p>
    <w:p w:rsidR="00042EFF" w:rsidRPr="001F09AF" w:rsidRDefault="00764A74" w:rsidP="00CF1FCC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001F09AF">
        <w:rPr>
          <w:rFonts w:eastAsiaTheme="minorEastAsia"/>
          <w:b/>
          <w:u w:val="single"/>
        </w:rPr>
        <w:t>Formulating the Hypotheses</w:t>
      </w:r>
      <w:r w:rsidRPr="001F09AF">
        <w:rPr>
          <w:rFonts w:eastAsiaTheme="minorEastAsia"/>
        </w:rPr>
        <w:t xml:space="preserve">: </w:t>
      </w:r>
      <w:r w:rsidR="00042EFF" w:rsidRPr="001F09AF">
        <w:rPr>
          <w:rFonts w:eastAsiaTheme="minorEastAsia"/>
        </w:rPr>
        <w:t xml:space="preserve">There is only one </w:t>
      </w:r>
      <w:r w:rsidR="00B16B6A">
        <w:rPr>
          <w:rFonts w:eastAsiaTheme="minorEastAsia"/>
        </w:rPr>
        <w:t>set</w:t>
      </w:r>
      <w:r w:rsidR="00042EFF" w:rsidRPr="001F09AF">
        <w:rPr>
          <w:rFonts w:eastAsiaTheme="minorEastAsia"/>
        </w:rPr>
        <w:t xml:space="preserve"> of hypotheses for goodness-of-fit tests</w:t>
      </w:r>
      <w:r w:rsidR="009753E4" w:rsidRPr="001F09AF">
        <w:rPr>
          <w:rFonts w:eastAsiaTheme="minorEastAsia"/>
        </w:rPr>
        <w:t>, and it incorporates a multinomial probability distribution</w:t>
      </w:r>
      <w:r w:rsidR="00A903D0" w:rsidRPr="001F09AF">
        <w:rPr>
          <w:rFonts w:eastAsiaTheme="minorEastAsia"/>
        </w:rPr>
        <w:t>.</w:t>
      </w:r>
      <w:r w:rsidR="00654E95" w:rsidRPr="001F09AF">
        <w:rPr>
          <w:rFonts w:eastAsiaTheme="minorEastAsia"/>
        </w:rPr>
        <w:t xml:space="preserve"> </w:t>
      </w:r>
      <w:r w:rsidR="008E0BC3">
        <w:rPr>
          <w:rFonts w:eastAsiaTheme="minorEastAsia"/>
        </w:rPr>
        <w:t xml:space="preserve">You </w:t>
      </w:r>
      <w:r w:rsidR="008E0BC3" w:rsidRPr="000A24FD">
        <w:rPr>
          <w:rFonts w:eastAsiaTheme="minorEastAsia"/>
          <w:b/>
        </w:rPr>
        <w:t>must fill in the probabilities</w:t>
      </w:r>
      <w:r w:rsidR="008E0B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E0BC3">
        <w:rPr>
          <w:rFonts w:eastAsiaTheme="minorEastAsia"/>
        </w:rPr>
        <w:t xml:space="preserve"> for each problem.</w:t>
      </w:r>
    </w:p>
    <w:p w:rsidR="00214E3D" w:rsidRPr="001F09AF" w:rsidRDefault="00214E3D" w:rsidP="00042EFF">
      <w:pPr>
        <w:pStyle w:val="ListParagraph"/>
        <w:ind w:left="360"/>
        <w:rPr>
          <w:rFonts w:eastAsiaTheme="minorEastAsi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015"/>
      </w:tblGrid>
      <w:tr w:rsidR="00214E3D" w:rsidRPr="001F09AF" w:rsidTr="000B59EE">
        <w:tc>
          <w:tcPr>
            <w:tcW w:w="7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14E3D" w:rsidRPr="001F09AF" w:rsidRDefault="00214E3D" w:rsidP="00654E95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 w:rsidRPr="001F09AF">
              <w:rPr>
                <w:rFonts w:eastAsiaTheme="minorEastAsia"/>
                <w:b/>
              </w:rPr>
              <w:t>Hypotheses for Goodness-of-Fit Tests</w:t>
            </w:r>
          </w:p>
        </w:tc>
      </w:tr>
      <w:tr w:rsidR="00214E3D" w:rsidRPr="001F09AF" w:rsidTr="000B59EE">
        <w:tc>
          <w:tcPr>
            <w:tcW w:w="701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B59EE" w:rsidRPr="001F09AF" w:rsidRDefault="000B59EE" w:rsidP="00654E95">
            <w:pPr>
              <w:pStyle w:val="ListParagraph"/>
              <w:spacing w:line="276" w:lineRule="auto"/>
              <w:ind w:left="0"/>
              <w:rPr>
                <w:rFonts w:eastAsiaTheme="minorEastAsia"/>
              </w:rPr>
            </w:pPr>
          </w:p>
          <w:p w:rsidR="00214E3D" w:rsidRPr="001F09AF" w:rsidRDefault="00FA45BF" w:rsidP="00654E95">
            <w:pPr>
              <w:pStyle w:val="ListParagraph"/>
              <w:spacing w:line="276" w:lineRule="auto"/>
              <w:ind w:left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:The probability distribution is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b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b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b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  <w:p w:rsidR="00654E95" w:rsidRPr="001F09AF" w:rsidRDefault="00FA45BF" w:rsidP="00654E95">
            <w:pPr>
              <w:pStyle w:val="ListParagraph"/>
              <w:spacing w:line="276" w:lineRule="auto"/>
              <w:ind w:left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:The probability distribution is not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b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b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b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  <w:p w:rsidR="000B59EE" w:rsidRPr="001F09AF" w:rsidRDefault="000B59EE" w:rsidP="00654E95">
            <w:pPr>
              <w:pStyle w:val="ListParagraph"/>
              <w:spacing w:line="276" w:lineRule="auto"/>
              <w:ind w:left="0"/>
              <w:rPr>
                <w:rFonts w:eastAsiaTheme="minorEastAsia"/>
              </w:rPr>
            </w:pPr>
          </w:p>
        </w:tc>
      </w:tr>
      <w:tr w:rsidR="00214E3D" w:rsidRPr="001F09AF" w:rsidTr="000B59EE">
        <w:tc>
          <w:tcPr>
            <w:tcW w:w="7015" w:type="dxa"/>
            <w:tcBorders>
              <w:left w:val="single" w:sz="8" w:space="0" w:color="auto"/>
              <w:right w:val="single" w:sz="8" w:space="0" w:color="auto"/>
            </w:tcBorders>
          </w:tcPr>
          <w:p w:rsidR="00214E3D" w:rsidRPr="001F09AF" w:rsidRDefault="00654E95" w:rsidP="00654E95">
            <w:pPr>
              <w:pStyle w:val="ListParagraph"/>
              <w:ind w:left="0"/>
              <w:jc w:val="center"/>
              <w:rPr>
                <w:rFonts w:eastAsiaTheme="minorEastAsia"/>
                <w:b/>
              </w:rPr>
            </w:pPr>
            <w:r w:rsidRPr="001F09AF">
              <w:rPr>
                <w:rFonts w:eastAsiaTheme="minorEastAsia"/>
                <w:b/>
              </w:rPr>
              <w:t>Answers questions about:</w:t>
            </w:r>
          </w:p>
        </w:tc>
      </w:tr>
      <w:tr w:rsidR="00214E3D" w:rsidRPr="001F09AF" w:rsidTr="000B59EE">
        <w:tc>
          <w:tcPr>
            <w:tcW w:w="70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54E95" w:rsidRPr="001F09AF" w:rsidRDefault="00654E95" w:rsidP="000B59EE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 w:rsidRPr="001F09AF">
              <w:rPr>
                <w:rFonts w:eastAsiaTheme="minorEastAsia"/>
              </w:rPr>
              <w:t>If the</w:t>
            </w:r>
            <w:r w:rsidR="000A24FD">
              <w:rPr>
                <w:rFonts w:eastAsiaTheme="minorEastAsia"/>
              </w:rPr>
              <w:t xml:space="preserve"> population distribution of a given categorical variable fits</w:t>
            </w:r>
          </w:p>
          <w:p w:rsidR="00214E3D" w:rsidRPr="001F09AF" w:rsidRDefault="00FA45BF" w:rsidP="000B59EE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654E95" w:rsidRPr="001F09AF">
              <w:rPr>
                <w:rFonts w:eastAsiaTheme="minorEastAsia"/>
              </w:rPr>
              <w:t xml:space="preserve"> or not.</w:t>
            </w:r>
          </w:p>
        </w:tc>
      </w:tr>
      <w:tr w:rsidR="00654E95" w:rsidRPr="001F09AF" w:rsidTr="000B59EE">
        <w:tc>
          <w:tcPr>
            <w:tcW w:w="7015" w:type="dxa"/>
            <w:tcBorders>
              <w:top w:val="single" w:sz="8" w:space="0" w:color="auto"/>
            </w:tcBorders>
          </w:tcPr>
          <w:p w:rsidR="00654E95" w:rsidRPr="001F09AF" w:rsidRDefault="00654E95" w:rsidP="00DD2605">
            <w:pPr>
              <w:pStyle w:val="ListParagraph"/>
              <w:ind w:left="0"/>
              <w:rPr>
                <w:rFonts w:eastAsiaTheme="minorEastAsia"/>
              </w:rPr>
            </w:pPr>
            <w:r w:rsidRPr="001F09AF">
              <w:rPr>
                <w:rFonts w:eastAsiaTheme="minorEastAsia"/>
              </w:rPr>
              <w:t xml:space="preserve">NOTE: </w:t>
            </w:r>
          </w:p>
          <w:p w:rsidR="00DD2605" w:rsidRPr="001F09AF" w:rsidRDefault="00FA45BF" w:rsidP="00DD2605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are probabilities between 0 and 1</m:t>
              </m:r>
            </m:oMath>
          </w:p>
          <w:p w:rsidR="00DD2605" w:rsidRPr="001F09AF" w:rsidRDefault="00DD2605" w:rsidP="00DD2605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k=the number of categories</m:t>
              </m:r>
            </m:oMath>
          </w:p>
        </w:tc>
      </w:tr>
    </w:tbl>
    <w:p w:rsidR="00214E3D" w:rsidRPr="001F09AF" w:rsidRDefault="00214E3D" w:rsidP="00042EFF">
      <w:pPr>
        <w:pStyle w:val="ListParagraph"/>
        <w:ind w:left="360"/>
        <w:rPr>
          <w:rFonts w:eastAsiaTheme="minorEastAsia"/>
        </w:rPr>
      </w:pPr>
    </w:p>
    <w:p w:rsidR="00380EA5" w:rsidRPr="00B9144E" w:rsidRDefault="00380EA5" w:rsidP="006941A1">
      <w:pPr>
        <w:ind w:left="360"/>
        <w:rPr>
          <w:rFonts w:eastAsiaTheme="minorEastAsia"/>
        </w:rPr>
      </w:pPr>
    </w:p>
    <w:p w:rsidR="00161621" w:rsidRPr="00C5546B" w:rsidRDefault="0017654C" w:rsidP="00C5546B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00C5546B">
        <w:rPr>
          <w:rFonts w:eastAsiaTheme="minorEastAsia"/>
          <w:b/>
          <w:u w:val="single"/>
        </w:rPr>
        <w:t>The</w:t>
      </w:r>
      <w:r w:rsidR="00764A74" w:rsidRPr="00C5546B">
        <w:rPr>
          <w:rFonts w:eastAsiaTheme="minorEastAsia"/>
          <w:b/>
          <w:u w:val="single"/>
        </w:rPr>
        <w:t xml:space="preserve"> Test Statistic</w:t>
      </w:r>
      <w:r w:rsidR="00764A74" w:rsidRPr="00C5546B">
        <w:rPr>
          <w:rFonts w:eastAsiaTheme="minorEastAsia"/>
          <w:b/>
        </w:rPr>
        <w:t xml:space="preserve">: </w:t>
      </w:r>
    </w:p>
    <w:p w:rsidR="000A24FD" w:rsidRDefault="00547960" w:rsidP="003D632E">
      <w:pPr>
        <w:pStyle w:val="ListParagraph"/>
        <w:ind w:left="360"/>
        <w:rPr>
          <w:rFonts w:eastAsiaTheme="minorEastAsia"/>
        </w:rPr>
      </w:pPr>
      <w:r w:rsidRPr="001F09AF">
        <w:rPr>
          <w:rFonts w:eastAsiaTheme="minorEastAsia"/>
        </w:rPr>
        <w:t xml:space="preserve">Here is the idea behind Goodness of Fit tests: if the null hypothesis is true, then the multinomial probability distribution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1F09AF">
        <w:rPr>
          <w:rFonts w:eastAsiaTheme="minorEastAsia"/>
        </w:rPr>
        <w:t xml:space="preserve">truly describes the population. This means that the observed frequencies from the sample should be the same as (or very close to) the expected frequencies </w:t>
      </w:r>
      <w:r w:rsidR="00ED1828" w:rsidRPr="001F09AF">
        <w:rPr>
          <w:rFonts w:eastAsiaTheme="minorEastAsia"/>
        </w:rPr>
        <w:t xml:space="preserve">calculated </w:t>
      </w:r>
      <w:r w:rsidRPr="001F09AF">
        <w:rPr>
          <w:rFonts w:eastAsiaTheme="minorEastAsia"/>
        </w:rPr>
        <w:t xml:space="preserve">from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1F09AF">
        <w:rPr>
          <w:rFonts w:eastAsiaTheme="minorEastAsia"/>
        </w:rPr>
        <w:t>probability distribution.</w:t>
      </w:r>
      <w:r w:rsidR="000A24FD">
        <w:rPr>
          <w:rFonts w:eastAsiaTheme="minorEastAsia"/>
        </w:rPr>
        <w:t xml:space="preserve"> (For example, if 25% of the population fits into Category A, then about 25% of the sample should fit into Category A.)</w:t>
      </w:r>
      <w:r w:rsidRPr="001F09AF">
        <w:rPr>
          <w:rFonts w:eastAsiaTheme="minorEastAsia"/>
        </w:rPr>
        <w:t xml:space="preserve"> Large differences between the observed frequencies and the expected frequencies </w:t>
      </w:r>
      <w:r w:rsidR="000A24FD">
        <w:rPr>
          <w:rFonts w:eastAsiaTheme="minorEastAsia"/>
        </w:rPr>
        <w:t>are</w:t>
      </w:r>
      <w:r w:rsidRPr="001F09AF">
        <w:rPr>
          <w:rFonts w:eastAsiaTheme="minorEastAsia"/>
        </w:rPr>
        <w:t xml:space="preserve"> evidence that the underlying population is NOT distributed according to the hypothe</w:t>
      </w:r>
      <w:r w:rsidR="000A24FD">
        <w:rPr>
          <w:rFonts w:eastAsiaTheme="minorEastAsia"/>
        </w:rPr>
        <w:t>tical</w:t>
      </w:r>
      <w:r w:rsidRPr="001F09AF">
        <w:rPr>
          <w:rFonts w:eastAsiaTheme="minorEastAsia"/>
        </w:rPr>
        <w:t xml:space="preserve"> multinomial probability distribution. </w:t>
      </w:r>
    </w:p>
    <w:p w:rsidR="000A24FD" w:rsidRDefault="000A24FD" w:rsidP="003D632E">
      <w:pPr>
        <w:pStyle w:val="ListParagraph"/>
        <w:ind w:left="360"/>
        <w:rPr>
          <w:rFonts w:eastAsiaTheme="minorEastAsia"/>
        </w:rPr>
      </w:pPr>
    </w:p>
    <w:p w:rsidR="00EB6913" w:rsidRPr="001F09AF" w:rsidRDefault="00547960" w:rsidP="003D632E">
      <w:pPr>
        <w:pStyle w:val="ListParagraph"/>
        <w:ind w:left="360"/>
        <w:rPr>
          <w:rFonts w:eastAsiaTheme="minorEastAsia"/>
        </w:rPr>
      </w:pPr>
      <w:r w:rsidRPr="001F09AF">
        <w:rPr>
          <w:rFonts w:eastAsiaTheme="minorEastAsia"/>
        </w:rPr>
        <w:t>Some variation</w:t>
      </w:r>
      <w:r w:rsidR="00EB6913" w:rsidRPr="001F09AF">
        <w:rPr>
          <w:rFonts w:eastAsiaTheme="minorEastAsia"/>
        </w:rPr>
        <w:t xml:space="preserve"> between observed and expected frequencies will occur </w:t>
      </w:r>
      <w:r w:rsidRPr="001F09AF">
        <w:rPr>
          <w:rFonts w:eastAsiaTheme="minorEastAsia"/>
        </w:rPr>
        <w:t xml:space="preserve">due to random chance, so we </w:t>
      </w:r>
      <w:r w:rsidR="000A24FD">
        <w:rPr>
          <w:rFonts w:eastAsiaTheme="minorEastAsia"/>
        </w:rPr>
        <w:t xml:space="preserve">need to </w:t>
      </w:r>
      <w:r w:rsidRPr="001F09AF">
        <w:rPr>
          <w:rFonts w:eastAsiaTheme="minorEastAsia"/>
        </w:rPr>
        <w:t xml:space="preserve">use our hypothesis testing techniques </w:t>
      </w:r>
      <w:r w:rsidR="000A24FD">
        <w:rPr>
          <w:rFonts w:eastAsiaTheme="minorEastAsia"/>
        </w:rPr>
        <w:t xml:space="preserve">to see if the differences we see are </w:t>
      </w:r>
      <w:r w:rsidR="000A24FD">
        <w:rPr>
          <w:rFonts w:eastAsiaTheme="minorEastAsia"/>
          <w:i/>
        </w:rPr>
        <w:t>statistically significant.</w:t>
      </w:r>
      <w:r w:rsidR="000A24FD">
        <w:rPr>
          <w:rFonts w:eastAsiaTheme="minorEastAsia"/>
        </w:rPr>
        <w:t xml:space="preserve"> T</w:t>
      </w:r>
      <w:r w:rsidRPr="001F09AF">
        <w:rPr>
          <w:rFonts w:eastAsiaTheme="minorEastAsia"/>
        </w:rPr>
        <w:t xml:space="preserve">he </w:t>
      </w:r>
      <m:oMath>
        <m:r>
          <w:rPr>
            <w:rFonts w:ascii="Cambria Math" w:eastAsiaTheme="minorEastAsia" w:hAnsi="Cambria Math"/>
          </w:rPr>
          <m:t>α significance level</m:t>
        </m:r>
      </m:oMath>
      <w:r w:rsidRPr="001F09AF">
        <w:rPr>
          <w:rFonts w:eastAsiaTheme="minorEastAsia"/>
        </w:rPr>
        <w:t xml:space="preserve"> </w:t>
      </w:r>
      <w:r w:rsidR="000A24FD">
        <w:rPr>
          <w:rFonts w:eastAsiaTheme="minorEastAsia"/>
        </w:rPr>
        <w:t xml:space="preserve">sets a threshold </w:t>
      </w:r>
      <w:r w:rsidRPr="001F09AF">
        <w:rPr>
          <w:rFonts w:eastAsiaTheme="minorEastAsia"/>
        </w:rPr>
        <w:t xml:space="preserve">at which we </w:t>
      </w:r>
      <w:r w:rsidR="00227D9E">
        <w:rPr>
          <w:rFonts w:eastAsiaTheme="minorEastAsia"/>
        </w:rPr>
        <w:t>determine</w:t>
      </w:r>
      <w:r w:rsidRPr="001F09AF">
        <w:rPr>
          <w:rFonts w:eastAsiaTheme="minorEastAsia"/>
        </w:rPr>
        <w:t xml:space="preserve"> the sample </w:t>
      </w:r>
      <w:r w:rsidRPr="001F09AF">
        <w:rPr>
          <w:rFonts w:eastAsiaTheme="minorEastAsia"/>
        </w:rPr>
        <w:lastRenderedPageBreak/>
        <w:t>dist</w:t>
      </w:r>
      <w:r w:rsidR="00EB6913" w:rsidRPr="001F09AF">
        <w:rPr>
          <w:rFonts w:eastAsiaTheme="minorEastAsia"/>
        </w:rPr>
        <w:t>ribution to be different enough</w:t>
      </w:r>
      <w:r w:rsidR="008E0BC3">
        <w:rPr>
          <w:rFonts w:eastAsiaTheme="minorEastAsia"/>
        </w:rPr>
        <w:t xml:space="preserve"> from what we would expect under the null hypothesis</w:t>
      </w:r>
      <w:r w:rsidR="000A24FD">
        <w:rPr>
          <w:rFonts w:eastAsiaTheme="minorEastAsia"/>
        </w:rPr>
        <w:t>,</w:t>
      </w:r>
      <w:r w:rsidR="00EB6913" w:rsidRPr="001F09AF">
        <w:rPr>
          <w:rFonts w:eastAsiaTheme="minorEastAsia"/>
        </w:rPr>
        <w:t xml:space="preserve"> </w:t>
      </w:r>
      <w:r w:rsidRPr="001F09AF">
        <w:rPr>
          <w:rFonts w:eastAsiaTheme="minorEastAsia"/>
        </w:rPr>
        <w:t xml:space="preserve">to contradict the null hypothesis. </w:t>
      </w:r>
    </w:p>
    <w:p w:rsidR="00EB6913" w:rsidRPr="001F09AF" w:rsidRDefault="00EB6913" w:rsidP="003D632E">
      <w:pPr>
        <w:pStyle w:val="ListParagraph"/>
        <w:ind w:left="360"/>
        <w:rPr>
          <w:rFonts w:eastAsiaTheme="minorEastAsia"/>
        </w:rPr>
      </w:pPr>
    </w:p>
    <w:p w:rsidR="00292BE7" w:rsidRPr="001F09AF" w:rsidRDefault="00547960" w:rsidP="003D632E">
      <w:pPr>
        <w:pStyle w:val="ListParagraph"/>
        <w:ind w:left="360"/>
        <w:rPr>
          <w:rFonts w:eastAsiaTheme="minorEastAsia"/>
        </w:rPr>
      </w:pPr>
      <w:r w:rsidRPr="001F09AF">
        <w:rPr>
          <w:rFonts w:eastAsiaTheme="minorEastAsia"/>
        </w:rPr>
        <w:t>The size of the difference between the</w:t>
      </w:r>
      <w:r w:rsidR="00ED1828" w:rsidRPr="001F09AF">
        <w:rPr>
          <w:rFonts w:eastAsiaTheme="minorEastAsia"/>
        </w:rPr>
        <w:t xml:space="preserve"> observed and expected frequencies </w:t>
      </w:r>
      <w:r w:rsidRPr="001F09AF">
        <w:rPr>
          <w:rFonts w:eastAsiaTheme="minorEastAsia"/>
        </w:rPr>
        <w:t xml:space="preserve">is quantified in our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Pr="001F09AF">
        <w:rPr>
          <w:rFonts w:eastAsiaTheme="minorEastAsia"/>
        </w:rPr>
        <w:t>test statistic. When the test statistic is large enough to reject the null, we can conclude that the population is not distributed according to the hypoth</w:t>
      </w:r>
      <w:r w:rsidR="000A24FD">
        <w:rPr>
          <w:rFonts w:eastAsiaTheme="minorEastAsia"/>
        </w:rPr>
        <w:t>etical</w:t>
      </w:r>
      <w:r w:rsidRPr="001F09AF">
        <w:rPr>
          <w:rFonts w:eastAsiaTheme="minorEastAsia"/>
        </w:rPr>
        <w:t xml:space="preserve"> multinomial probability distribution.</w:t>
      </w:r>
    </w:p>
    <w:p w:rsidR="00ED1828" w:rsidRPr="001F09AF" w:rsidRDefault="00ED1828" w:rsidP="003D632E">
      <w:pPr>
        <w:pStyle w:val="ListParagraph"/>
        <w:ind w:left="360"/>
        <w:rPr>
          <w:rFonts w:eastAsiaTheme="minorEastAsia"/>
        </w:rPr>
      </w:pPr>
      <w:r w:rsidRPr="001F09AF">
        <w:rPr>
          <w:rFonts w:eastAsiaTheme="minorEastAsia"/>
        </w:rPr>
        <w:t>The test statistic</w:t>
      </w:r>
      <w:r w:rsidR="000F6BB0" w:rsidRPr="001F09AF">
        <w:rPr>
          <w:rFonts w:eastAsiaTheme="minorEastAsia"/>
        </w:rPr>
        <w:t xml:space="preserve"> for a Goodness-of-Fit Test</w:t>
      </w:r>
      <w:r w:rsidRPr="001F09AF">
        <w:rPr>
          <w:rFonts w:eastAsiaTheme="minorEastAsia"/>
        </w:rPr>
        <w:t xml:space="preserve"> is:</w:t>
      </w:r>
    </w:p>
    <w:p w:rsidR="00ED1828" w:rsidRPr="001F09AF" w:rsidRDefault="00ED1828" w:rsidP="003D632E">
      <w:pPr>
        <w:pStyle w:val="ListParagraph"/>
        <w:ind w:left="360"/>
        <w:rPr>
          <w:rFonts w:eastAsiaTheme="minorEastAsia"/>
        </w:rPr>
      </w:pPr>
    </w:p>
    <w:p w:rsidR="00ED1828" w:rsidRPr="001F09AF" w:rsidRDefault="00FA45BF" w:rsidP="00ED1828">
      <w:pPr>
        <w:pStyle w:val="ListParagraph"/>
        <w:ind w:left="144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ED1828" w:rsidRPr="001F09AF" w:rsidRDefault="00ED1828" w:rsidP="00ED1828">
      <w:pPr>
        <w:pStyle w:val="ListParagraph"/>
        <w:ind w:left="1440"/>
        <w:rPr>
          <w:rFonts w:eastAsiaTheme="minorEastAsia"/>
        </w:rPr>
      </w:pPr>
    </w:p>
    <w:p w:rsidR="00ED1828" w:rsidRPr="001F09AF" w:rsidRDefault="00ED1828" w:rsidP="00ED1828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where</m:t>
          </m:r>
        </m:oMath>
      </m:oMathPara>
    </w:p>
    <w:p w:rsidR="00ED1828" w:rsidRPr="001F09AF" w:rsidRDefault="00ED1828" w:rsidP="00ED1828">
      <w:pPr>
        <w:pStyle w:val="ListParagraph"/>
        <w:ind w:left="1440"/>
        <w:rPr>
          <w:rFonts w:eastAsiaTheme="minorEastAsia"/>
        </w:rPr>
      </w:pPr>
    </w:p>
    <w:p w:rsidR="00ED1828" w:rsidRPr="00621522" w:rsidRDefault="00FA45BF" w:rsidP="00ED1828">
      <w:pPr>
        <w:pStyle w:val="ListParagraph"/>
        <w:ind w:left="144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=the expected frequency for category i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 xml:space="preserve">=the observed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sample</m:t>
              </m:r>
            </m:e>
          </m:d>
          <m:r>
            <w:rPr>
              <w:rFonts w:ascii="Cambria Math" w:eastAsiaTheme="minorEastAsia" w:hAnsi="Cambria Math"/>
            </w:rPr>
            <m:t>frequency for category i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k</m:t>
          </m:r>
          <m:r>
            <m:rPr>
              <m:aln/>
            </m:rPr>
            <w:rPr>
              <w:rFonts w:ascii="Cambria Math" w:eastAsiaTheme="minorEastAsia" w:hAnsi="Cambria Math"/>
            </w:rPr>
            <m:t>=the number of categories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n</m:t>
          </m:r>
          <m:r>
            <m:rPr>
              <m:aln/>
            </m:rPr>
            <w:rPr>
              <w:rFonts w:ascii="Cambria Math" w:hAnsi="Cambria Math"/>
            </w:rPr>
            <m:t>=sample size</m:t>
          </m:r>
        </m:oMath>
      </m:oMathPara>
    </w:p>
    <w:p w:rsidR="00ED1828" w:rsidRPr="001F09AF" w:rsidRDefault="00ED1828" w:rsidP="003D632E">
      <w:pPr>
        <w:pStyle w:val="ListParagraph"/>
        <w:ind w:left="36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and</m:t>
          </m:r>
        </m:oMath>
      </m:oMathPara>
    </w:p>
    <w:p w:rsidR="00ED1828" w:rsidRPr="001F09AF" w:rsidRDefault="00ED1828" w:rsidP="003D632E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 degrees of freedom are df=k-1</m:t>
          </m:r>
        </m:oMath>
      </m:oMathPara>
    </w:p>
    <w:p w:rsidR="00D60208" w:rsidRPr="001F09AF" w:rsidRDefault="00D60208" w:rsidP="00850DF0">
      <w:pPr>
        <w:pStyle w:val="ListParagraph"/>
        <w:ind w:left="360"/>
      </w:pPr>
    </w:p>
    <w:p w:rsidR="00A763FC" w:rsidRPr="001F09AF" w:rsidRDefault="00A763FC" w:rsidP="00C5546B">
      <w:pPr>
        <w:pStyle w:val="ListParagraph"/>
        <w:numPr>
          <w:ilvl w:val="0"/>
          <w:numId w:val="19"/>
        </w:numPr>
      </w:pPr>
      <w:r w:rsidRPr="001F09AF">
        <w:rPr>
          <w:b/>
          <w:u w:val="single"/>
        </w:rPr>
        <w:t xml:space="preserve">Deciding whether </w:t>
      </w:r>
      <w:r w:rsidR="00F9428A">
        <w:rPr>
          <w:b/>
          <w:u w:val="single"/>
        </w:rPr>
        <w:t xml:space="preserve">or not </w:t>
      </w:r>
      <w:r w:rsidRPr="001F09AF">
        <w:rPr>
          <w:b/>
          <w:u w:val="single"/>
        </w:rPr>
        <w:t xml:space="preserve">to Reject </w:t>
      </w:r>
      <m:oMath>
        <m:sSub>
          <m:sSubPr>
            <m:ctrlPr>
              <w:rPr>
                <w:rFonts w:ascii="Cambria Math" w:hAnsi="Cambria Math"/>
                <w:b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single"/>
              </w:rPr>
              <m:t>0</m:t>
            </m:r>
          </m:sub>
        </m:sSub>
      </m:oMath>
      <w:r w:rsidRPr="001F09AF">
        <w:rPr>
          <w:rFonts w:eastAsiaTheme="minorEastAsia"/>
          <w:b/>
        </w:rPr>
        <w:t>:</w:t>
      </w:r>
    </w:p>
    <w:p w:rsidR="00D60208" w:rsidRPr="000A24FD" w:rsidRDefault="00401E3C" w:rsidP="00610C04">
      <w:pPr>
        <w:ind w:left="360"/>
      </w:pPr>
      <w:r w:rsidRPr="001F09AF">
        <w:t xml:space="preserve">Only </w:t>
      </w:r>
      <w:r w:rsidR="000A24FD">
        <w:t>large discrepanci</w:t>
      </w:r>
      <w:r w:rsidR="0061410A" w:rsidRPr="001F09AF">
        <w:t>es between the observed and expected frequencies</w:t>
      </w:r>
      <w:r w:rsidRPr="001F09AF">
        <w:t xml:space="preserve"> constitute evidence against the null hypothesis</w:t>
      </w:r>
      <w:r w:rsidR="0061410A" w:rsidRPr="001F09AF">
        <w:t xml:space="preserve">, so all Goodness-of-Fit tests are </w:t>
      </w:r>
      <w:r w:rsidR="0061410A" w:rsidRPr="001F09AF">
        <w:rPr>
          <w:b/>
          <w:u w:val="single"/>
        </w:rPr>
        <w:t>upper tail tests</w:t>
      </w:r>
      <w:r w:rsidR="0061410A" w:rsidRPr="001F09AF">
        <w:rPr>
          <w:b/>
        </w:rPr>
        <w:t>.</w:t>
      </w:r>
      <w:r w:rsidR="000A24FD">
        <w:t xml:space="preserve"> (If the test statistic was in the lower tail, that would mean there were only small discrepancies between observed and expected).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6120"/>
      </w:tblGrid>
      <w:tr w:rsidR="001807C0" w:rsidRPr="00BD113C" w:rsidTr="00E37B9C">
        <w:tc>
          <w:tcPr>
            <w:tcW w:w="76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C0271" w:rsidRDefault="006C0271" w:rsidP="001807C0">
            <w:pPr>
              <w:rPr>
                <w:b/>
                <w:sz w:val="28"/>
                <w:szCs w:val="28"/>
              </w:rPr>
            </w:pPr>
          </w:p>
          <w:p w:rsidR="001807C0" w:rsidRPr="001807C0" w:rsidRDefault="001807C0" w:rsidP="001807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When to Reject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>
              <w:rPr>
                <w:rFonts w:eastAsiaTheme="minorEastAsia"/>
                <w:b/>
                <w:sz w:val="28"/>
                <w:szCs w:val="28"/>
              </w:rPr>
              <w:t>in a Goodness-of-Fit Test</w:t>
            </w:r>
          </w:p>
        </w:tc>
      </w:tr>
      <w:tr w:rsidR="001807C0" w:rsidRPr="00BD113C" w:rsidTr="00E37B9C">
        <w:tc>
          <w:tcPr>
            <w:tcW w:w="1530" w:type="dxa"/>
            <w:tcBorders>
              <w:top w:val="single" w:sz="8" w:space="0" w:color="auto"/>
              <w:left w:val="single" w:sz="8" w:space="0" w:color="auto"/>
            </w:tcBorders>
          </w:tcPr>
          <w:p w:rsidR="001807C0" w:rsidRPr="00BD113C" w:rsidRDefault="001807C0" w:rsidP="00292BE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single" w:sz="8" w:space="0" w:color="auto"/>
              <w:right w:val="single" w:sz="8" w:space="0" w:color="auto"/>
            </w:tcBorders>
          </w:tcPr>
          <w:p w:rsidR="001807C0" w:rsidRPr="007374AC" w:rsidRDefault="001807C0" w:rsidP="00292BE7">
            <w:pPr>
              <w:rPr>
                <w:b/>
              </w:rPr>
            </w:pPr>
            <w:r>
              <w:rPr>
                <w:b/>
              </w:rPr>
              <w:t xml:space="preserve">Always an </w:t>
            </w:r>
            <w:r w:rsidRPr="007374AC">
              <w:rPr>
                <w:b/>
              </w:rPr>
              <w:t>Upper Tail Test</w:t>
            </w:r>
            <w:r>
              <w:rPr>
                <w:b/>
              </w:rPr>
              <w:t>:</w:t>
            </w:r>
          </w:p>
        </w:tc>
      </w:tr>
      <w:tr w:rsidR="001807C0" w:rsidRPr="00BD113C" w:rsidTr="00E37B9C">
        <w:tc>
          <w:tcPr>
            <w:tcW w:w="1530" w:type="dxa"/>
            <w:vAlign w:val="center"/>
          </w:tcPr>
          <w:p w:rsidR="001807C0" w:rsidRPr="007374AC" w:rsidRDefault="001807C0" w:rsidP="00292BE7">
            <w:pPr>
              <w:rPr>
                <w:b/>
              </w:rPr>
            </w:pPr>
            <w:r w:rsidRPr="007374AC">
              <w:rPr>
                <w:b/>
              </w:rPr>
              <w:t>p-value approach:</w:t>
            </w:r>
          </w:p>
        </w:tc>
        <w:tc>
          <w:tcPr>
            <w:tcW w:w="6120" w:type="dxa"/>
          </w:tcPr>
          <w:p w:rsidR="001807C0" w:rsidRDefault="00E37B9C" w:rsidP="00E37B9C">
            <w:pPr>
              <w:spacing w:line="276" w:lineRule="auto"/>
              <w:rPr>
                <w:rFonts w:eastAsiaTheme="minorEastAsia"/>
              </w:rPr>
            </w:pPr>
            <w:r>
              <w:t>Calculate t</w:t>
            </w:r>
            <w:r w:rsidR="001807C0">
              <w:t xml:space="preserve">he upper tail </w:t>
            </w:r>
            <m:oMath>
              <m:r>
                <w:rPr>
                  <w:rFonts w:ascii="Cambria Math" w:hAnsi="Cambria Math"/>
                </w:rPr>
                <m:t>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</m:t>
              </m:r>
            </m:oMath>
            <w:r w:rsidR="001807C0">
              <w:t xml:space="preserve"> of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</m:oMath>
          </w:p>
          <w:p w:rsidR="00E37B9C" w:rsidRPr="00DD60E2" w:rsidRDefault="00E37B9C" w:rsidP="00E37B9C">
            <w:pPr>
              <w:spacing w:line="276" w:lineRule="auto"/>
              <w:rPr>
                <w:rFonts w:eastAsiaTheme="minorEastAsia"/>
              </w:rPr>
            </w:pPr>
          </w:p>
          <w:p w:rsidR="001807C0" w:rsidRDefault="001807C0" w:rsidP="00E37B9C">
            <w:pPr>
              <w:spacing w:line="276" w:lineRule="auto"/>
            </w:pPr>
            <w:r>
              <w:t xml:space="preserve">If the </w:t>
            </w:r>
            <m:oMath>
              <m:r>
                <w:rPr>
                  <w:rFonts w:ascii="Cambria Math" w:hAnsi="Cambria Math"/>
                </w:rPr>
                <m:t>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value≤ α,</m:t>
              </m:r>
            </m:oMath>
            <w:r>
              <w:rPr>
                <w:rFonts w:eastAsiaTheme="minorEastAsia"/>
              </w:rPr>
              <w:t xml:space="preserve"> then</w:t>
            </w:r>
            <w:r>
              <w:t xml:space="preserve"> r</w:t>
            </w:r>
            <w:r w:rsidRPr="00F33334"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oMath>
            <w:r w:rsidRPr="00F33334">
              <w:t xml:space="preserve"> and accept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oMath>
            <w:r w:rsidRPr="00F33334">
              <w:t xml:space="preserve"> </w:t>
            </w:r>
          </w:p>
          <w:p w:rsidR="00E37B9C" w:rsidRPr="001807C0" w:rsidRDefault="00E37B9C" w:rsidP="00E37B9C">
            <w:pPr>
              <w:spacing w:line="276" w:lineRule="auto"/>
            </w:pPr>
            <w:r>
              <w:t xml:space="preserve">If the </w:t>
            </w:r>
            <m:oMath>
              <m:r>
                <w:rPr>
                  <w:rFonts w:ascii="Cambria Math" w:hAnsi="Cambria Math"/>
                </w:rPr>
                <m:t>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value&gt;α</m:t>
              </m:r>
            </m:oMath>
            <w:r>
              <w:rPr>
                <w:rFonts w:eastAsiaTheme="minorEastAsia"/>
              </w:rPr>
              <w:t>, then do not reject</w:t>
            </w:r>
            <w:r w:rsidRPr="00F33334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oMath>
            <w:r>
              <w:t xml:space="preserve">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is unsupported.</w:t>
            </w:r>
          </w:p>
        </w:tc>
      </w:tr>
      <w:tr w:rsidR="001807C0" w:rsidRPr="00BD113C" w:rsidTr="00E37B9C">
        <w:tc>
          <w:tcPr>
            <w:tcW w:w="1530" w:type="dxa"/>
            <w:vAlign w:val="center"/>
          </w:tcPr>
          <w:p w:rsidR="001807C0" w:rsidRPr="007374AC" w:rsidRDefault="001807C0" w:rsidP="00292BE7">
            <w:pPr>
              <w:rPr>
                <w:b/>
              </w:rPr>
            </w:pPr>
            <w:r w:rsidRPr="007374AC">
              <w:rPr>
                <w:b/>
              </w:rPr>
              <w:t>Critical Value: Approach</w:t>
            </w:r>
          </w:p>
        </w:tc>
        <w:tc>
          <w:tcPr>
            <w:tcW w:w="6120" w:type="dxa"/>
            <w:vAlign w:val="center"/>
          </w:tcPr>
          <w:p w:rsidR="00E37B9C" w:rsidRPr="00E37B9C" w:rsidRDefault="00E37B9C" w:rsidP="00E37B9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Look up the UT Critical Value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, which is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α,UT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oMath>
          </w:p>
          <w:p w:rsidR="00E37B9C" w:rsidRPr="00E37B9C" w:rsidRDefault="00E37B9C" w:rsidP="00E37B9C">
            <w:pPr>
              <w:rPr>
                <w:rFonts w:eastAsiaTheme="minorEastAsia"/>
              </w:rPr>
            </w:pPr>
          </w:p>
          <w:p w:rsidR="001807C0" w:rsidRDefault="001807C0" w:rsidP="00E37B9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α,UT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then r</w:t>
            </w:r>
            <w:r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and accept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="00E37B9C">
              <w:rPr>
                <w:rFonts w:eastAsiaTheme="minorEastAsia"/>
              </w:rPr>
              <w:t>.</w:t>
            </w:r>
          </w:p>
          <w:p w:rsidR="00E37B9C" w:rsidRDefault="00E37B9C" w:rsidP="00E37B9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&lt;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α,UT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oMath>
            <w:r>
              <w:rPr>
                <w:rFonts w:eastAsiaTheme="minorEastAsia"/>
              </w:rPr>
              <w:t xml:space="preserve">, then do not 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is unsupported.</w:t>
            </w:r>
          </w:p>
          <w:p w:rsidR="00E37B9C" w:rsidRPr="00F33334" w:rsidRDefault="00E37B9C" w:rsidP="00E37B9C"/>
        </w:tc>
      </w:tr>
      <w:tr w:rsidR="00264761" w:rsidRPr="00BD113C" w:rsidTr="00E37B9C">
        <w:tc>
          <w:tcPr>
            <w:tcW w:w="7650" w:type="dxa"/>
            <w:gridSpan w:val="2"/>
            <w:vAlign w:val="center"/>
          </w:tcPr>
          <w:p w:rsidR="00264761" w:rsidRPr="007374AC" w:rsidRDefault="00264761" w:rsidP="00264761">
            <w:r w:rsidRPr="007374AC">
              <w:t xml:space="preserve">NOTES: </w:t>
            </w:r>
          </w:p>
          <w:p w:rsidR="00264761" w:rsidRPr="007374AC" w:rsidRDefault="00FA45BF" w:rsidP="00264761">
            <w:pPr>
              <w:pStyle w:val="ListParagraph"/>
              <w:numPr>
                <w:ilvl w:val="0"/>
                <w:numId w:val="2"/>
              </w:num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 w:rsidR="00264761" w:rsidRPr="007374AC">
              <w:t>is a Test Statistic</w:t>
            </w:r>
          </w:p>
          <w:p w:rsidR="00264761" w:rsidRDefault="00FA45BF" w:rsidP="00264761">
            <w:pPr>
              <w:pStyle w:val="ListParagraph"/>
              <w:numPr>
                <w:ilvl w:val="0"/>
                <w:numId w:val="2"/>
              </w:num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α,UT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</m:oMath>
            <w:r w:rsidR="00264761">
              <w:rPr>
                <w:rFonts w:eastAsiaTheme="minorEastAsia"/>
              </w:rPr>
              <w:t xml:space="preserve"> is a</w:t>
            </w:r>
            <w:r w:rsidR="000A24FD">
              <w:rPr>
                <w:rFonts w:eastAsiaTheme="minorEastAsia"/>
              </w:rPr>
              <w:t>n Upper Tail</w:t>
            </w:r>
            <w:r w:rsidR="00264761">
              <w:t xml:space="preserve"> Critical Value</w:t>
            </w:r>
          </w:p>
          <w:p w:rsidR="00264761" w:rsidRPr="00264761" w:rsidRDefault="00FA45BF" w:rsidP="00264761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264761" w:rsidRPr="00264761">
              <w:rPr>
                <w:rFonts w:eastAsiaTheme="minorEastAsia"/>
              </w:rPr>
              <w:t xml:space="preserve"> is based on degrees of freedom</w:t>
            </w:r>
            <w:r w:rsidR="00264761">
              <w:rPr>
                <w:rFonts w:eastAsiaTheme="minorEastAsia"/>
              </w:rPr>
              <w:t xml:space="preserve">. The degrees of freedom in Goodness-of-Fit Tests is </w:t>
            </w:r>
          </w:p>
          <w:p w:rsidR="00264761" w:rsidRPr="00264761" w:rsidRDefault="00264761" w:rsidP="00264761">
            <w:pPr>
              <w:pStyle w:val="ListParagraph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df=k-1 where k is the number of categories</m:t>
                </m:r>
              </m:oMath>
            </m:oMathPara>
          </w:p>
        </w:tc>
      </w:tr>
    </w:tbl>
    <w:p w:rsidR="006C0271" w:rsidRDefault="006C0271" w:rsidP="006C0271">
      <w:pPr>
        <w:pStyle w:val="ListParagraph"/>
        <w:ind w:left="360"/>
        <w:rPr>
          <w:b/>
          <w:u w:val="single"/>
        </w:rPr>
      </w:pPr>
    </w:p>
    <w:p w:rsidR="006C0271" w:rsidRDefault="006C027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571D2" w:rsidRPr="000135A1" w:rsidRDefault="00BD3D2D" w:rsidP="000135A1">
      <w:pPr>
        <w:pStyle w:val="ListParagraph"/>
        <w:numPr>
          <w:ilvl w:val="0"/>
          <w:numId w:val="9"/>
        </w:numPr>
      </w:pPr>
      <w:r w:rsidRPr="000135A1">
        <w:rPr>
          <w:b/>
          <w:u w:val="single"/>
        </w:rPr>
        <w:t>Interpreting the test</w:t>
      </w:r>
      <w:r w:rsidRPr="000135A1">
        <w:rPr>
          <w:b/>
        </w:rPr>
        <w:t>:</w:t>
      </w:r>
    </w:p>
    <w:p w:rsidR="002571D2" w:rsidRPr="000135A1" w:rsidRDefault="007470C4" w:rsidP="002571D2">
      <w:pPr>
        <w:pStyle w:val="ListParagraph"/>
        <w:ind w:left="360"/>
      </w:pPr>
      <w:r>
        <w:t xml:space="preserve">(Note: </w:t>
      </w:r>
      <w:r w:rsidR="000135A1">
        <w:t>This explanation of interpretation holds for ALL hypothesis tests.</w:t>
      </w:r>
      <w:r>
        <w:t>)</w:t>
      </w:r>
      <w:r w:rsidR="000135A1">
        <w:t xml:space="preserve"> </w:t>
      </w:r>
      <w:r w:rsidR="002571D2" w:rsidRPr="000135A1">
        <w:t xml:space="preserve">We start every hypothesis test with a question about the parameter of interest, so we must end every hypothesis test with the answer to that question. In other words, we must </w:t>
      </w:r>
      <w:r w:rsidR="002571D2" w:rsidRPr="000135A1">
        <w:rPr>
          <w:i/>
        </w:rPr>
        <w:t>interpret</w:t>
      </w:r>
      <w:r w:rsidR="002571D2" w:rsidRPr="000135A1">
        <w:t xml:space="preserve"> the conclusion of our test in terms of the original question.</w:t>
      </w:r>
    </w:p>
    <w:p w:rsidR="002571D2" w:rsidRPr="000135A1" w:rsidRDefault="002571D2" w:rsidP="002571D2">
      <w:pPr>
        <w:pStyle w:val="ListParagraph"/>
        <w:ind w:left="360"/>
      </w:pPr>
    </w:p>
    <w:p w:rsidR="00B2491B" w:rsidRPr="00264761" w:rsidRDefault="002571D2" w:rsidP="002571D2">
      <w:pPr>
        <w:pStyle w:val="ListParagraph"/>
        <w:ind w:left="360"/>
        <w:rPr>
          <w:rFonts w:eastAsiaTheme="minorEastAsia"/>
          <w:b/>
        </w:rPr>
      </w:pPr>
      <w:r w:rsidRPr="000135A1">
        <w:t xml:space="preserve">Remember: in hypothesis testing you can never prove the null hypothesis. You can only prove the alternative hypothesis: when you reject the null and accept the alternative, then at your given </w:t>
      </w:r>
      <m:oMath>
        <m:r>
          <w:rPr>
            <w:rFonts w:ascii="Cambria Math" w:hAnsi="Cambria Math"/>
          </w:rPr>
          <m:t>α</m:t>
        </m:r>
      </m:oMath>
      <w:r w:rsidRPr="000135A1">
        <w:t xml:space="preserve"> level of significance you may conclude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0135A1">
        <w:rPr>
          <w:rFonts w:eastAsiaTheme="minorEastAsia"/>
        </w:rPr>
        <w:t xml:space="preserve"> is true. If you </w:t>
      </w:r>
      <w:r w:rsidR="00AF5C80">
        <w:rPr>
          <w:rFonts w:eastAsiaTheme="minorEastAsia"/>
        </w:rPr>
        <w:t>do not</w:t>
      </w:r>
      <w:r w:rsidRPr="000135A1">
        <w:rPr>
          <w:rFonts w:eastAsiaTheme="minorEastAsia"/>
        </w:rPr>
        <w:t xml:space="preserve"> reject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Pr="000135A1">
        <w:rPr>
          <w:rFonts w:eastAsiaTheme="minorEastAsia"/>
        </w:rPr>
        <w:t xml:space="preserve">then you must conclude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0135A1">
        <w:rPr>
          <w:rFonts w:eastAsiaTheme="minorEastAsia"/>
        </w:rPr>
        <w:t xml:space="preserve"> is unsupported by the evidence. This gives us a clear guideline for how to </w:t>
      </w:r>
      <w:r w:rsidRPr="000135A1">
        <w:rPr>
          <w:rFonts w:eastAsiaTheme="minorEastAsia"/>
          <w:i/>
        </w:rPr>
        <w:t>interpret</w:t>
      </w:r>
      <w:r w:rsidRPr="000135A1">
        <w:rPr>
          <w:rFonts w:eastAsiaTheme="minorEastAsia"/>
        </w:rPr>
        <w:t xml:space="preserve"> hypothesis tests: </w:t>
      </w:r>
      <w:r w:rsidR="00264761">
        <w:rPr>
          <w:rFonts w:eastAsiaTheme="minorEastAsia"/>
          <w:b/>
          <w:i/>
        </w:rPr>
        <w:t xml:space="preserve">always look to </w:t>
      </w:r>
      <w:r w:rsidRPr="00264761">
        <w:rPr>
          <w:rFonts w:eastAsiaTheme="minorEastAsia"/>
          <w:b/>
          <w:i/>
        </w:rPr>
        <w:t>the alternative hypothesis!</w:t>
      </w:r>
    </w:p>
    <w:p w:rsidR="00B2491B" w:rsidRPr="000135A1" w:rsidRDefault="00B2491B" w:rsidP="002571D2">
      <w:pPr>
        <w:pStyle w:val="ListParagraph"/>
        <w:ind w:left="360"/>
        <w:rPr>
          <w:rFonts w:eastAsiaTheme="minorEastAsia"/>
        </w:rPr>
      </w:pPr>
    </w:p>
    <w:p w:rsidR="00B2491B" w:rsidRDefault="00B2491B" w:rsidP="002571D2">
      <w:pPr>
        <w:pStyle w:val="ListParagraph"/>
        <w:ind w:left="360"/>
        <w:rPr>
          <w:rFonts w:eastAsiaTheme="minorEastAsia"/>
        </w:rPr>
      </w:pPr>
      <w:r w:rsidRPr="000135A1">
        <w:rPr>
          <w:rFonts w:eastAsiaTheme="minorEastAsia"/>
        </w:rPr>
        <w:t xml:space="preserve">In all that follows, you </w:t>
      </w:r>
      <w:r w:rsidR="000A24FD">
        <w:rPr>
          <w:rFonts w:eastAsiaTheme="minorEastAsia"/>
        </w:rPr>
        <w:t>must</w:t>
      </w:r>
      <w:r w:rsidRPr="000135A1">
        <w:rPr>
          <w:rFonts w:eastAsiaTheme="minorEastAsia"/>
        </w:rPr>
        <w:t xml:space="preserve"> substitute the actual words and numbers from your hypothesis test for the symbols.</w:t>
      </w:r>
      <w:r w:rsidR="00C46ED3">
        <w:rPr>
          <w:rFonts w:eastAsiaTheme="minorEastAsia"/>
        </w:rPr>
        <w:t xml:space="preserve"> Notice that each interpretation simply states the alternative hypothesis in words, and says either that</w:t>
      </w:r>
      <w:r w:rsidR="00E0309F">
        <w:rPr>
          <w:rFonts w:eastAsiaTheme="minorEastAsia"/>
        </w:rPr>
        <w:t xml:space="preserve"> we can or cannot conclude that it is true</w:t>
      </w:r>
      <w:r w:rsidR="00C46ED3">
        <w:rPr>
          <w:rFonts w:eastAsiaTheme="minorEastAsia"/>
        </w:rPr>
        <w:t>.</w:t>
      </w:r>
    </w:p>
    <w:p w:rsidR="00C12993" w:rsidRDefault="00C12993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6570"/>
      </w:tblGrid>
      <w:tr w:rsidR="00B2491B" w:rsidRPr="00D232F3" w:rsidTr="00507A30">
        <w:tc>
          <w:tcPr>
            <w:tcW w:w="8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491B" w:rsidRPr="00D232F3" w:rsidRDefault="00B2491B" w:rsidP="00507A3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How to Interpret </w:t>
            </w:r>
            <w:r w:rsidR="00B54396">
              <w:rPr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 xml:space="preserve"> </w:t>
            </w:r>
            <w:r w:rsidR="00507A30">
              <w:rPr>
                <w:b/>
                <w:sz w:val="28"/>
                <w:szCs w:val="28"/>
              </w:rPr>
              <w:t>Goodness-of-Fit Test</w:t>
            </w:r>
            <w:r>
              <w:rPr>
                <w:b/>
                <w:sz w:val="28"/>
                <w:szCs w:val="28"/>
              </w:rPr>
              <w:t>:</w:t>
            </w:r>
          </w:p>
        </w:tc>
      </w:tr>
      <w:tr w:rsidR="00507A30" w:rsidRPr="007374AC" w:rsidTr="00507A30">
        <w:tc>
          <w:tcPr>
            <w:tcW w:w="1710" w:type="dxa"/>
            <w:tcBorders>
              <w:top w:val="nil"/>
              <w:left w:val="nil"/>
            </w:tcBorders>
          </w:tcPr>
          <w:p w:rsidR="00507A30" w:rsidRPr="00BD113C" w:rsidRDefault="00507A30" w:rsidP="005538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you:</w:t>
            </w:r>
          </w:p>
        </w:tc>
        <w:tc>
          <w:tcPr>
            <w:tcW w:w="6570" w:type="dxa"/>
            <w:tcBorders>
              <w:top w:val="single" w:sz="4" w:space="0" w:color="auto"/>
            </w:tcBorders>
          </w:tcPr>
          <w:p w:rsidR="00507A30" w:rsidRPr="007374AC" w:rsidRDefault="00507A30" w:rsidP="005538BB">
            <w:pPr>
              <w:rPr>
                <w:b/>
              </w:rPr>
            </w:pPr>
            <w:r>
              <w:rPr>
                <w:b/>
              </w:rPr>
              <w:t>Interpretation:</w:t>
            </w:r>
          </w:p>
        </w:tc>
      </w:tr>
      <w:tr w:rsidR="00507A30" w:rsidRPr="00F33334" w:rsidTr="00507A30">
        <w:tc>
          <w:tcPr>
            <w:tcW w:w="1710" w:type="dxa"/>
            <w:vAlign w:val="center"/>
          </w:tcPr>
          <w:p w:rsidR="00507A30" w:rsidRPr="007374AC" w:rsidRDefault="00507A30" w:rsidP="00B2491B">
            <w:pPr>
              <w:rPr>
                <w:b/>
              </w:rPr>
            </w:pPr>
            <w:r>
              <w:rPr>
                <w:b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6570" w:type="dxa"/>
          </w:tcPr>
          <w:p w:rsidR="00507A30" w:rsidRPr="00507A30" w:rsidRDefault="00507A30" w:rsidP="00507A30">
            <w:pPr>
              <w:jc w:val="center"/>
              <w:rPr>
                <w:b/>
              </w:rPr>
            </w:pPr>
            <w:r>
              <w:t xml:space="preserve">At the </w:t>
            </w:r>
            <m:oMath>
              <m:r>
                <w:rPr>
                  <w:rFonts w:ascii="Cambria Math" w:hAnsi="Cambria Math"/>
                </w:rPr>
                <m:t xml:space="preserve">α </m:t>
              </m:r>
            </m:oMath>
            <w:r>
              <w:rPr>
                <w:rFonts w:eastAsiaTheme="minorEastAsia"/>
              </w:rPr>
              <w:t>significance level, we can conclude that the probability distribution of [</w:t>
            </w:r>
            <w:r w:rsidRPr="00507A30">
              <w:rPr>
                <w:rFonts w:eastAsiaTheme="minorEastAsia"/>
                <w:i/>
              </w:rPr>
              <w:t>the variable</w:t>
            </w:r>
            <w:r>
              <w:rPr>
                <w:rFonts w:eastAsiaTheme="minorEastAsia"/>
              </w:rPr>
              <w:t xml:space="preserve">] is not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  <w:tr w:rsidR="00507A30" w:rsidRPr="00F33334" w:rsidTr="00507A30">
        <w:tc>
          <w:tcPr>
            <w:tcW w:w="1710" w:type="dxa"/>
            <w:vAlign w:val="center"/>
          </w:tcPr>
          <w:p w:rsidR="00507A30" w:rsidRPr="007374AC" w:rsidRDefault="00E37B9C" w:rsidP="00B2491B">
            <w:pPr>
              <w:rPr>
                <w:b/>
              </w:rPr>
            </w:pPr>
            <w:r>
              <w:rPr>
                <w:b/>
              </w:rPr>
              <w:t>Do not</w:t>
            </w:r>
            <w:r w:rsidR="00507A30">
              <w:rPr>
                <w:b/>
              </w:rPr>
              <w:t xml:space="preserve"> reject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6570" w:type="dxa"/>
            <w:vAlign w:val="center"/>
          </w:tcPr>
          <w:p w:rsidR="00507A30" w:rsidRPr="00F33334" w:rsidRDefault="00507A30" w:rsidP="004B3F60">
            <w:pPr>
              <w:jc w:val="center"/>
            </w:pPr>
            <w:r>
              <w:t xml:space="preserve">At the </w:t>
            </w:r>
            <m:oMath>
              <m:r>
                <w:rPr>
                  <w:rFonts w:ascii="Cambria Math" w:hAnsi="Cambria Math"/>
                </w:rPr>
                <m:t xml:space="preserve">α </m:t>
              </m:r>
            </m:oMath>
            <w:r>
              <w:rPr>
                <w:rFonts w:eastAsiaTheme="minorEastAsia"/>
              </w:rPr>
              <w:t xml:space="preserve">significance level, </w:t>
            </w:r>
            <w:r w:rsidR="004B3F60">
              <w:rPr>
                <w:rFonts w:eastAsiaTheme="minorEastAsia"/>
              </w:rPr>
              <w:t>we cannot conclude</w:t>
            </w:r>
            <w:r>
              <w:rPr>
                <w:rFonts w:eastAsiaTheme="minorEastAsia"/>
              </w:rPr>
              <w:t xml:space="preserve"> that the probability distribution of [</w:t>
            </w:r>
            <w:r w:rsidRPr="00507A30">
              <w:rPr>
                <w:rFonts w:eastAsiaTheme="minorEastAsia"/>
                <w:i/>
              </w:rPr>
              <w:t>the variable</w:t>
            </w:r>
            <w:r>
              <w:rPr>
                <w:rFonts w:eastAsiaTheme="minorEastAsia"/>
              </w:rPr>
              <w:t xml:space="preserve">] is different from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  <w:tr w:rsidR="00B2491B" w:rsidRPr="007374AC" w:rsidTr="00507A30">
        <w:tc>
          <w:tcPr>
            <w:tcW w:w="8280" w:type="dxa"/>
            <w:gridSpan w:val="2"/>
          </w:tcPr>
          <w:p w:rsidR="00B2491B" w:rsidRPr="007374AC" w:rsidRDefault="00B2491B" w:rsidP="005538BB">
            <w:r w:rsidRPr="007374AC">
              <w:t xml:space="preserve">NOTES: </w:t>
            </w:r>
          </w:p>
          <w:p w:rsidR="00B2491B" w:rsidRPr="002929F8" w:rsidRDefault="00507A30" w:rsidP="00507A30">
            <w:pPr>
              <w:pStyle w:val="ListParagraph"/>
              <w:numPr>
                <w:ilvl w:val="0"/>
                <w:numId w:val="8"/>
              </w:numPr>
            </w:pPr>
            <w:r>
              <w:t xml:space="preserve">When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is rejected, you can then look at the distribution of outcomes in the sample for information about the true population distribution.</w:t>
            </w:r>
          </w:p>
          <w:p w:rsidR="002929F8" w:rsidRPr="007374AC" w:rsidRDefault="002929F8" w:rsidP="00356C18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eastAsiaTheme="minorEastAsia"/>
              </w:rPr>
              <w:t xml:space="preserve">Comparing the expected frequencies to the observed frequencies is often helpful to learn about how the actual distribution differs from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distribution.</w:t>
            </w:r>
          </w:p>
        </w:tc>
      </w:tr>
    </w:tbl>
    <w:p w:rsidR="005538BB" w:rsidRDefault="005538BB" w:rsidP="005538BB">
      <w:pPr>
        <w:jc w:val="center"/>
        <w:rPr>
          <w:rFonts w:eastAsiaTheme="minorEastAsia"/>
          <w:b/>
          <w:sz w:val="28"/>
          <w:szCs w:val="28"/>
          <w:u w:val="single"/>
        </w:rPr>
      </w:pPr>
    </w:p>
    <w:p w:rsidR="005538BB" w:rsidRDefault="005538BB" w:rsidP="005538BB">
      <w:pPr>
        <w:jc w:val="center"/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t>Assumptions Underlying These Hypothesis Tests</w:t>
      </w:r>
    </w:p>
    <w:p w:rsidR="005538BB" w:rsidRDefault="005538BB" w:rsidP="005538BB">
      <w:pPr>
        <w:rPr>
          <w:rFonts w:eastAsiaTheme="minorEastAsia"/>
        </w:rPr>
      </w:pPr>
    </w:p>
    <w:p w:rsidR="005538BB" w:rsidRDefault="005538BB" w:rsidP="005538BB">
      <w:pPr>
        <w:rPr>
          <w:rFonts w:eastAsiaTheme="minorEastAsia"/>
        </w:rPr>
      </w:pPr>
      <w:r>
        <w:rPr>
          <w:rFonts w:eastAsiaTheme="minorEastAsia"/>
        </w:rPr>
        <w:t xml:space="preserve">All hypothesis tests </w:t>
      </w:r>
      <w:r w:rsidR="0036571E">
        <w:rPr>
          <w:rFonts w:eastAsiaTheme="minorEastAsia"/>
        </w:rPr>
        <w:t xml:space="preserve">use </w:t>
      </w:r>
      <w:r>
        <w:rPr>
          <w:rFonts w:eastAsiaTheme="minorEastAsia"/>
        </w:rPr>
        <w:t xml:space="preserve">sampling distributions to determine the probability of sample statistics. In order for us to be confident </w:t>
      </w:r>
      <w:r w:rsidR="00E704D0">
        <w:rPr>
          <w:rFonts w:eastAsiaTheme="minorEastAsia"/>
        </w:rPr>
        <w:t>that</w:t>
      </w:r>
      <w:r>
        <w:rPr>
          <w:rFonts w:eastAsiaTheme="minorEastAsia"/>
        </w:rPr>
        <w:t xml:space="preserve"> our choice of sampling distribution for any given test</w:t>
      </w:r>
      <w:r w:rsidR="00E704D0">
        <w:rPr>
          <w:rFonts w:eastAsiaTheme="minorEastAsia"/>
        </w:rPr>
        <w:t xml:space="preserve"> really is the way the sample statistic is distributed</w:t>
      </w:r>
      <w:r>
        <w:rPr>
          <w:rFonts w:eastAsiaTheme="minorEastAsia"/>
        </w:rPr>
        <w:t>, c</w:t>
      </w:r>
      <w:r w:rsidR="0036571E">
        <w:rPr>
          <w:rFonts w:eastAsiaTheme="minorEastAsia"/>
        </w:rPr>
        <w:t>ertain assumptions must be met. If the assumptions are not met – that is, if any given assumption is not true – then we cannot rely on the results of the hypothesis tests. They may</w:t>
      </w:r>
      <w:r w:rsidR="00E704D0">
        <w:rPr>
          <w:rFonts w:eastAsiaTheme="minorEastAsia"/>
        </w:rPr>
        <w:t xml:space="preserve"> mislead us, give us the wrong answers, and cause us to draw the wrong conclusions.</w:t>
      </w:r>
    </w:p>
    <w:p w:rsidR="0036571E" w:rsidRDefault="0036571E" w:rsidP="005538BB">
      <w:pPr>
        <w:rPr>
          <w:rFonts w:eastAsiaTheme="minorEastAsia"/>
        </w:rPr>
      </w:pPr>
    </w:p>
    <w:p w:rsidR="00507A30" w:rsidRDefault="00507A30" w:rsidP="00507A30">
      <w:r>
        <w:t xml:space="preserve">For Goodness-of-Fit Tests, the only assumption that must be satisfied is that the expected frequency for each category must be greater than five: </w:t>
      </w:r>
    </w:p>
    <w:p w:rsidR="008F20B6" w:rsidRDefault="008F20B6" w:rsidP="00507A30"/>
    <w:p w:rsidR="00036889" w:rsidRDefault="00FA45BF" w:rsidP="00507A3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≥5</m:t>
          </m:r>
        </m:oMath>
      </m:oMathPara>
    </w:p>
    <w:p w:rsidR="007730CD" w:rsidRDefault="007730CD">
      <w:r>
        <w:br w:type="page"/>
      </w:r>
    </w:p>
    <w:p w:rsidR="00356C18" w:rsidRDefault="00491835" w:rsidP="00356C18">
      <w:pPr>
        <w:rPr>
          <w:rFonts w:eastAsiaTheme="minorEastAsia"/>
        </w:rPr>
      </w:pPr>
      <w:r>
        <w:rPr>
          <w:i/>
        </w:rPr>
        <w:t xml:space="preserve">Exercise: </w:t>
      </w:r>
      <w:r>
        <w:t>A</w:t>
      </w:r>
      <w:r w:rsidR="00356C18" w:rsidRPr="00356C18">
        <w:rPr>
          <w:rFonts w:eastAsiaTheme="minorEastAsia"/>
        </w:rPr>
        <w:t xml:space="preserve"> </w:t>
      </w:r>
      <w:r w:rsidR="00356C18">
        <w:rPr>
          <w:rFonts w:eastAsiaTheme="minorEastAsia"/>
        </w:rPr>
        <w:t xml:space="preserve">bike shop sells bikes with frames made from four different materials: carbon fiber, aluminum, steel, and titanium. In the past, the share of sales by type of frame was 17% carbon fiber, 53% aluminum, 12% steel, and 18% titanium. The bike shop decided to use a Goodness-of-Fit test at the </w:t>
      </w:r>
      <m:oMath>
        <m:r>
          <m:rPr>
            <m:sty m:val="bi"/>
          </m:rPr>
          <w:rPr>
            <w:rFonts w:ascii="Cambria Math" w:eastAsiaTheme="minorEastAsia" w:hAnsi="Cambria Math"/>
          </w:rPr>
          <m:t>α=0.05</m:t>
        </m:r>
      </m:oMath>
      <w:r w:rsidR="00356C18" w:rsidRPr="00D43900">
        <w:rPr>
          <w:rFonts w:eastAsiaTheme="minorEastAsia"/>
          <w:b/>
        </w:rPr>
        <w:t xml:space="preserve"> significance level</w:t>
      </w:r>
      <w:r w:rsidR="00356C18">
        <w:rPr>
          <w:rFonts w:eastAsiaTheme="minorEastAsia"/>
        </w:rPr>
        <w:t xml:space="preserve"> to see whether the probability of sales by frame type has changed from what it was in the past. In a random sample of 250 bike sales, the following frequencies were observed:</w:t>
      </w:r>
    </w:p>
    <w:p w:rsidR="00356C18" w:rsidRDefault="00356C18" w:rsidP="00356C18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260"/>
      </w:tblGrid>
      <w:tr w:rsidR="00356C18" w:rsidTr="008040A6">
        <w:tc>
          <w:tcPr>
            <w:tcW w:w="1075" w:type="dxa"/>
            <w:vAlign w:val="bottom"/>
          </w:tcPr>
          <w:p w:rsidR="00356C18" w:rsidRPr="001E3BF8" w:rsidRDefault="00356C18" w:rsidP="008040A6">
            <w:pPr>
              <w:jc w:val="center"/>
              <w:rPr>
                <w:rFonts w:eastAsiaTheme="minorEastAsia"/>
                <w:b/>
              </w:rPr>
            </w:pPr>
            <w:r w:rsidRPr="001E3BF8">
              <w:rPr>
                <w:rFonts w:eastAsiaTheme="minorEastAsia"/>
                <w:b/>
              </w:rPr>
              <w:t>Category</w:t>
            </w:r>
          </w:p>
        </w:tc>
        <w:tc>
          <w:tcPr>
            <w:tcW w:w="1620" w:type="dxa"/>
            <w:vAlign w:val="bottom"/>
          </w:tcPr>
          <w:p w:rsidR="00356C18" w:rsidRPr="001E3BF8" w:rsidRDefault="00356C18" w:rsidP="00356C18">
            <w:pPr>
              <w:rPr>
                <w:rFonts w:eastAsiaTheme="minorEastAsia"/>
                <w:b/>
              </w:rPr>
            </w:pPr>
            <w:r w:rsidRPr="001E3BF8">
              <w:rPr>
                <w:rFonts w:eastAsiaTheme="minorEastAsia"/>
                <w:b/>
              </w:rPr>
              <w:t xml:space="preserve">Frame </w:t>
            </w:r>
            <w:r>
              <w:rPr>
                <w:rFonts w:eastAsiaTheme="minorEastAsia"/>
                <w:b/>
              </w:rPr>
              <w:t>Type</w:t>
            </w:r>
          </w:p>
        </w:tc>
        <w:tc>
          <w:tcPr>
            <w:tcW w:w="1260" w:type="dxa"/>
            <w:vAlign w:val="bottom"/>
          </w:tcPr>
          <w:p w:rsidR="00356C18" w:rsidRPr="001E3BF8" w:rsidRDefault="00356C18" w:rsidP="008040A6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Number of bikes sold</w:t>
            </w:r>
          </w:p>
        </w:tc>
      </w:tr>
      <w:tr w:rsidR="00356C18" w:rsidTr="008040A6">
        <w:tc>
          <w:tcPr>
            <w:tcW w:w="1075" w:type="dxa"/>
          </w:tcPr>
          <w:p w:rsidR="00356C18" w:rsidRDefault="00356C18" w:rsidP="008040A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20" w:type="dxa"/>
          </w:tcPr>
          <w:p w:rsidR="00356C18" w:rsidRDefault="00356C18" w:rsidP="008040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Carbon Fiber</w:t>
            </w:r>
          </w:p>
        </w:tc>
        <w:tc>
          <w:tcPr>
            <w:tcW w:w="1260" w:type="dxa"/>
          </w:tcPr>
          <w:p w:rsidR="00356C18" w:rsidRDefault="00356C18" w:rsidP="008040A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</w:t>
            </w:r>
          </w:p>
        </w:tc>
      </w:tr>
      <w:tr w:rsidR="00356C18" w:rsidTr="008040A6">
        <w:tc>
          <w:tcPr>
            <w:tcW w:w="1075" w:type="dxa"/>
          </w:tcPr>
          <w:p w:rsidR="00356C18" w:rsidRDefault="00356C18" w:rsidP="008040A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620" w:type="dxa"/>
          </w:tcPr>
          <w:p w:rsidR="00356C18" w:rsidRDefault="00356C18" w:rsidP="008040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Aluminum</w:t>
            </w:r>
          </w:p>
        </w:tc>
        <w:tc>
          <w:tcPr>
            <w:tcW w:w="1260" w:type="dxa"/>
          </w:tcPr>
          <w:p w:rsidR="00356C18" w:rsidRDefault="00356C18" w:rsidP="008040A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128</w:t>
            </w:r>
          </w:p>
        </w:tc>
      </w:tr>
      <w:tr w:rsidR="00356C18" w:rsidTr="008040A6">
        <w:tc>
          <w:tcPr>
            <w:tcW w:w="1075" w:type="dxa"/>
          </w:tcPr>
          <w:p w:rsidR="00356C18" w:rsidRDefault="00356C18" w:rsidP="008040A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620" w:type="dxa"/>
          </w:tcPr>
          <w:p w:rsidR="00356C18" w:rsidRDefault="00356C18" w:rsidP="008040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Steel</w:t>
            </w:r>
          </w:p>
        </w:tc>
        <w:tc>
          <w:tcPr>
            <w:tcW w:w="1260" w:type="dxa"/>
          </w:tcPr>
          <w:p w:rsidR="00356C18" w:rsidRDefault="00356C18" w:rsidP="008040A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</w:tr>
      <w:tr w:rsidR="00356C18" w:rsidTr="008040A6">
        <w:tc>
          <w:tcPr>
            <w:tcW w:w="1075" w:type="dxa"/>
          </w:tcPr>
          <w:p w:rsidR="00356C18" w:rsidRDefault="00356C18" w:rsidP="008040A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620" w:type="dxa"/>
          </w:tcPr>
          <w:p w:rsidR="00356C18" w:rsidRDefault="00356C18" w:rsidP="008040A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Titanium</w:t>
            </w:r>
          </w:p>
        </w:tc>
        <w:tc>
          <w:tcPr>
            <w:tcW w:w="1260" w:type="dxa"/>
          </w:tcPr>
          <w:p w:rsidR="00356C18" w:rsidRDefault="00356C18" w:rsidP="008040A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</w:tr>
    </w:tbl>
    <w:p w:rsidR="00491835" w:rsidRDefault="00491835" w:rsidP="00356C18"/>
    <w:p w:rsidR="00491835" w:rsidRDefault="00491835" w:rsidP="00491835">
      <w:r>
        <w:t xml:space="preserve">Start by formulating the null and alternative hypotheses: </w:t>
      </w:r>
    </w:p>
    <w:p w:rsidR="00491835" w:rsidRDefault="00491835" w:rsidP="00491835"/>
    <w:p w:rsidR="00491835" w:rsidRDefault="00491835" w:rsidP="00491835"/>
    <w:p w:rsidR="00491835" w:rsidRDefault="00491835" w:rsidP="00491835"/>
    <w:p w:rsidR="00491835" w:rsidRDefault="00491835" w:rsidP="00491835"/>
    <w:p w:rsidR="00491835" w:rsidRDefault="00491835" w:rsidP="00491835"/>
    <w:p w:rsidR="00491835" w:rsidRDefault="00491835" w:rsidP="00491835"/>
    <w:p w:rsidR="00491835" w:rsidRDefault="00491835" w:rsidP="00491835">
      <w:r>
        <w:t>From the null hypothesis, fill in the Hypothesized Probability column.</w:t>
      </w:r>
    </w:p>
    <w:p w:rsidR="00491835" w:rsidRDefault="00491835" w:rsidP="00491835">
      <w:r>
        <w:t>From the sample data, fill in the Observed Frequency column.</w:t>
      </w:r>
    </w:p>
    <w:p w:rsidR="005B5520" w:rsidRDefault="005B5520" w:rsidP="00491835"/>
    <w:p w:rsidR="00491835" w:rsidRPr="00906301" w:rsidRDefault="00491835" w:rsidP="00491835">
      <w:r>
        <w:t xml:space="preserve">For each row, the Expected Frequency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tbl>
      <w:tblPr>
        <w:tblStyle w:val="TableGrid"/>
        <w:tblW w:w="9356" w:type="dxa"/>
        <w:tblLayout w:type="fixed"/>
        <w:tblLook w:val="04A0" w:firstRow="1" w:lastRow="0" w:firstColumn="1" w:lastColumn="0" w:noHBand="0" w:noVBand="1"/>
      </w:tblPr>
      <w:tblGrid>
        <w:gridCol w:w="1692"/>
        <w:gridCol w:w="1170"/>
        <w:gridCol w:w="1561"/>
        <w:gridCol w:w="1417"/>
        <w:gridCol w:w="6"/>
        <w:gridCol w:w="1344"/>
        <w:gridCol w:w="2160"/>
        <w:gridCol w:w="6"/>
      </w:tblGrid>
      <w:tr w:rsidR="005A3C3B" w:rsidRPr="00B4237A" w:rsidTr="00F06722">
        <w:trPr>
          <w:gridAfter w:val="1"/>
          <w:wAfter w:w="6" w:type="dxa"/>
        </w:trPr>
        <w:tc>
          <w:tcPr>
            <w:tcW w:w="1692" w:type="dxa"/>
            <w:vAlign w:val="bottom"/>
          </w:tcPr>
          <w:p w:rsidR="005A3C3B" w:rsidRPr="00B4237A" w:rsidRDefault="00356C18" w:rsidP="00F06722">
            <w:pPr>
              <w:jc w:val="center"/>
              <w:rPr>
                <w:b/>
              </w:rPr>
            </w:pPr>
            <w:r w:rsidRPr="00B4237A">
              <w:rPr>
                <w:b/>
              </w:rPr>
              <w:t>Frame material</w:t>
            </w:r>
          </w:p>
        </w:tc>
        <w:tc>
          <w:tcPr>
            <w:tcW w:w="1170" w:type="dxa"/>
            <w:vAlign w:val="bottom"/>
          </w:tcPr>
          <w:p w:rsidR="005A3C3B" w:rsidRPr="00B4237A" w:rsidRDefault="005A3C3B" w:rsidP="00F06722">
            <w:pPr>
              <w:jc w:val="center"/>
              <w:rPr>
                <w:b/>
              </w:rPr>
            </w:pPr>
            <w:r w:rsidRPr="00B4237A">
              <w:rPr>
                <w:b/>
              </w:rPr>
              <w:t>Category</w:t>
            </w:r>
          </w:p>
        </w:tc>
        <w:tc>
          <w:tcPr>
            <w:tcW w:w="1561" w:type="dxa"/>
            <w:vAlign w:val="bottom"/>
          </w:tcPr>
          <w:p w:rsidR="005A3C3B" w:rsidRPr="00B4237A" w:rsidRDefault="005A3C3B" w:rsidP="00F06722">
            <w:pPr>
              <w:jc w:val="center"/>
              <w:rPr>
                <w:b/>
              </w:rPr>
            </w:pPr>
            <w:r w:rsidRPr="00B4237A">
              <w:rPr>
                <w:b/>
              </w:rPr>
              <w:t>Hypothesized</w:t>
            </w:r>
          </w:p>
          <w:p w:rsidR="005A3C3B" w:rsidRPr="00B4237A" w:rsidRDefault="005A3C3B" w:rsidP="00F06722">
            <w:pPr>
              <w:jc w:val="center"/>
              <w:rPr>
                <w:b/>
              </w:rPr>
            </w:pPr>
            <w:r w:rsidRPr="00B4237A">
              <w:rPr>
                <w:b/>
              </w:rPr>
              <w:t>Probability</w:t>
            </w:r>
          </w:p>
        </w:tc>
        <w:tc>
          <w:tcPr>
            <w:tcW w:w="1417" w:type="dxa"/>
            <w:vAlign w:val="bottom"/>
          </w:tcPr>
          <w:p w:rsidR="005A3C3B" w:rsidRPr="00B4237A" w:rsidRDefault="005A3C3B" w:rsidP="00F06722">
            <w:pPr>
              <w:jc w:val="center"/>
              <w:rPr>
                <w:b/>
              </w:rPr>
            </w:pPr>
            <w:r w:rsidRPr="00B4237A">
              <w:rPr>
                <w:b/>
              </w:rPr>
              <w:t>Observed Frequency</w:t>
            </w:r>
          </w:p>
        </w:tc>
        <w:tc>
          <w:tcPr>
            <w:tcW w:w="1350" w:type="dxa"/>
            <w:gridSpan w:val="2"/>
            <w:vAlign w:val="bottom"/>
          </w:tcPr>
          <w:p w:rsidR="005A3C3B" w:rsidRPr="00B4237A" w:rsidRDefault="005A3C3B" w:rsidP="00F06722">
            <w:pPr>
              <w:jc w:val="center"/>
              <w:rPr>
                <w:b/>
              </w:rPr>
            </w:pPr>
            <w:r w:rsidRPr="00B4237A">
              <w:rPr>
                <w:b/>
              </w:rPr>
              <w:t>Expected Frequency</w:t>
            </w:r>
          </w:p>
        </w:tc>
        <w:tc>
          <w:tcPr>
            <w:tcW w:w="2160" w:type="dxa"/>
            <w:vAlign w:val="bottom"/>
          </w:tcPr>
          <w:p w:rsidR="005A3C3B" w:rsidRPr="00B4237A" w:rsidRDefault="005A3C3B" w:rsidP="00F06722">
            <w:pPr>
              <w:jc w:val="center"/>
              <w:rPr>
                <w:b/>
              </w:rPr>
            </w:pPr>
            <w:r w:rsidRPr="00B4237A">
              <w:rPr>
                <w:b/>
              </w:rPr>
              <w:t>Difference Squared/</w:t>
            </w:r>
          </w:p>
          <w:p w:rsidR="005A3C3B" w:rsidRPr="00B4237A" w:rsidRDefault="005A3C3B" w:rsidP="00F06722">
            <w:pPr>
              <w:jc w:val="center"/>
              <w:rPr>
                <w:b/>
              </w:rPr>
            </w:pPr>
            <w:r w:rsidRPr="00B4237A">
              <w:rPr>
                <w:b/>
              </w:rPr>
              <w:t>Expected Frequency</w:t>
            </w:r>
          </w:p>
        </w:tc>
      </w:tr>
      <w:tr w:rsidR="005A3C3B" w:rsidTr="00356C18">
        <w:trPr>
          <w:gridAfter w:val="1"/>
          <w:wAfter w:w="6" w:type="dxa"/>
        </w:trPr>
        <w:tc>
          <w:tcPr>
            <w:tcW w:w="1692" w:type="dxa"/>
          </w:tcPr>
          <w:p w:rsidR="005A3C3B" w:rsidRDefault="005A3C3B" w:rsidP="00621522">
            <w:pPr>
              <w:jc w:val="center"/>
            </w:pPr>
          </w:p>
        </w:tc>
        <w:tc>
          <w:tcPr>
            <w:tcW w:w="1170" w:type="dxa"/>
            <w:vAlign w:val="center"/>
          </w:tcPr>
          <w:p w:rsidR="005A3C3B" w:rsidRDefault="005A3C3B" w:rsidP="005A3C3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(i)</m:t>
                </m:r>
              </m:oMath>
            </m:oMathPara>
          </w:p>
        </w:tc>
        <w:tc>
          <w:tcPr>
            <w:tcW w:w="1561" w:type="dxa"/>
            <w:vAlign w:val="center"/>
          </w:tcPr>
          <w:p w:rsidR="005A3C3B" w:rsidRDefault="00FA45BF" w:rsidP="005A3C3B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7" w:type="dxa"/>
            <w:vAlign w:val="center"/>
          </w:tcPr>
          <w:p w:rsidR="005A3C3B" w:rsidRDefault="00FA45BF" w:rsidP="005A3C3B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50" w:type="dxa"/>
            <w:gridSpan w:val="2"/>
            <w:vAlign w:val="center"/>
          </w:tcPr>
          <w:p w:rsidR="005A3C3B" w:rsidRDefault="00FA45BF" w:rsidP="005A3C3B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60" w:type="dxa"/>
          </w:tcPr>
          <w:p w:rsidR="005A3C3B" w:rsidRDefault="00FA45BF" w:rsidP="0062152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5A3C3B" w:rsidTr="00F06722">
        <w:trPr>
          <w:gridAfter w:val="1"/>
          <w:wAfter w:w="6" w:type="dxa"/>
          <w:trHeight w:val="432"/>
        </w:trPr>
        <w:tc>
          <w:tcPr>
            <w:tcW w:w="1692" w:type="dxa"/>
            <w:vAlign w:val="center"/>
          </w:tcPr>
          <w:p w:rsidR="005A3C3B" w:rsidRDefault="00356C18" w:rsidP="00F06722">
            <w:pPr>
              <w:jc w:val="center"/>
            </w:pPr>
            <w:r>
              <w:t>Carbon Fiber</w:t>
            </w:r>
          </w:p>
        </w:tc>
        <w:tc>
          <w:tcPr>
            <w:tcW w:w="1170" w:type="dxa"/>
            <w:vAlign w:val="center"/>
          </w:tcPr>
          <w:p w:rsidR="005A3C3B" w:rsidRDefault="005A3C3B" w:rsidP="00F06722">
            <w:pPr>
              <w:jc w:val="center"/>
            </w:pPr>
            <w:r>
              <w:t>1</w:t>
            </w:r>
          </w:p>
        </w:tc>
        <w:tc>
          <w:tcPr>
            <w:tcW w:w="1561" w:type="dxa"/>
          </w:tcPr>
          <w:p w:rsidR="005A3C3B" w:rsidRDefault="005A3C3B" w:rsidP="00621522">
            <w:pPr>
              <w:jc w:val="center"/>
            </w:pPr>
          </w:p>
        </w:tc>
        <w:tc>
          <w:tcPr>
            <w:tcW w:w="1417" w:type="dxa"/>
          </w:tcPr>
          <w:p w:rsidR="005A3C3B" w:rsidRDefault="005A3C3B" w:rsidP="00621522">
            <w:pPr>
              <w:jc w:val="center"/>
            </w:pPr>
          </w:p>
        </w:tc>
        <w:tc>
          <w:tcPr>
            <w:tcW w:w="1350" w:type="dxa"/>
            <w:gridSpan w:val="2"/>
          </w:tcPr>
          <w:p w:rsidR="005A3C3B" w:rsidRDefault="005A3C3B" w:rsidP="00621522">
            <w:pPr>
              <w:jc w:val="center"/>
            </w:pPr>
          </w:p>
        </w:tc>
        <w:tc>
          <w:tcPr>
            <w:tcW w:w="2160" w:type="dxa"/>
          </w:tcPr>
          <w:p w:rsidR="005A3C3B" w:rsidRDefault="005A3C3B" w:rsidP="00621522">
            <w:pPr>
              <w:jc w:val="center"/>
            </w:pPr>
          </w:p>
        </w:tc>
      </w:tr>
      <w:tr w:rsidR="005A3C3B" w:rsidTr="00F06722">
        <w:trPr>
          <w:gridAfter w:val="1"/>
          <w:wAfter w:w="6" w:type="dxa"/>
          <w:trHeight w:val="432"/>
        </w:trPr>
        <w:tc>
          <w:tcPr>
            <w:tcW w:w="1692" w:type="dxa"/>
            <w:vAlign w:val="center"/>
          </w:tcPr>
          <w:p w:rsidR="005A3C3B" w:rsidRDefault="00356C18" w:rsidP="00F06722">
            <w:pPr>
              <w:jc w:val="center"/>
            </w:pPr>
            <w:r>
              <w:t>Aluminum</w:t>
            </w:r>
          </w:p>
        </w:tc>
        <w:tc>
          <w:tcPr>
            <w:tcW w:w="1170" w:type="dxa"/>
            <w:vAlign w:val="center"/>
          </w:tcPr>
          <w:p w:rsidR="005A3C3B" w:rsidRDefault="005A3C3B" w:rsidP="00F06722">
            <w:pPr>
              <w:jc w:val="center"/>
            </w:pPr>
            <w:r>
              <w:t>2</w:t>
            </w:r>
          </w:p>
        </w:tc>
        <w:tc>
          <w:tcPr>
            <w:tcW w:w="1561" w:type="dxa"/>
          </w:tcPr>
          <w:p w:rsidR="005A3C3B" w:rsidRDefault="005A3C3B" w:rsidP="00621522">
            <w:pPr>
              <w:jc w:val="center"/>
            </w:pPr>
          </w:p>
        </w:tc>
        <w:tc>
          <w:tcPr>
            <w:tcW w:w="1417" w:type="dxa"/>
          </w:tcPr>
          <w:p w:rsidR="005A3C3B" w:rsidRDefault="005A3C3B" w:rsidP="00621522">
            <w:pPr>
              <w:jc w:val="center"/>
            </w:pPr>
          </w:p>
        </w:tc>
        <w:tc>
          <w:tcPr>
            <w:tcW w:w="1350" w:type="dxa"/>
            <w:gridSpan w:val="2"/>
          </w:tcPr>
          <w:p w:rsidR="005A3C3B" w:rsidRDefault="005A3C3B" w:rsidP="00621522">
            <w:pPr>
              <w:jc w:val="center"/>
            </w:pPr>
          </w:p>
        </w:tc>
        <w:tc>
          <w:tcPr>
            <w:tcW w:w="2160" w:type="dxa"/>
          </w:tcPr>
          <w:p w:rsidR="005A3C3B" w:rsidRDefault="005A3C3B" w:rsidP="00621522">
            <w:pPr>
              <w:jc w:val="center"/>
            </w:pPr>
          </w:p>
        </w:tc>
      </w:tr>
      <w:tr w:rsidR="005A3C3B" w:rsidTr="00F06722">
        <w:trPr>
          <w:gridAfter w:val="1"/>
          <w:wAfter w:w="6" w:type="dxa"/>
          <w:trHeight w:val="432"/>
        </w:trPr>
        <w:tc>
          <w:tcPr>
            <w:tcW w:w="1692" w:type="dxa"/>
            <w:vAlign w:val="center"/>
          </w:tcPr>
          <w:p w:rsidR="005A3C3B" w:rsidRDefault="00356C18" w:rsidP="00F06722">
            <w:pPr>
              <w:jc w:val="center"/>
            </w:pPr>
            <w:r>
              <w:t>Steel</w:t>
            </w:r>
          </w:p>
        </w:tc>
        <w:tc>
          <w:tcPr>
            <w:tcW w:w="1170" w:type="dxa"/>
            <w:vAlign w:val="center"/>
          </w:tcPr>
          <w:p w:rsidR="005A3C3B" w:rsidRDefault="005A3C3B" w:rsidP="00F06722">
            <w:pPr>
              <w:jc w:val="center"/>
            </w:pPr>
            <w:r>
              <w:t>3</w:t>
            </w:r>
          </w:p>
        </w:tc>
        <w:tc>
          <w:tcPr>
            <w:tcW w:w="1561" w:type="dxa"/>
          </w:tcPr>
          <w:p w:rsidR="005A3C3B" w:rsidRDefault="005A3C3B" w:rsidP="00621522">
            <w:pPr>
              <w:jc w:val="center"/>
            </w:pPr>
          </w:p>
        </w:tc>
        <w:tc>
          <w:tcPr>
            <w:tcW w:w="1417" w:type="dxa"/>
          </w:tcPr>
          <w:p w:rsidR="005A3C3B" w:rsidRDefault="005A3C3B" w:rsidP="00621522">
            <w:pPr>
              <w:jc w:val="center"/>
            </w:pPr>
          </w:p>
        </w:tc>
        <w:tc>
          <w:tcPr>
            <w:tcW w:w="1350" w:type="dxa"/>
            <w:gridSpan w:val="2"/>
          </w:tcPr>
          <w:p w:rsidR="005A3C3B" w:rsidRDefault="005A3C3B" w:rsidP="00621522">
            <w:pPr>
              <w:jc w:val="center"/>
            </w:pPr>
          </w:p>
        </w:tc>
        <w:tc>
          <w:tcPr>
            <w:tcW w:w="2160" w:type="dxa"/>
          </w:tcPr>
          <w:p w:rsidR="005A3C3B" w:rsidRDefault="005A3C3B" w:rsidP="00621522">
            <w:pPr>
              <w:jc w:val="center"/>
            </w:pPr>
          </w:p>
        </w:tc>
      </w:tr>
      <w:tr w:rsidR="005A3C3B" w:rsidTr="00F06722">
        <w:trPr>
          <w:gridAfter w:val="1"/>
          <w:wAfter w:w="6" w:type="dxa"/>
          <w:trHeight w:val="432"/>
        </w:trPr>
        <w:tc>
          <w:tcPr>
            <w:tcW w:w="1692" w:type="dxa"/>
            <w:tcBorders>
              <w:bottom w:val="single" w:sz="4" w:space="0" w:color="auto"/>
            </w:tcBorders>
            <w:vAlign w:val="center"/>
          </w:tcPr>
          <w:p w:rsidR="005A3C3B" w:rsidRDefault="00356C18" w:rsidP="00F06722">
            <w:pPr>
              <w:jc w:val="center"/>
            </w:pPr>
            <w:r>
              <w:t>Titanium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A3C3B" w:rsidRDefault="005A3C3B" w:rsidP="00F06722">
            <w:pPr>
              <w:jc w:val="center"/>
            </w:pPr>
            <w:r>
              <w:t>4</w:t>
            </w:r>
          </w:p>
        </w:tc>
        <w:tc>
          <w:tcPr>
            <w:tcW w:w="1561" w:type="dxa"/>
          </w:tcPr>
          <w:p w:rsidR="005A3C3B" w:rsidRDefault="005A3C3B" w:rsidP="00621522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A3C3B" w:rsidRDefault="005A3C3B" w:rsidP="00621522">
            <w:pPr>
              <w:jc w:val="center"/>
            </w:pPr>
          </w:p>
        </w:tc>
        <w:tc>
          <w:tcPr>
            <w:tcW w:w="1350" w:type="dxa"/>
            <w:gridSpan w:val="2"/>
          </w:tcPr>
          <w:p w:rsidR="005A3C3B" w:rsidRDefault="005A3C3B" w:rsidP="00621522">
            <w:pPr>
              <w:jc w:val="center"/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5A3C3B" w:rsidRDefault="005A3C3B" w:rsidP="00621522">
            <w:pPr>
              <w:jc w:val="center"/>
            </w:pPr>
          </w:p>
        </w:tc>
      </w:tr>
      <w:tr w:rsidR="005A3C3B" w:rsidTr="00B4237A">
        <w:trPr>
          <w:trHeight w:val="432"/>
        </w:trPr>
        <w:tc>
          <w:tcPr>
            <w:tcW w:w="1692" w:type="dxa"/>
            <w:tcBorders>
              <w:bottom w:val="single" w:sz="4" w:space="0" w:color="auto"/>
            </w:tcBorders>
          </w:tcPr>
          <w:p w:rsidR="005A3C3B" w:rsidRDefault="005A3C3B" w:rsidP="00621522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5A3C3B" w:rsidRDefault="005A3C3B" w:rsidP="00621522">
            <w:pPr>
              <w:jc w:val="center"/>
            </w:pPr>
          </w:p>
        </w:tc>
        <w:tc>
          <w:tcPr>
            <w:tcW w:w="2984" w:type="dxa"/>
            <w:gridSpan w:val="3"/>
            <w:vAlign w:val="center"/>
          </w:tcPr>
          <w:p w:rsidR="005A3C3B" w:rsidRDefault="00FA45BF" w:rsidP="00B4237A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3510" w:type="dxa"/>
            <w:gridSpan w:val="3"/>
            <w:vAlign w:val="center"/>
          </w:tcPr>
          <w:p w:rsidR="005A3C3B" w:rsidRPr="005A3C3B" w:rsidRDefault="00FA45BF" w:rsidP="005A3C3B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test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</m:oMath>
            </m:oMathPara>
          </w:p>
        </w:tc>
      </w:tr>
    </w:tbl>
    <w:p w:rsidR="00491835" w:rsidRDefault="00491835" w:rsidP="00491835"/>
    <w:p w:rsidR="00491835" w:rsidRDefault="00491835" w:rsidP="00491835">
      <w:pPr>
        <w:rPr>
          <w:rFonts w:eastAsiaTheme="minorEastAsia"/>
        </w:rPr>
      </w:pPr>
      <w:r>
        <w:t xml:space="preserve">The sum of the values in the last column is </w:t>
      </w:r>
      <w:r>
        <w:rPr>
          <w:rFonts w:eastAsiaTheme="minorEastAsia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test statistic. The test statistic and the critical value have </w:t>
      </w:r>
      <w:r>
        <w:rPr>
          <w:rFonts w:eastAsiaTheme="minorEastAsia"/>
          <w:i/>
        </w:rPr>
        <w:t>k</w:t>
      </w:r>
      <w:r>
        <w:rPr>
          <w:rFonts w:eastAsiaTheme="minorEastAsia"/>
        </w:rPr>
        <w:t xml:space="preserve"> – 1 degrees of freedom, where </w:t>
      </w:r>
      <w:r>
        <w:rPr>
          <w:rFonts w:eastAsiaTheme="minorEastAsia"/>
          <w:i/>
        </w:rPr>
        <w:t>k</w:t>
      </w:r>
      <w:r>
        <w:rPr>
          <w:rFonts w:eastAsiaTheme="minorEastAsia"/>
        </w:rPr>
        <w:t xml:space="preserve"> is the number of categories.</w:t>
      </w:r>
    </w:p>
    <w:p w:rsidR="00491835" w:rsidRDefault="00491835" w:rsidP="00491835">
      <w:pPr>
        <w:rPr>
          <w:rFonts w:eastAsiaTheme="minorEastAsia"/>
        </w:rPr>
      </w:pPr>
      <w:r>
        <w:rPr>
          <w:rFonts w:eastAsiaTheme="minorEastAsia"/>
        </w:rPr>
        <w:t>Now you are ready to complete the hypothesis test.</w:t>
      </w:r>
    </w:p>
    <w:p w:rsidR="00356C18" w:rsidRDefault="00356C1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56C18" w:rsidRDefault="00C4503A">
      <w:pPr>
        <w:rPr>
          <w:rFonts w:eastAsiaTheme="minorEastAsia"/>
        </w:rPr>
      </w:pPr>
      <w:r>
        <w:rPr>
          <w:rFonts w:eastAsiaTheme="minorEastAsia"/>
        </w:rPr>
        <w:t>(left blank for hypothesis test)</w:t>
      </w:r>
      <w:r w:rsidR="00356C18">
        <w:rPr>
          <w:rFonts w:eastAsiaTheme="minorEastAsia"/>
        </w:rPr>
        <w:br w:type="page"/>
      </w:r>
    </w:p>
    <w:p w:rsidR="00356C18" w:rsidRDefault="00356C18" w:rsidP="00491835">
      <w:pPr>
        <w:rPr>
          <w:rFonts w:eastAsiaTheme="minorEastAsia"/>
        </w:rPr>
      </w:pPr>
      <w:r>
        <w:rPr>
          <w:rFonts w:eastAsiaTheme="minorEastAsia"/>
        </w:rPr>
        <w:t xml:space="preserve">Because we have determined that the </w:t>
      </w:r>
      <w:r w:rsidR="00ED696F">
        <w:rPr>
          <w:rFonts w:eastAsiaTheme="minorEastAsia"/>
        </w:rPr>
        <w:t>distribution</w:t>
      </w:r>
      <w:r>
        <w:rPr>
          <w:rFonts w:eastAsiaTheme="minorEastAsia"/>
        </w:rPr>
        <w:t xml:space="preserve"> has changed from what it was in the past, the bike shop now wants more details. Whic</w:t>
      </w:r>
      <w:bookmarkStart w:id="0" w:name="_GoBack"/>
      <w:bookmarkEnd w:id="0"/>
      <w:r>
        <w:rPr>
          <w:rFonts w:eastAsiaTheme="minorEastAsia"/>
        </w:rPr>
        <w:t>h categories have seen the biggest changes? What adjustments should be made to inventory?</w:t>
      </w:r>
    </w:p>
    <w:p w:rsidR="00356C18" w:rsidRDefault="00356C18" w:rsidP="00491835">
      <w:pPr>
        <w:rPr>
          <w:rFonts w:eastAsiaTheme="minorEastAsia"/>
        </w:rPr>
      </w:pPr>
    </w:p>
    <w:p w:rsidR="007730CD" w:rsidRPr="00C4503A" w:rsidRDefault="00356C18" w:rsidP="00C4503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FC38958" wp14:editId="04AE2C5C">
            <wp:extent cx="5114925" cy="3081337"/>
            <wp:effectExtent l="0" t="0" r="9525" b="50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7730CD" w:rsidRPr="00C4503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5BF" w:rsidRDefault="00FA45BF" w:rsidP="00C75FFA">
      <w:r>
        <w:separator/>
      </w:r>
    </w:p>
  </w:endnote>
  <w:endnote w:type="continuationSeparator" w:id="0">
    <w:p w:rsidR="00FA45BF" w:rsidRDefault="00FA45BF" w:rsidP="00C75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277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24FD" w:rsidRDefault="000A24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5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A24FD" w:rsidRDefault="000A2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5BF" w:rsidRDefault="00FA45BF" w:rsidP="00C75FFA">
      <w:r>
        <w:separator/>
      </w:r>
    </w:p>
  </w:footnote>
  <w:footnote w:type="continuationSeparator" w:id="0">
    <w:p w:rsidR="00FA45BF" w:rsidRDefault="00FA45BF" w:rsidP="00C75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4FD" w:rsidRPr="00C75FFA" w:rsidRDefault="000A24FD">
    <w:pPr>
      <w:pStyle w:val="Header"/>
      <w:rPr>
        <w:i/>
      </w:rPr>
    </w:pPr>
    <w:r>
      <w:rPr>
        <w:i/>
      </w:rPr>
      <w:t>Chapter 12: Handout #2</w:t>
    </w:r>
    <w:r>
      <w:rPr>
        <w:i/>
      </w:rPr>
      <w:tab/>
    </w:r>
    <w:r>
      <w:tab/>
    </w:r>
    <w:r>
      <w:rPr>
        <w:i/>
      </w:rPr>
      <w:t>Author: Catherine Schmitt-Sands, Ph.D.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70B6"/>
    <w:multiLevelType w:val="hybridMultilevel"/>
    <w:tmpl w:val="43EE8B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26084"/>
    <w:multiLevelType w:val="hybridMultilevel"/>
    <w:tmpl w:val="E78A4B32"/>
    <w:lvl w:ilvl="0" w:tplc="3490F3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595A98"/>
    <w:multiLevelType w:val="hybridMultilevel"/>
    <w:tmpl w:val="284E9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A7DC0"/>
    <w:multiLevelType w:val="hybridMultilevel"/>
    <w:tmpl w:val="C6FA1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D729B"/>
    <w:multiLevelType w:val="hybridMultilevel"/>
    <w:tmpl w:val="E06896A2"/>
    <w:lvl w:ilvl="0" w:tplc="3490F3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B2FE3"/>
    <w:multiLevelType w:val="hybridMultilevel"/>
    <w:tmpl w:val="CA248194"/>
    <w:lvl w:ilvl="0" w:tplc="A5E27FC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913CD"/>
    <w:multiLevelType w:val="hybridMultilevel"/>
    <w:tmpl w:val="47D29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4F6D52"/>
    <w:multiLevelType w:val="hybridMultilevel"/>
    <w:tmpl w:val="8070F028"/>
    <w:lvl w:ilvl="0" w:tplc="0DB088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35712B"/>
    <w:multiLevelType w:val="hybridMultilevel"/>
    <w:tmpl w:val="AF828B96"/>
    <w:lvl w:ilvl="0" w:tplc="FF703764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C4C0D"/>
    <w:multiLevelType w:val="hybridMultilevel"/>
    <w:tmpl w:val="AE8A8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6472C"/>
    <w:multiLevelType w:val="hybridMultilevel"/>
    <w:tmpl w:val="69B4B5EC"/>
    <w:lvl w:ilvl="0" w:tplc="91B4508C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2303C"/>
    <w:multiLevelType w:val="hybridMultilevel"/>
    <w:tmpl w:val="59E88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E728B"/>
    <w:multiLevelType w:val="hybridMultilevel"/>
    <w:tmpl w:val="39225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A70F3"/>
    <w:multiLevelType w:val="hybridMultilevel"/>
    <w:tmpl w:val="2EF01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56606"/>
    <w:multiLevelType w:val="hybridMultilevel"/>
    <w:tmpl w:val="C6FA1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C4B8E"/>
    <w:multiLevelType w:val="hybridMultilevel"/>
    <w:tmpl w:val="C6FA1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3596D"/>
    <w:multiLevelType w:val="hybridMultilevel"/>
    <w:tmpl w:val="775E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C432E"/>
    <w:multiLevelType w:val="hybridMultilevel"/>
    <w:tmpl w:val="8806BE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DB4FCE"/>
    <w:multiLevelType w:val="hybridMultilevel"/>
    <w:tmpl w:val="9D6479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5F1C77"/>
    <w:multiLevelType w:val="hybridMultilevel"/>
    <w:tmpl w:val="5AD28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C045B0"/>
    <w:multiLevelType w:val="hybridMultilevel"/>
    <w:tmpl w:val="BCD02F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4"/>
  </w:num>
  <w:num w:numId="5">
    <w:abstractNumId w:val="19"/>
  </w:num>
  <w:num w:numId="6">
    <w:abstractNumId w:val="1"/>
  </w:num>
  <w:num w:numId="7">
    <w:abstractNumId w:val="4"/>
  </w:num>
  <w:num w:numId="8">
    <w:abstractNumId w:val="15"/>
  </w:num>
  <w:num w:numId="9">
    <w:abstractNumId w:val="10"/>
  </w:num>
  <w:num w:numId="10">
    <w:abstractNumId w:val="8"/>
  </w:num>
  <w:num w:numId="11">
    <w:abstractNumId w:val="11"/>
  </w:num>
  <w:num w:numId="12">
    <w:abstractNumId w:val="16"/>
  </w:num>
  <w:num w:numId="13">
    <w:abstractNumId w:val="0"/>
  </w:num>
  <w:num w:numId="14">
    <w:abstractNumId w:val="18"/>
  </w:num>
  <w:num w:numId="15">
    <w:abstractNumId w:val="2"/>
  </w:num>
  <w:num w:numId="16">
    <w:abstractNumId w:val="17"/>
  </w:num>
  <w:num w:numId="17">
    <w:abstractNumId w:val="6"/>
  </w:num>
  <w:num w:numId="18">
    <w:abstractNumId w:val="20"/>
  </w:num>
  <w:num w:numId="19">
    <w:abstractNumId w:val="5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FA"/>
    <w:rsid w:val="00007A09"/>
    <w:rsid w:val="000135A1"/>
    <w:rsid w:val="00036889"/>
    <w:rsid w:val="00042EFF"/>
    <w:rsid w:val="0004504D"/>
    <w:rsid w:val="00071DE6"/>
    <w:rsid w:val="000741AB"/>
    <w:rsid w:val="0007609A"/>
    <w:rsid w:val="00096B01"/>
    <w:rsid w:val="000A24FD"/>
    <w:rsid w:val="000B0718"/>
    <w:rsid w:val="000B59EE"/>
    <w:rsid w:val="000D05E5"/>
    <w:rsid w:val="000D2BF6"/>
    <w:rsid w:val="000D5B22"/>
    <w:rsid w:val="000F6BB0"/>
    <w:rsid w:val="00121635"/>
    <w:rsid w:val="001276AF"/>
    <w:rsid w:val="0015658B"/>
    <w:rsid w:val="00161621"/>
    <w:rsid w:val="001740CC"/>
    <w:rsid w:val="0017654C"/>
    <w:rsid w:val="001807C0"/>
    <w:rsid w:val="0019230D"/>
    <w:rsid w:val="001D61D1"/>
    <w:rsid w:val="001E4E2B"/>
    <w:rsid w:val="001F09AF"/>
    <w:rsid w:val="00203D5B"/>
    <w:rsid w:val="00214E3D"/>
    <w:rsid w:val="00227390"/>
    <w:rsid w:val="00227D9E"/>
    <w:rsid w:val="00234D8E"/>
    <w:rsid w:val="002571D2"/>
    <w:rsid w:val="002638D4"/>
    <w:rsid w:val="00264761"/>
    <w:rsid w:val="00273C33"/>
    <w:rsid w:val="00277C8D"/>
    <w:rsid w:val="00290CB2"/>
    <w:rsid w:val="002929F8"/>
    <w:rsid w:val="00292BE7"/>
    <w:rsid w:val="00310336"/>
    <w:rsid w:val="00321558"/>
    <w:rsid w:val="00356C18"/>
    <w:rsid w:val="00364D27"/>
    <w:rsid w:val="003651EC"/>
    <w:rsid w:val="0036571E"/>
    <w:rsid w:val="00370AA8"/>
    <w:rsid w:val="00376B7A"/>
    <w:rsid w:val="00380EA5"/>
    <w:rsid w:val="00383FC5"/>
    <w:rsid w:val="0039339D"/>
    <w:rsid w:val="003D632E"/>
    <w:rsid w:val="00401E3C"/>
    <w:rsid w:val="00414366"/>
    <w:rsid w:val="00440CAB"/>
    <w:rsid w:val="00444B44"/>
    <w:rsid w:val="00491835"/>
    <w:rsid w:val="004B3F60"/>
    <w:rsid w:val="004C0C13"/>
    <w:rsid w:val="004C2396"/>
    <w:rsid w:val="004C262C"/>
    <w:rsid w:val="00502E36"/>
    <w:rsid w:val="00507A30"/>
    <w:rsid w:val="00510D02"/>
    <w:rsid w:val="00547960"/>
    <w:rsid w:val="005538BB"/>
    <w:rsid w:val="005602A0"/>
    <w:rsid w:val="00575B88"/>
    <w:rsid w:val="00576ED6"/>
    <w:rsid w:val="005814D6"/>
    <w:rsid w:val="005A3C3B"/>
    <w:rsid w:val="005B5520"/>
    <w:rsid w:val="00610C04"/>
    <w:rsid w:val="00612C64"/>
    <w:rsid w:val="0061410A"/>
    <w:rsid w:val="00621522"/>
    <w:rsid w:val="0062363F"/>
    <w:rsid w:val="0062510B"/>
    <w:rsid w:val="00647263"/>
    <w:rsid w:val="00654E95"/>
    <w:rsid w:val="00657DC6"/>
    <w:rsid w:val="006777C2"/>
    <w:rsid w:val="0069026D"/>
    <w:rsid w:val="006941A1"/>
    <w:rsid w:val="006C0271"/>
    <w:rsid w:val="006D1DF3"/>
    <w:rsid w:val="006E0681"/>
    <w:rsid w:val="00707B13"/>
    <w:rsid w:val="0073105B"/>
    <w:rsid w:val="007374AC"/>
    <w:rsid w:val="007470C4"/>
    <w:rsid w:val="00764A74"/>
    <w:rsid w:val="007730CD"/>
    <w:rsid w:val="007A764D"/>
    <w:rsid w:val="007E3D4D"/>
    <w:rsid w:val="007F46CA"/>
    <w:rsid w:val="00850DF0"/>
    <w:rsid w:val="00875815"/>
    <w:rsid w:val="008A3B8C"/>
    <w:rsid w:val="008B09E3"/>
    <w:rsid w:val="008B4F64"/>
    <w:rsid w:val="008C0E75"/>
    <w:rsid w:val="008D3DE9"/>
    <w:rsid w:val="008E0BC3"/>
    <w:rsid w:val="008F20B6"/>
    <w:rsid w:val="008F707E"/>
    <w:rsid w:val="00922359"/>
    <w:rsid w:val="00926402"/>
    <w:rsid w:val="00944E4D"/>
    <w:rsid w:val="009753E4"/>
    <w:rsid w:val="0098200B"/>
    <w:rsid w:val="00991403"/>
    <w:rsid w:val="009C61D8"/>
    <w:rsid w:val="009D3131"/>
    <w:rsid w:val="009D656A"/>
    <w:rsid w:val="009F0B79"/>
    <w:rsid w:val="00A0523E"/>
    <w:rsid w:val="00A4762B"/>
    <w:rsid w:val="00A55BDE"/>
    <w:rsid w:val="00A64E72"/>
    <w:rsid w:val="00A763FC"/>
    <w:rsid w:val="00A82872"/>
    <w:rsid w:val="00A903D0"/>
    <w:rsid w:val="00AA7B29"/>
    <w:rsid w:val="00AC23D7"/>
    <w:rsid w:val="00AF4491"/>
    <w:rsid w:val="00AF5C80"/>
    <w:rsid w:val="00B16B6A"/>
    <w:rsid w:val="00B2491B"/>
    <w:rsid w:val="00B32645"/>
    <w:rsid w:val="00B41E17"/>
    <w:rsid w:val="00B4237A"/>
    <w:rsid w:val="00B54396"/>
    <w:rsid w:val="00B5710F"/>
    <w:rsid w:val="00B624F3"/>
    <w:rsid w:val="00B9144E"/>
    <w:rsid w:val="00BB0EA4"/>
    <w:rsid w:val="00BC21FA"/>
    <w:rsid w:val="00BD3D2D"/>
    <w:rsid w:val="00BD6D3D"/>
    <w:rsid w:val="00BE7450"/>
    <w:rsid w:val="00C0381E"/>
    <w:rsid w:val="00C1084E"/>
    <w:rsid w:val="00C12993"/>
    <w:rsid w:val="00C23190"/>
    <w:rsid w:val="00C4503A"/>
    <w:rsid w:val="00C46ED3"/>
    <w:rsid w:val="00C53CFD"/>
    <w:rsid w:val="00C5546B"/>
    <w:rsid w:val="00C75FFA"/>
    <w:rsid w:val="00CA2472"/>
    <w:rsid w:val="00CB1ABC"/>
    <w:rsid w:val="00CF1FCC"/>
    <w:rsid w:val="00CF3B06"/>
    <w:rsid w:val="00D1244D"/>
    <w:rsid w:val="00D60208"/>
    <w:rsid w:val="00D87D59"/>
    <w:rsid w:val="00DD2605"/>
    <w:rsid w:val="00DE0138"/>
    <w:rsid w:val="00DF56AC"/>
    <w:rsid w:val="00E0309F"/>
    <w:rsid w:val="00E37B9C"/>
    <w:rsid w:val="00E56CDD"/>
    <w:rsid w:val="00E574B6"/>
    <w:rsid w:val="00E704D0"/>
    <w:rsid w:val="00E75C50"/>
    <w:rsid w:val="00EB6913"/>
    <w:rsid w:val="00EC54AF"/>
    <w:rsid w:val="00ED11B1"/>
    <w:rsid w:val="00ED1828"/>
    <w:rsid w:val="00ED696F"/>
    <w:rsid w:val="00F008B5"/>
    <w:rsid w:val="00F06722"/>
    <w:rsid w:val="00F1112A"/>
    <w:rsid w:val="00F2532B"/>
    <w:rsid w:val="00F33334"/>
    <w:rsid w:val="00F36F38"/>
    <w:rsid w:val="00F5706B"/>
    <w:rsid w:val="00F757C7"/>
    <w:rsid w:val="00F800C9"/>
    <w:rsid w:val="00F9428A"/>
    <w:rsid w:val="00FA45BF"/>
    <w:rsid w:val="00FB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2F78"/>
  <w15:chartTrackingRefBased/>
  <w15:docId w15:val="{F3A75ABF-74D8-4A63-A955-F68CE5A4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F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FFA"/>
  </w:style>
  <w:style w:type="paragraph" w:styleId="Footer">
    <w:name w:val="footer"/>
    <w:basedOn w:val="Normal"/>
    <w:link w:val="FooterChar"/>
    <w:uiPriority w:val="99"/>
    <w:unhideWhenUsed/>
    <w:rsid w:val="00C75F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FFA"/>
  </w:style>
  <w:style w:type="character" w:styleId="PlaceholderText">
    <w:name w:val="Placeholder Text"/>
    <w:basedOn w:val="DefaultParagraphFont"/>
    <w:uiPriority w:val="99"/>
    <w:semiHidden/>
    <w:rsid w:val="000D5B22"/>
    <w:rPr>
      <w:color w:val="808080"/>
    </w:rPr>
  </w:style>
  <w:style w:type="paragraph" w:styleId="ListParagraph">
    <w:name w:val="List Paragraph"/>
    <w:basedOn w:val="Normal"/>
    <w:uiPriority w:val="34"/>
    <w:qFormat/>
    <w:rsid w:val="00161621"/>
    <w:pPr>
      <w:ind w:left="720"/>
      <w:contextualSpacing/>
    </w:pPr>
  </w:style>
  <w:style w:type="table" w:styleId="TableGrid">
    <w:name w:val="Table Grid"/>
    <w:basedOn w:val="TableNormal"/>
    <w:uiPriority w:val="39"/>
    <w:rsid w:val="00694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09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9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u4367\Documents\BA%203400\Sandbox\Goodness-of-Fit%20-%20Sales%20by%20Frame%20Typ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Frequency of Sales by Frame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'Version a F19'!$B$11</c:f>
              <c:strCache>
                <c:ptCount val="1"/>
                <c:pt idx="0">
                  <c:v>Observed Frequency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'Version a F19'!$A$12:$A$15</c:f>
              <c:strCache>
                <c:ptCount val="4"/>
                <c:pt idx="0">
                  <c:v>Carbon Fiber</c:v>
                </c:pt>
                <c:pt idx="1">
                  <c:v>Aluminum</c:v>
                </c:pt>
                <c:pt idx="2">
                  <c:v>Steel</c:v>
                </c:pt>
                <c:pt idx="3">
                  <c:v>Titanium</c:v>
                </c:pt>
              </c:strCache>
            </c:strRef>
          </c:cat>
          <c:val>
            <c:numRef>
              <c:f>'Version a F19'!$B$12:$B$15</c:f>
              <c:numCache>
                <c:formatCode>General</c:formatCode>
                <c:ptCount val="4"/>
                <c:pt idx="0">
                  <c:v>66</c:v>
                </c:pt>
                <c:pt idx="1">
                  <c:v>128</c:v>
                </c:pt>
                <c:pt idx="2">
                  <c:v>16</c:v>
                </c:pt>
                <c:pt idx="3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28-4E77-BC4A-9B8B7256E7A9}"/>
            </c:ext>
          </c:extLst>
        </c:ser>
        <c:ser>
          <c:idx val="1"/>
          <c:order val="1"/>
          <c:tx>
            <c:strRef>
              <c:f>'Version a F19'!$C$11</c:f>
              <c:strCache>
                <c:ptCount val="1"/>
                <c:pt idx="0">
                  <c:v>Expected Frequency</c:v>
                </c:pt>
              </c:strCache>
            </c:strRef>
          </c:tx>
          <c:spPr>
            <a:solidFill>
              <a:schemeClr val="accent2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'Version a F19'!$A$12:$A$15</c:f>
              <c:strCache>
                <c:ptCount val="4"/>
                <c:pt idx="0">
                  <c:v>Carbon Fiber</c:v>
                </c:pt>
                <c:pt idx="1">
                  <c:v>Aluminum</c:v>
                </c:pt>
                <c:pt idx="2">
                  <c:v>Steel</c:v>
                </c:pt>
                <c:pt idx="3">
                  <c:v>Titanium</c:v>
                </c:pt>
              </c:strCache>
            </c:strRef>
          </c:cat>
          <c:val>
            <c:numRef>
              <c:f>'Version a F19'!$C$12:$C$15</c:f>
              <c:numCache>
                <c:formatCode>General</c:formatCode>
                <c:ptCount val="4"/>
                <c:pt idx="0">
                  <c:v>42.5</c:v>
                </c:pt>
                <c:pt idx="1">
                  <c:v>132.5</c:v>
                </c:pt>
                <c:pt idx="2">
                  <c:v>30</c:v>
                </c:pt>
                <c:pt idx="3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28-4E77-BC4A-9B8B7256E7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9"/>
        <c:axId val="1869873295"/>
        <c:axId val="1869867471"/>
      </c:barChart>
      <c:catAx>
        <c:axId val="1869873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Frame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9867471"/>
        <c:crosses val="autoZero"/>
        <c:auto val="1"/>
        <c:lblAlgn val="ctr"/>
        <c:lblOffset val="100"/>
        <c:noMultiLvlLbl val="0"/>
      </c:catAx>
      <c:valAx>
        <c:axId val="1869867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9873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6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Schmitt-Sands</dc:creator>
  <cp:keywords/>
  <dc:description/>
  <cp:lastModifiedBy>Catherine Schmitt-Sands</cp:lastModifiedBy>
  <cp:revision>13</cp:revision>
  <cp:lastPrinted>2019-03-18T15:12:00Z</cp:lastPrinted>
  <dcterms:created xsi:type="dcterms:W3CDTF">2019-10-22T14:48:00Z</dcterms:created>
  <dcterms:modified xsi:type="dcterms:W3CDTF">2020-03-04T15:29:00Z</dcterms:modified>
</cp:coreProperties>
</file>