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57" w:rsidRPr="009F690B" w:rsidRDefault="00FB38C2" w:rsidP="00C20F57">
      <w:pPr>
        <w:jc w:val="center"/>
        <w:rPr>
          <w:rFonts w:eastAsiaTheme="minorEastAsia"/>
          <w:sz w:val="28"/>
          <w:szCs w:val="28"/>
          <w:u w:val="single"/>
        </w:rPr>
      </w:pPr>
      <w:r w:rsidRPr="009F690B">
        <w:rPr>
          <w:rFonts w:eastAsiaTheme="minorEastAsia"/>
          <w:sz w:val="28"/>
          <w:szCs w:val="28"/>
          <w:u w:val="single"/>
        </w:rPr>
        <w:t>Calculating the</w:t>
      </w:r>
      <w:r w:rsidR="00C20F57" w:rsidRPr="009F690B">
        <w:rPr>
          <w:rFonts w:eastAsiaTheme="minorEastAsia"/>
          <w:sz w:val="28"/>
          <w:szCs w:val="28"/>
          <w:u w:val="single"/>
        </w:rPr>
        <w:t xml:space="preserve"> ANOVA Test Statistic and Summary Table</w:t>
      </w:r>
    </w:p>
    <w:p w:rsidR="00C20F57" w:rsidRDefault="00C20F57" w:rsidP="00C20F57">
      <w:pPr>
        <w:rPr>
          <w:rFonts w:eastAsiaTheme="minorEastAsia"/>
        </w:rPr>
      </w:pPr>
    </w:p>
    <w:p w:rsidR="008110E4" w:rsidRDefault="00C20F57" w:rsidP="00C20F57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226B6">
        <w:rPr>
          <w:rFonts w:eastAsiaTheme="minorEastAsia"/>
        </w:rPr>
        <w:t>calculate</w:t>
      </w:r>
      <w:r>
        <w:rPr>
          <w:rFonts w:eastAsiaTheme="minorEastAsia"/>
        </w:rPr>
        <w:t xml:space="preserve"> the F test statistic from the sample data. In ANOVA, this is no easy task. It involves a series </w:t>
      </w:r>
    </w:p>
    <w:p w:rsidR="00C20F57" w:rsidRDefault="00C20F57" w:rsidP="00C20F57">
      <w:pPr>
        <w:rPr>
          <w:rFonts w:eastAsiaTheme="minorEastAsia"/>
        </w:rPr>
      </w:pPr>
      <w:r>
        <w:rPr>
          <w:rFonts w:eastAsiaTheme="minorEastAsia"/>
        </w:rPr>
        <w:t xml:space="preserve">of new equations and careful attention to detail. </w:t>
      </w:r>
    </w:p>
    <w:p w:rsidR="008110E4" w:rsidRDefault="008110E4" w:rsidP="00C20F57">
      <w:pPr>
        <w:rPr>
          <w:rFonts w:eastAsiaTheme="minorEastAsia"/>
        </w:rPr>
      </w:pPr>
    </w:p>
    <w:p w:rsidR="008110E4" w:rsidRPr="008110E4" w:rsidRDefault="008110E4" w:rsidP="00C20F57">
      <w:pPr>
        <w:rPr>
          <w:rFonts w:eastAsiaTheme="minorEastAsia"/>
        </w:rPr>
      </w:pPr>
      <w:r>
        <w:rPr>
          <w:rFonts w:eastAsiaTheme="minorEastAsia"/>
        </w:rPr>
        <w:t xml:space="preserve">NOTE: A </w:t>
      </w:r>
      <w:r>
        <w:rPr>
          <w:rFonts w:eastAsiaTheme="minorEastAsia"/>
          <w:i/>
        </w:rPr>
        <w:t>balanced design</w:t>
      </w:r>
      <w:r>
        <w:rPr>
          <w:rFonts w:eastAsiaTheme="minorEastAsia"/>
        </w:rPr>
        <w:t xml:space="preserve"> is one in which all the groups are the same size (all have the same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). An </w:t>
      </w:r>
      <w:r>
        <w:rPr>
          <w:rFonts w:eastAsiaTheme="minorEastAsia"/>
          <w:i/>
        </w:rPr>
        <w:t>unbalanced design</w:t>
      </w:r>
      <w:r>
        <w:rPr>
          <w:rFonts w:eastAsiaTheme="minorEastAsia"/>
        </w:rPr>
        <w:t xml:space="preserve"> is one in which at least one group is a different size than the others. The book and MindTap use two different sets of equations for calculating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</m:oMath>
      <w:r>
        <w:rPr>
          <w:rFonts w:eastAsiaTheme="minorEastAsia"/>
        </w:rPr>
        <w:t xml:space="preserve"> in ANOVA, and one set </w:t>
      </w:r>
      <w:r>
        <w:rPr>
          <w:rFonts w:eastAsiaTheme="minorEastAsia"/>
          <w:b/>
        </w:rPr>
        <w:t>only</w:t>
      </w:r>
      <w:r>
        <w:rPr>
          <w:rFonts w:eastAsiaTheme="minorEastAsia"/>
        </w:rPr>
        <w:t xml:space="preserve"> works if you have a balanced design. </w:t>
      </w:r>
      <w:r w:rsidRPr="008110E4">
        <w:rPr>
          <w:rFonts w:eastAsiaTheme="minorEastAsia"/>
          <w:b/>
        </w:rPr>
        <w:t xml:space="preserve">The formulas </w:t>
      </w:r>
      <w:r>
        <w:rPr>
          <w:rFonts w:eastAsiaTheme="minorEastAsia"/>
          <w:b/>
        </w:rPr>
        <w:t>in this handout will work properly no matter which design is being used, so I recommend you just stick with these.</w:t>
      </w:r>
    </w:p>
    <w:p w:rsidR="00973763" w:rsidRDefault="00973763" w:rsidP="00C20F57">
      <w:pPr>
        <w:rPr>
          <w:rFonts w:eastAsiaTheme="minorEastAsia"/>
        </w:rPr>
      </w:pPr>
    </w:p>
    <w:p w:rsidR="00C20F57" w:rsidRDefault="00C20F57" w:rsidP="00C20F57">
      <w:pPr>
        <w:rPr>
          <w:rFonts w:eastAsiaTheme="minorEastAsia"/>
        </w:rPr>
      </w:pPr>
      <w:r w:rsidRPr="00A16BBE">
        <w:rPr>
          <w:rFonts w:eastAsiaTheme="minorEastAsia"/>
          <w:u w:val="single"/>
        </w:rPr>
        <w:t>For the following equations</w:t>
      </w:r>
      <w:r>
        <w:rPr>
          <w:rFonts w:eastAsiaTheme="minorEastAsia"/>
        </w:rPr>
        <w:t>:</w:t>
      </w:r>
    </w:p>
    <w:p w:rsidR="00C20F57" w:rsidRDefault="007226B6" w:rsidP="00C20F57">
      <w:pPr>
        <w:rPr>
          <w:rFonts w:eastAsiaTheme="minorEastAsia"/>
        </w:rPr>
      </w:pPr>
      <w:r>
        <w:rPr>
          <w:rFonts w:eastAsiaTheme="minorEastAsia"/>
        </w:rPr>
        <w:t>T</w:t>
      </w:r>
      <w:r w:rsidR="00C20F57">
        <w:rPr>
          <w:rFonts w:eastAsiaTheme="minorEastAsia"/>
        </w:rPr>
        <w:t xml:space="preserve">here are </w:t>
      </w:r>
      <m:oMath>
        <m:r>
          <w:rPr>
            <w:rFonts w:ascii="Cambria Math" w:eastAsiaTheme="minorEastAsia" w:hAnsi="Cambria Math"/>
          </w:rPr>
          <m:t>k</m:t>
        </m:r>
      </m:oMath>
      <w:r w:rsidR="00C20F57">
        <w:rPr>
          <w:rFonts w:eastAsiaTheme="minorEastAsia"/>
        </w:rPr>
        <w:t xml:space="preserve"> treatment groups. Each group has a sample size, called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20F57">
        <w:rPr>
          <w:rFonts w:eastAsiaTheme="minorEastAsia"/>
        </w:rPr>
        <w:t xml:space="preserve"> for the jth treatment group (e.g. the second treatment group has a sample size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20F57">
        <w:rPr>
          <w:rFonts w:eastAsiaTheme="minorEastAsia"/>
        </w:rPr>
        <w:t>)</w:t>
      </w:r>
      <w:r w:rsidR="006A1E15">
        <w:rPr>
          <w:rFonts w:eastAsiaTheme="minorEastAsia"/>
        </w:rPr>
        <w:t>. Keep this notation in mind.</w:t>
      </w:r>
    </w:p>
    <w:p w:rsidR="00C20F57" w:rsidRDefault="00C20F57" w:rsidP="00C20F57">
      <w:pPr>
        <w:rPr>
          <w:rFonts w:eastAsiaTheme="minorEastAsia"/>
        </w:rPr>
      </w:pPr>
    </w:p>
    <w:p w:rsidR="00C20F57" w:rsidRDefault="00FB38C2" w:rsidP="00C20F57">
      <w:pPr>
        <w:rPr>
          <w:rFonts w:eastAsiaTheme="minorEastAsia"/>
        </w:rPr>
      </w:pPr>
      <w:r>
        <w:rPr>
          <w:rFonts w:eastAsiaTheme="minorEastAsia"/>
        </w:rPr>
        <w:t>T</w:t>
      </w:r>
      <w:r w:rsidR="00C20F57">
        <w:rPr>
          <w:rFonts w:eastAsiaTheme="minorEastAsia"/>
        </w:rPr>
        <w:t xml:space="preserve">he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F </m:t>
        </m:r>
      </m:oMath>
      <w:r w:rsidR="009F690B">
        <w:rPr>
          <w:rFonts w:eastAsiaTheme="minorEastAsia"/>
          <w:b/>
        </w:rPr>
        <w:t>test statistic</w:t>
      </w:r>
      <w:r w:rsidR="00C20F57">
        <w:rPr>
          <w:rFonts w:eastAsiaTheme="minorEastAsia"/>
        </w:rPr>
        <w:t xml:space="preserve"> </w:t>
      </w:r>
      <w:r w:rsidR="007226B6">
        <w:rPr>
          <w:rFonts w:eastAsiaTheme="minorEastAsia"/>
        </w:rPr>
        <w:t xml:space="preserve">has a </w:t>
      </w:r>
      <w:r w:rsidR="007226B6" w:rsidRPr="009F690B">
        <w:rPr>
          <w:rFonts w:eastAsiaTheme="minorEastAsia"/>
          <w:b/>
        </w:rPr>
        <w:t>numerator</w:t>
      </w:r>
      <w:r w:rsidR="007226B6">
        <w:rPr>
          <w:rFonts w:eastAsiaTheme="minorEastAsia"/>
        </w:rPr>
        <w:t xml:space="preserve"> and a </w:t>
      </w:r>
      <w:r w:rsidR="007226B6" w:rsidRPr="009F690B">
        <w:rPr>
          <w:rFonts w:eastAsiaTheme="minorEastAsia"/>
          <w:b/>
        </w:rPr>
        <w:t>denominator</w:t>
      </w:r>
      <w:r w:rsidR="007226B6">
        <w:rPr>
          <w:rFonts w:eastAsiaTheme="minorEastAsia"/>
        </w:rPr>
        <w:t xml:space="preserve"> that must be calculated separately.</w:t>
      </w:r>
    </w:p>
    <w:p w:rsidR="0024461B" w:rsidRDefault="0024461B" w:rsidP="00C20F57">
      <w:pPr>
        <w:rPr>
          <w:rFonts w:eastAsiaTheme="minorEastAsia"/>
        </w:rPr>
      </w:pPr>
    </w:p>
    <w:p w:rsidR="00C20F57" w:rsidRPr="009F690B" w:rsidRDefault="00C20F57" w:rsidP="009F690B">
      <w:pPr>
        <w:pStyle w:val="ListParagraph"/>
        <w:numPr>
          <w:ilvl w:val="0"/>
          <w:numId w:val="5"/>
        </w:numPr>
        <w:rPr>
          <w:rFonts w:eastAsiaTheme="minorEastAsia"/>
          <w:b/>
          <w:u w:val="single"/>
        </w:rPr>
      </w:pPr>
      <w:r w:rsidRPr="009F690B">
        <w:rPr>
          <w:rFonts w:eastAsiaTheme="minorEastAsia"/>
          <w:b/>
          <w:u w:val="single"/>
        </w:rPr>
        <w:t>The numerator of the F test statistic is the MSTR:</w:t>
      </w:r>
    </w:p>
    <w:p w:rsidR="00C20F57" w:rsidRPr="009F690B" w:rsidRDefault="009F690B" w:rsidP="009F690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Recall: </w:t>
      </w:r>
      <w:r w:rsidR="00C20F57" w:rsidRPr="00AF0F82">
        <w:rPr>
          <w:rFonts w:eastAsiaTheme="minorEastAsia"/>
        </w:rPr>
        <w:t>the MSTR is the</w:t>
      </w:r>
      <w:r w:rsidR="005B32BA">
        <w:rPr>
          <w:rFonts w:eastAsiaTheme="minorEastAsia"/>
        </w:rPr>
        <w:t xml:space="preserve"> Mean Square due to T</w:t>
      </w:r>
      <w:r w:rsidR="00C20F57" w:rsidRPr="00AF0F82">
        <w:rPr>
          <w:rFonts w:eastAsiaTheme="minorEastAsia"/>
        </w:rPr>
        <w:t>reatments, also called the between-treatments estimate of the variance</w:t>
      </w:r>
      <w:r>
        <w:rPr>
          <w:rFonts w:eastAsiaTheme="minorEastAsia"/>
        </w:rPr>
        <w:t xml:space="preserve">. This is the estimate of the true variance under the assumption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true, which would mean that all the group population means were equal.</w:t>
      </w:r>
    </w:p>
    <w:p w:rsidR="00C20F57" w:rsidRDefault="00C20F57" w:rsidP="009F690B">
      <w:pPr>
        <w:ind w:left="360"/>
        <w:rPr>
          <w:rFonts w:eastAsiaTheme="minorEastAsia"/>
        </w:rPr>
      </w:pPr>
    </w:p>
    <w:p w:rsidR="00C20F57" w:rsidRDefault="00C20F57" w:rsidP="009F690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Here are the </w:t>
      </w:r>
      <w:r w:rsidR="001F4588" w:rsidRPr="006F075E">
        <w:rPr>
          <w:rFonts w:eastAsiaTheme="minorEastAsia"/>
          <w:b/>
        </w:rPr>
        <w:t>four</w:t>
      </w:r>
      <w:r w:rsidR="001F4588">
        <w:rPr>
          <w:rFonts w:eastAsiaTheme="minorEastAsia"/>
        </w:rPr>
        <w:t xml:space="preserve"> </w:t>
      </w:r>
      <w:r>
        <w:rPr>
          <w:rFonts w:eastAsiaTheme="minorEastAsia"/>
        </w:rPr>
        <w:t>steps</w:t>
      </w:r>
      <w:r w:rsidR="001F4588">
        <w:rPr>
          <w:rFonts w:eastAsiaTheme="minorEastAsia"/>
        </w:rPr>
        <w:t xml:space="preserve"> to calculate the </w:t>
      </w:r>
      <m:oMath>
        <m:r>
          <m:rPr>
            <m:sty m:val="bi"/>
          </m:rPr>
          <w:rPr>
            <w:rFonts w:ascii="Cambria Math" w:eastAsiaTheme="minorEastAsia" w:hAnsi="Cambria Math"/>
          </w:rPr>
          <m:t>MSTR</m:t>
        </m:r>
      </m:oMath>
      <w:r>
        <w:rPr>
          <w:rFonts w:eastAsiaTheme="minorEastAsia"/>
        </w:rPr>
        <w:t>:</w:t>
      </w:r>
    </w:p>
    <w:p w:rsidR="009F690B" w:rsidRPr="00646BBE" w:rsidRDefault="00C20F57" w:rsidP="00646BBE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First, calculate the total sample size,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</m:oMath>
    </w:p>
    <w:p w:rsidR="00646BBE" w:rsidRPr="00646BBE" w:rsidRDefault="00646BBE" w:rsidP="00646BBE">
      <w:pPr>
        <w:pStyle w:val="ListParagraph"/>
        <w:rPr>
          <w:rFonts w:eastAsiaTheme="minorEastAsia"/>
        </w:rPr>
      </w:pPr>
    </w:p>
    <w:p w:rsidR="00C20F57" w:rsidRDefault="00C20F57" w:rsidP="009F690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9F690B" w:rsidRDefault="009F690B" w:rsidP="009F690B">
      <w:pPr>
        <w:pStyle w:val="ListParagraph"/>
        <w:ind w:left="1130"/>
        <w:rPr>
          <w:rFonts w:eastAsiaTheme="minorEastAsia"/>
        </w:rPr>
      </w:pPr>
    </w:p>
    <w:p w:rsidR="00C20F57" w:rsidRPr="009F690B" w:rsidRDefault="009F690B" w:rsidP="009F690B">
      <w:pPr>
        <w:ind w:left="720"/>
        <w:rPr>
          <w:rFonts w:eastAsiaTheme="minorEastAsia"/>
        </w:rPr>
      </w:pPr>
      <w:r w:rsidRPr="009F690B">
        <w:rPr>
          <w:rFonts w:eastAsiaTheme="minorEastAsia"/>
        </w:rPr>
        <w:t xml:space="preserve">NOTE: </w:t>
      </w:r>
      <w:r w:rsidR="00C20F57" w:rsidRPr="009F690B">
        <w:rPr>
          <w:rFonts w:eastAsiaTheme="minorEastAsia"/>
        </w:rPr>
        <w:t xml:space="preserve">The total sample size,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C20F57" w:rsidRPr="009F690B">
        <w:rPr>
          <w:rFonts w:eastAsiaTheme="minorEastAsia"/>
        </w:rPr>
        <w:t xml:space="preserve">is just the sum of the sample sizes of </w:t>
      </w:r>
      <w:r w:rsidR="00646BBE">
        <w:rPr>
          <w:rFonts w:eastAsiaTheme="minorEastAsia"/>
        </w:rPr>
        <w:t>each</w:t>
      </w:r>
      <w:r w:rsidR="00C20F57" w:rsidRPr="009F690B">
        <w:rPr>
          <w:rFonts w:eastAsiaTheme="minorEastAsia"/>
        </w:rPr>
        <w:t xml:space="preserve"> </w:t>
      </w:r>
      <w:r w:rsidR="00646BBE">
        <w:rPr>
          <w:rFonts w:eastAsiaTheme="minorEastAsia"/>
        </w:rPr>
        <w:t>group</w:t>
      </w:r>
    </w:p>
    <w:p w:rsidR="001F4588" w:rsidRDefault="001F4588" w:rsidP="009F690B">
      <w:pPr>
        <w:ind w:left="360"/>
        <w:rPr>
          <w:rFonts w:eastAsiaTheme="minorEastAsia"/>
        </w:rPr>
      </w:pPr>
    </w:p>
    <w:p w:rsidR="00C20F57" w:rsidRPr="00646BBE" w:rsidRDefault="00C20F57" w:rsidP="00646BB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Second, calculate the overall sample mean,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/>
          </w:rPr>
          <m:t xml:space="preserve"> : </m:t>
        </m:r>
      </m:oMath>
    </w:p>
    <w:p w:rsidR="00646BBE" w:rsidRPr="00646BBE" w:rsidRDefault="00646BBE" w:rsidP="00646BBE">
      <w:pPr>
        <w:pStyle w:val="ListParagraph"/>
        <w:rPr>
          <w:rFonts w:eastAsiaTheme="minorEastAsia"/>
        </w:rPr>
      </w:pPr>
    </w:p>
    <w:p w:rsidR="00C20F57" w:rsidRPr="00480420" w:rsidRDefault="00E40B18" w:rsidP="009F690B">
      <w:pPr>
        <w:ind w:left="360"/>
        <w:rPr>
          <w:rFonts w:eastAsiaTheme="minorEastAsia"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46BBE" w:rsidRDefault="00646BBE" w:rsidP="009F690B">
      <w:pPr>
        <w:ind w:left="360"/>
        <w:rPr>
          <w:rFonts w:eastAsiaTheme="minorEastAsia"/>
        </w:rPr>
      </w:pPr>
    </w:p>
    <w:p w:rsidR="001F4588" w:rsidRPr="006F075E" w:rsidRDefault="009F690B" w:rsidP="009F690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 xml:space="preserve">=sample size for each group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=the sample mean for each group</m:t>
          </m:r>
        </m:oMath>
      </m:oMathPara>
    </w:p>
    <w:p w:rsidR="009F690B" w:rsidRPr="009F690B" w:rsidRDefault="009F690B" w:rsidP="009F690B">
      <w:pPr>
        <w:pStyle w:val="ListParagraph"/>
        <w:ind w:left="770"/>
        <w:rPr>
          <w:rFonts w:eastAsiaTheme="minorEastAsia"/>
        </w:rPr>
      </w:pPr>
      <w:r>
        <w:rPr>
          <w:rFonts w:eastAsiaTheme="minorEastAsia"/>
        </w:rPr>
        <w:t xml:space="preserve">NOTE: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/>
          </w:rPr>
          <m:t>=the overall sample mean, is also called the Grand Mean, or x</m:t>
        </m:r>
        <m:r>
          <m:rPr>
            <m:nor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triple</m:t>
        </m:r>
        <m:r>
          <m:rPr>
            <m:nor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bar</m:t>
        </m:r>
      </m:oMath>
    </w:p>
    <w:p w:rsidR="009F690B" w:rsidRPr="009F690B" w:rsidRDefault="009F690B" w:rsidP="009F690B">
      <w:pPr>
        <w:pStyle w:val="ListParagraph"/>
        <w:ind w:left="770"/>
        <w:rPr>
          <w:rFonts w:eastAsiaTheme="minorEastAsia"/>
        </w:rPr>
      </w:pPr>
    </w:p>
    <w:p w:rsidR="001F4588" w:rsidRPr="001F4588" w:rsidRDefault="001F4588" w:rsidP="009F690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>Third, calculate the Sum of Squares due to Treatments, SSTR:</m:t>
        </m:r>
      </m:oMath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4573"/>
      </w:tblGrid>
      <w:tr w:rsidR="0024461B" w:rsidTr="0024461B">
        <w:tc>
          <w:tcPr>
            <w:tcW w:w="4675" w:type="dxa"/>
          </w:tcPr>
          <w:p w:rsidR="0024461B" w:rsidRDefault="0024461B" w:rsidP="009F690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SSTR=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acc>
                      <m:accPr>
                        <m:chr m:val="̿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:rsidR="0024461B" w:rsidRPr="0024461B" w:rsidRDefault="0024461B" w:rsidP="0024461B">
            <w:pPr>
              <w:rPr>
                <w:rFonts w:ascii="Calibri" w:eastAsia="Times New Roman" w:hAnsi="Calibri" w:cs="Times New Roman"/>
              </w:rPr>
            </w:pPr>
          </w:p>
          <w:p w:rsidR="0024461B" w:rsidRDefault="0024461B" w:rsidP="002446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=sample size for group 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=the sample mean for group 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=the number of groups</m:t>
                </m:r>
              </m:oMath>
            </m:oMathPara>
          </w:p>
        </w:tc>
      </w:tr>
    </w:tbl>
    <w:p w:rsidR="001F4588" w:rsidRDefault="001F4588" w:rsidP="009F690B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4) </w:t>
      </w:r>
      <m:oMath>
        <m:r>
          <w:rPr>
            <w:rFonts w:ascii="Cambria Math" w:eastAsiaTheme="minorEastAsia" w:hAnsi="Cambria Math"/>
          </w:rPr>
          <m:t>Finally, use the SSTR to calculate the MSTR:</m:t>
        </m:r>
      </m:oMath>
    </w:p>
    <w:p w:rsidR="001F4588" w:rsidRPr="001F4588" w:rsidRDefault="001F4588" w:rsidP="009F690B">
      <w:pPr>
        <w:ind w:left="360"/>
        <w:rPr>
          <w:rFonts w:eastAsiaTheme="minorEastAsia"/>
        </w:rPr>
      </w:pPr>
    </w:p>
    <w:p w:rsidR="00C20F57" w:rsidRPr="000077B4" w:rsidRDefault="00C20F57" w:rsidP="009F690B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MSTR=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SSTR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k-1</m:t>
              </m:r>
            </m:den>
          </m:f>
        </m:oMath>
      </m:oMathPara>
    </w:p>
    <w:p w:rsidR="00C20F57" w:rsidRDefault="00C20F57" w:rsidP="009F690B">
      <w:pPr>
        <w:ind w:left="360"/>
        <w:rPr>
          <w:rFonts w:eastAsiaTheme="minorEastAsia"/>
          <w:sz w:val="24"/>
          <w:szCs w:val="24"/>
        </w:rPr>
      </w:pPr>
    </w:p>
    <w:p w:rsidR="001F4588" w:rsidRPr="001F4588" w:rsidRDefault="001F4588" w:rsidP="009F690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k</m:t>
          </m:r>
          <m:r>
            <m:rPr>
              <m:aln/>
            </m:rPr>
            <w:rPr>
              <w:rFonts w:ascii="Cambria Math" w:eastAsiaTheme="minorEastAsia" w:hAnsi="Cambria Math"/>
            </w:rPr>
            <m:t>=the number of groups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5B32BA" w:rsidRPr="006F075E" w:rsidRDefault="005B32BA" w:rsidP="006F075E">
      <w:pPr>
        <w:pStyle w:val="ListParagraph"/>
        <w:numPr>
          <w:ilvl w:val="0"/>
          <w:numId w:val="5"/>
        </w:numPr>
        <w:rPr>
          <w:rFonts w:eastAsiaTheme="minorEastAsia"/>
          <w:b/>
          <w:u w:val="single"/>
        </w:rPr>
      </w:pPr>
      <w:r w:rsidRPr="006F075E">
        <w:rPr>
          <w:rFonts w:eastAsiaTheme="minorEastAsia"/>
          <w:b/>
          <w:u w:val="single"/>
        </w:rPr>
        <w:t xml:space="preserve">The denominator of the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F</m:t>
        </m:r>
      </m:oMath>
      <w:r w:rsidRPr="006F075E">
        <w:rPr>
          <w:rFonts w:eastAsiaTheme="minorEastAsia"/>
          <w:b/>
          <w:u w:val="single"/>
        </w:rPr>
        <w:t xml:space="preserve"> test statistic is the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MSE</m:t>
        </m:r>
      </m:oMath>
      <w:r w:rsidRPr="006F075E">
        <w:rPr>
          <w:rFonts w:eastAsiaTheme="minorEastAsia"/>
          <w:b/>
          <w:u w:val="single"/>
        </w:rPr>
        <w:t>:</w:t>
      </w:r>
    </w:p>
    <w:p w:rsidR="006F075E" w:rsidRPr="006F075E" w:rsidRDefault="005B32BA" w:rsidP="006F075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6F075E">
        <w:rPr>
          <w:rFonts w:eastAsiaTheme="minorEastAsia"/>
        </w:rPr>
        <w:t>The MSE is the Mean Square due to Error, also called the within-treatments estimate of the variance</w:t>
      </w:r>
      <w:r w:rsidR="006F075E" w:rsidRPr="006F075E">
        <w:rPr>
          <w:rFonts w:eastAsiaTheme="minorEastAsia"/>
        </w:rPr>
        <w:t xml:space="preserve">. This is the estimate of the true variance under the assumption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F075E" w:rsidRPr="006F075E">
        <w:rPr>
          <w:rFonts w:eastAsiaTheme="minorEastAsia"/>
        </w:rPr>
        <w:t xml:space="preserve"> is </w:t>
      </w:r>
      <w:r w:rsidR="006F075E">
        <w:rPr>
          <w:rFonts w:eastAsiaTheme="minorEastAsia"/>
        </w:rPr>
        <w:t>false</w:t>
      </w:r>
      <w:r w:rsidR="006F075E" w:rsidRPr="006F075E">
        <w:rPr>
          <w:rFonts w:eastAsiaTheme="minorEastAsia"/>
        </w:rPr>
        <w:t xml:space="preserve">, which would mean that </w:t>
      </w:r>
      <w:r w:rsidR="006F075E">
        <w:rPr>
          <w:rFonts w:eastAsiaTheme="minorEastAsia"/>
        </w:rPr>
        <w:t>at least one group population mean was different than the others.</w:t>
      </w:r>
    </w:p>
    <w:p w:rsidR="00B5710F" w:rsidRDefault="00B5710F"/>
    <w:p w:rsidR="006A1E15" w:rsidRDefault="006A1E15" w:rsidP="006F075E">
      <w:pPr>
        <w:ind w:left="410"/>
        <w:rPr>
          <w:rFonts w:eastAsiaTheme="minorEastAsia"/>
        </w:rPr>
      </w:pPr>
      <w:r>
        <w:rPr>
          <w:rFonts w:eastAsiaTheme="minorEastAsia"/>
        </w:rPr>
        <w:t xml:space="preserve">Here are the </w:t>
      </w:r>
      <w:r w:rsidRPr="006F075E">
        <w:rPr>
          <w:rFonts w:eastAsiaTheme="minorEastAsia"/>
          <w:b/>
        </w:rPr>
        <w:t>two</w:t>
      </w:r>
      <w:r>
        <w:rPr>
          <w:rFonts w:eastAsiaTheme="minorEastAsia"/>
        </w:rPr>
        <w:t xml:space="preserve"> steps to calculate the </w:t>
      </w:r>
      <m:oMath>
        <m:r>
          <m:rPr>
            <m:sty m:val="bi"/>
          </m:rPr>
          <w:rPr>
            <w:rFonts w:ascii="Cambria Math" w:eastAsiaTheme="minorEastAsia" w:hAnsi="Cambria Math"/>
          </w:rPr>
          <m:t>MSE</m:t>
        </m:r>
      </m:oMath>
      <w:r>
        <w:rPr>
          <w:rFonts w:eastAsiaTheme="minorEastAsia"/>
        </w:rPr>
        <w:t>:</w:t>
      </w:r>
    </w:p>
    <w:p w:rsidR="006A1E15" w:rsidRPr="006F075E" w:rsidRDefault="004F6EB2" w:rsidP="006F075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6F075E">
        <w:rPr>
          <w:rFonts w:eastAsiaTheme="minorEastAsia"/>
        </w:rPr>
        <w:t>First, c</w:t>
      </w:r>
      <w:r w:rsidR="006A1E15" w:rsidRPr="006F075E">
        <w:rPr>
          <w:rFonts w:eastAsiaTheme="minorEastAsia"/>
        </w:rPr>
        <w:t xml:space="preserve">alculate the </w:t>
      </w:r>
      <w:r w:rsidR="006F075E" w:rsidRPr="006F075E">
        <w:rPr>
          <w:rFonts w:eastAsiaTheme="minorEastAsia"/>
        </w:rPr>
        <w:t xml:space="preserve">Sum of Squares due to Error, </w:t>
      </w:r>
      <m:oMath>
        <m:r>
          <w:rPr>
            <w:rFonts w:ascii="Cambria Math" w:eastAsiaTheme="minorEastAsia" w:hAnsi="Cambria Math"/>
          </w:rPr>
          <m:t>SSE</m:t>
        </m:r>
      </m:oMath>
      <w:r w:rsidR="006A1E15" w:rsidRPr="006F075E">
        <w:rPr>
          <w:rFonts w:eastAsiaTheme="minorEastAsia"/>
        </w:rPr>
        <w:t>:</w:t>
      </w:r>
    </w:p>
    <w:p w:rsidR="006F075E" w:rsidRPr="006F075E" w:rsidRDefault="006F075E" w:rsidP="006F075E">
      <w:pPr>
        <w:pStyle w:val="ListParagraph"/>
        <w:ind w:left="770"/>
        <w:rPr>
          <w:rFonts w:eastAsiaTheme="minorEastAsia"/>
        </w:rPr>
      </w:pPr>
    </w:p>
    <w:p w:rsidR="006A1E15" w:rsidRPr="008D6547" w:rsidRDefault="006A1E15" w:rsidP="006F075E">
      <w:pPr>
        <w:ind w:left="41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SSE=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-1)(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8D6547" w:rsidRDefault="008D6547" w:rsidP="006F075E">
      <w:pPr>
        <w:ind w:left="410"/>
        <w:rPr>
          <w:rFonts w:eastAsiaTheme="minorEastAsia"/>
        </w:rPr>
      </w:pPr>
    </w:p>
    <w:p w:rsidR="008D6547" w:rsidRPr="004F6EB2" w:rsidRDefault="008D6547" w:rsidP="006F075E">
      <w:pPr>
        <w:ind w:left="41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=the sample size of group j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=the sample variance of group j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k</m:t>
          </m:r>
          <m:r>
            <m:rPr>
              <m:aln/>
            </m:rPr>
            <w:rPr>
              <w:rFonts w:ascii="Cambria Math" w:eastAsiaTheme="minorEastAsia" w:hAnsi="Cambria Math"/>
            </w:rPr>
            <m:t>=the number of groups</m:t>
          </m:r>
        </m:oMath>
      </m:oMathPara>
    </w:p>
    <w:p w:rsidR="004F6EB2" w:rsidRDefault="004F6EB2" w:rsidP="006F075E">
      <w:pPr>
        <w:ind w:left="410"/>
        <w:rPr>
          <w:rFonts w:eastAsiaTheme="minorEastAsia"/>
        </w:rPr>
      </w:pPr>
    </w:p>
    <w:p w:rsidR="004F6EB2" w:rsidRDefault="004F6EB2" w:rsidP="006F075E">
      <w:pPr>
        <w:ind w:left="410"/>
        <w:rPr>
          <w:rFonts w:eastAsiaTheme="minorEastAsia"/>
        </w:rPr>
      </w:pPr>
      <w:r>
        <w:rPr>
          <w:rFonts w:eastAsiaTheme="minorEastAsia"/>
        </w:rPr>
        <w:t xml:space="preserve">2) Second, use the </w:t>
      </w:r>
      <m:oMath>
        <m:r>
          <w:rPr>
            <w:rFonts w:ascii="Cambria Math" w:eastAsiaTheme="minorEastAsia" w:hAnsi="Cambria Math"/>
          </w:rPr>
          <m:t>SSE</m:t>
        </m:r>
      </m:oMath>
      <w:r>
        <w:rPr>
          <w:rFonts w:eastAsiaTheme="minorEastAsia"/>
        </w:rPr>
        <w:t xml:space="preserve"> to calculate the </w:t>
      </w:r>
      <m:oMath>
        <m:r>
          <w:rPr>
            <w:rFonts w:ascii="Cambria Math" w:eastAsiaTheme="minorEastAsia" w:hAnsi="Cambria Math"/>
          </w:rPr>
          <m:t>MSE</m:t>
        </m:r>
      </m:oMath>
      <w:r>
        <w:rPr>
          <w:rFonts w:eastAsiaTheme="minorEastAsia"/>
        </w:rPr>
        <w:t>:</w:t>
      </w:r>
    </w:p>
    <w:p w:rsidR="004F6EB2" w:rsidRDefault="004F6EB2" w:rsidP="006F075E">
      <w:pPr>
        <w:ind w:left="410"/>
        <w:rPr>
          <w:rFonts w:eastAsiaTheme="minorEastAsia"/>
        </w:rPr>
      </w:pPr>
    </w:p>
    <w:p w:rsidR="003F185C" w:rsidRPr="003F185C" w:rsidRDefault="003F185C" w:rsidP="006F075E">
      <w:pPr>
        <w:ind w:left="41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SSE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-k</m:t>
              </m:r>
            </m:den>
          </m:f>
        </m:oMath>
      </m:oMathPara>
    </w:p>
    <w:p w:rsidR="003F185C" w:rsidRDefault="003F185C" w:rsidP="006F075E">
      <w:pPr>
        <w:ind w:left="410"/>
        <w:rPr>
          <w:rFonts w:eastAsiaTheme="minorEastAsia"/>
        </w:rPr>
      </w:pPr>
    </w:p>
    <w:p w:rsidR="003F185C" w:rsidRDefault="003F185C" w:rsidP="006F075E">
      <w:pPr>
        <w:ind w:left="410"/>
        <w:rPr>
          <w:rFonts w:eastAsiaTheme="minorEastAsia"/>
        </w:rPr>
      </w:pPr>
    </w:p>
    <w:p w:rsidR="003F185C" w:rsidRDefault="003F185C" w:rsidP="006F075E">
      <w:pPr>
        <w:ind w:left="410"/>
        <w:rPr>
          <w:rFonts w:eastAsiaTheme="minorEastAsia"/>
        </w:rPr>
      </w:pPr>
    </w:p>
    <w:p w:rsidR="003F185C" w:rsidRPr="005136BC" w:rsidRDefault="003F185C" w:rsidP="005136BC">
      <w:pPr>
        <w:pStyle w:val="ListParagraph"/>
        <w:numPr>
          <w:ilvl w:val="0"/>
          <w:numId w:val="5"/>
        </w:numPr>
        <w:rPr>
          <w:rFonts w:eastAsiaTheme="minorEastAsia"/>
          <w:b/>
          <w:u w:val="single"/>
        </w:rPr>
      </w:pPr>
      <w:r w:rsidRPr="005136BC">
        <w:rPr>
          <w:rFonts w:eastAsiaTheme="minorEastAsia"/>
          <w:b/>
          <w:u w:val="single"/>
        </w:rPr>
        <w:t xml:space="preserve">Now </w:t>
      </w:r>
      <w:r w:rsidR="005136BC">
        <w:rPr>
          <w:rFonts w:eastAsiaTheme="minorEastAsia"/>
          <w:b/>
          <w:u w:val="single"/>
        </w:rPr>
        <w:t>c</w:t>
      </w:r>
      <w:r w:rsidR="009E62FB">
        <w:rPr>
          <w:rFonts w:eastAsiaTheme="minorEastAsia"/>
          <w:b/>
          <w:u w:val="single"/>
        </w:rPr>
        <w:t xml:space="preserve">alculate the test statistic,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test</m:t>
            </m:r>
          </m:sub>
        </m:sSub>
      </m:oMath>
      <w:r w:rsidRPr="005136BC">
        <w:rPr>
          <w:rFonts w:eastAsiaTheme="minorEastAsia"/>
          <w:b/>
          <w:u w:val="single"/>
        </w:rPr>
        <w:t>:</w:t>
      </w:r>
    </w:p>
    <w:p w:rsidR="003F185C" w:rsidRDefault="003F185C" w:rsidP="00FB38C2">
      <w:pPr>
        <w:rPr>
          <w:rFonts w:eastAsiaTheme="minorEastAsia"/>
          <w:b/>
        </w:rPr>
      </w:pPr>
    </w:p>
    <w:p w:rsidR="003F185C" w:rsidRPr="003F185C" w:rsidRDefault="00E40B18" w:rsidP="00FB38C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test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MSTR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MSE</m:t>
              </m:r>
            </m:den>
          </m:f>
        </m:oMath>
      </m:oMathPara>
    </w:p>
    <w:p w:rsidR="003F185C" w:rsidRDefault="005A1D2A" w:rsidP="00FB38C2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with</w:t>
      </w:r>
    </w:p>
    <w:p w:rsidR="003F185C" w:rsidRPr="003F185C" w:rsidRDefault="003F185C" w:rsidP="00FB38C2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numerator degrees of freedom=d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/>
            </w:rPr>
            <m:t>=k-1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denominator degrees of freedom=d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-k</m:t>
          </m:r>
        </m:oMath>
      </m:oMathPara>
    </w:p>
    <w:p w:rsidR="00973763" w:rsidRDefault="0097376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63FBC" w:rsidRDefault="00363FBC" w:rsidP="00973763">
      <w:pPr>
        <w:rPr>
          <w:rFonts w:eastAsiaTheme="minorEastAsia"/>
        </w:rPr>
        <w:sectPr w:rsidR="00363FB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3763" w:rsidRDefault="000A3E66" w:rsidP="00973763">
      <w:pPr>
        <w:rPr>
          <w:rFonts w:eastAsiaTheme="minorEastAsia"/>
        </w:rPr>
      </w:pPr>
      <w:r>
        <w:rPr>
          <w:rFonts w:eastAsiaTheme="minorEastAsia"/>
        </w:rPr>
        <w:t xml:space="preserve">In the </w:t>
      </w:r>
      <w:r w:rsidR="00973763">
        <w:rPr>
          <w:rFonts w:eastAsiaTheme="minorEastAsia"/>
        </w:rPr>
        <w:t>process of calculating the ANOVA test statistic, we organize all of the results of our calculations into an ANOVA table</w:t>
      </w:r>
      <w:r w:rsidR="00317DBE">
        <w:rPr>
          <w:rFonts w:eastAsiaTheme="minorEastAsia"/>
        </w:rPr>
        <w:t>. ANOVA tables</w:t>
      </w:r>
      <w:r>
        <w:rPr>
          <w:rFonts w:eastAsiaTheme="minorEastAsia"/>
        </w:rPr>
        <w:t xml:space="preserve"> may be labeled with different terminology (e.g. the book uses different labels than Excel) but the numbers always represent the</w:t>
      </w:r>
      <w:r w:rsidR="00B547E8">
        <w:rPr>
          <w:rFonts w:eastAsiaTheme="minorEastAsia"/>
        </w:rPr>
        <w:t xml:space="preserve"> same calculations.</w:t>
      </w:r>
      <w:r w:rsidR="00317DBE">
        <w:rPr>
          <w:rFonts w:eastAsiaTheme="minorEastAsia"/>
        </w:rPr>
        <w:t xml:space="preserve"> </w:t>
      </w:r>
    </w:p>
    <w:p w:rsidR="00973763" w:rsidRDefault="00973763" w:rsidP="00973763">
      <w:pPr>
        <w:rPr>
          <w:rFonts w:eastAsiaTheme="minorEastAsia"/>
        </w:rPr>
      </w:pPr>
    </w:p>
    <w:p w:rsidR="00317DBE" w:rsidRPr="00317DBE" w:rsidRDefault="00317DBE" w:rsidP="00973763">
      <w:pPr>
        <w:rPr>
          <w:rFonts w:eastAsiaTheme="minorEastAsia"/>
          <w:b/>
          <w:sz w:val="24"/>
          <w:szCs w:val="24"/>
        </w:rPr>
      </w:pPr>
      <w:r w:rsidRPr="00317DBE">
        <w:rPr>
          <w:rFonts w:eastAsiaTheme="minorEastAsia"/>
          <w:b/>
          <w:sz w:val="24"/>
          <w:szCs w:val="24"/>
        </w:rPr>
        <w:t>ANOVA Summary Table</w:t>
      </w:r>
      <w:r w:rsidR="000D0101">
        <w:rPr>
          <w:rFonts w:eastAsiaTheme="minorEastAsia"/>
          <w:b/>
          <w:sz w:val="24"/>
          <w:szCs w:val="24"/>
        </w:rPr>
        <w:t>: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905"/>
        <w:gridCol w:w="1483"/>
        <w:gridCol w:w="2404"/>
        <w:gridCol w:w="2029"/>
        <w:gridCol w:w="1414"/>
        <w:gridCol w:w="1438"/>
      </w:tblGrid>
      <w:tr w:rsidR="00363FBC" w:rsidRPr="00F854EB" w:rsidTr="00A6225A">
        <w:tc>
          <w:tcPr>
            <w:tcW w:w="1277" w:type="dxa"/>
          </w:tcPr>
          <w:p w:rsidR="00317DBE" w:rsidRPr="00F854EB" w:rsidRDefault="00317DBE" w:rsidP="00874048">
            <w:pPr>
              <w:rPr>
                <w:b/>
              </w:rPr>
            </w:pPr>
            <w:r w:rsidRPr="00F854EB">
              <w:rPr>
                <w:b/>
              </w:rPr>
              <w:t>Source of Variation</w:t>
            </w:r>
          </w:p>
        </w:tc>
        <w:tc>
          <w:tcPr>
            <w:tcW w:w="2905" w:type="dxa"/>
          </w:tcPr>
          <w:p w:rsidR="00317DBE" w:rsidRPr="00F854EB" w:rsidRDefault="00317DBE" w:rsidP="00874048">
            <w:pPr>
              <w:jc w:val="center"/>
              <w:rPr>
                <w:b/>
              </w:rPr>
            </w:pPr>
            <w:r w:rsidRPr="00F854EB">
              <w:rPr>
                <w:b/>
              </w:rPr>
              <w:t>Sum of Squares</w:t>
            </w:r>
          </w:p>
        </w:tc>
        <w:tc>
          <w:tcPr>
            <w:tcW w:w="1483" w:type="dxa"/>
          </w:tcPr>
          <w:p w:rsidR="00317DBE" w:rsidRPr="00F854EB" w:rsidRDefault="00317DBE" w:rsidP="00874048">
            <w:pPr>
              <w:jc w:val="center"/>
              <w:rPr>
                <w:b/>
              </w:rPr>
            </w:pPr>
            <w:r w:rsidRPr="00F854EB">
              <w:rPr>
                <w:b/>
              </w:rPr>
              <w:t>Degrees of Freedom</w:t>
            </w:r>
          </w:p>
        </w:tc>
        <w:tc>
          <w:tcPr>
            <w:tcW w:w="2404" w:type="dxa"/>
          </w:tcPr>
          <w:p w:rsidR="00317DBE" w:rsidRPr="00F854EB" w:rsidRDefault="00317DBE" w:rsidP="00874048">
            <w:pPr>
              <w:jc w:val="center"/>
              <w:rPr>
                <w:b/>
              </w:rPr>
            </w:pPr>
            <w:r w:rsidRPr="00F854EB">
              <w:rPr>
                <w:b/>
              </w:rPr>
              <w:t>Mean Square</w:t>
            </w:r>
          </w:p>
        </w:tc>
        <w:tc>
          <w:tcPr>
            <w:tcW w:w="2029" w:type="dxa"/>
          </w:tcPr>
          <w:p w:rsidR="00317DBE" w:rsidRPr="00363FBC" w:rsidRDefault="00317DBE" w:rsidP="00874048">
            <w:pPr>
              <w:jc w:val="center"/>
              <w:rPr>
                <w:b/>
              </w:rPr>
            </w:pPr>
            <w:r w:rsidRPr="00363FBC">
              <w:rPr>
                <w:b/>
              </w:rPr>
              <w:t>F</w:t>
            </w:r>
          </w:p>
        </w:tc>
        <w:tc>
          <w:tcPr>
            <w:tcW w:w="1414" w:type="dxa"/>
          </w:tcPr>
          <w:p w:rsidR="00317DBE" w:rsidRPr="00F854EB" w:rsidRDefault="00317DBE" w:rsidP="00874048">
            <w:pPr>
              <w:jc w:val="center"/>
              <w:rPr>
                <w:b/>
              </w:rPr>
            </w:pPr>
            <w:r w:rsidRPr="00F854EB">
              <w:rPr>
                <w:b/>
              </w:rPr>
              <w:t>p-value</w:t>
            </w:r>
          </w:p>
        </w:tc>
        <w:tc>
          <w:tcPr>
            <w:tcW w:w="1438" w:type="dxa"/>
          </w:tcPr>
          <w:p w:rsidR="00317DBE" w:rsidRPr="00F854EB" w:rsidRDefault="00317DBE" w:rsidP="00874048">
            <w:pPr>
              <w:jc w:val="center"/>
              <w:rPr>
                <w:b/>
              </w:rPr>
            </w:pPr>
            <w:r w:rsidRPr="00F854EB">
              <w:rPr>
                <w:b/>
              </w:rPr>
              <w:t>Critical value of F</w:t>
            </w:r>
          </w:p>
        </w:tc>
      </w:tr>
      <w:tr w:rsidR="00363FBC" w:rsidTr="00A6225A">
        <w:trPr>
          <w:trHeight w:val="1070"/>
        </w:trPr>
        <w:tc>
          <w:tcPr>
            <w:tcW w:w="1277" w:type="dxa"/>
            <w:vAlign w:val="center"/>
          </w:tcPr>
          <w:p w:rsidR="00317DBE" w:rsidRPr="00F854EB" w:rsidRDefault="00317DBE" w:rsidP="00874048">
            <w:pPr>
              <w:jc w:val="center"/>
              <w:rPr>
                <w:b/>
              </w:rPr>
            </w:pPr>
            <w:r w:rsidRPr="00F854EB">
              <w:rPr>
                <w:b/>
              </w:rPr>
              <w:t>Treatments</w:t>
            </w:r>
          </w:p>
        </w:tc>
        <w:tc>
          <w:tcPr>
            <w:tcW w:w="2905" w:type="dxa"/>
            <w:vAlign w:val="center"/>
          </w:tcPr>
          <w:p w:rsidR="00317DBE" w:rsidRPr="00363FBC" w:rsidRDefault="00363FBC" w:rsidP="00363FB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SSTR=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(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acc>
                      <m:accPr>
                        <m:chr m:val="̿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83" w:type="dxa"/>
            <w:vAlign w:val="center"/>
          </w:tcPr>
          <w:p w:rsidR="00317DBE" w:rsidRDefault="00A6225A" w:rsidP="00363FB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=k-1</m:t>
                </m:r>
              </m:oMath>
            </m:oMathPara>
          </w:p>
        </w:tc>
        <w:tc>
          <w:tcPr>
            <w:tcW w:w="2404" w:type="dxa"/>
            <w:vAlign w:val="center"/>
          </w:tcPr>
          <w:p w:rsidR="00317DBE" w:rsidRPr="00363FBC" w:rsidRDefault="00363FBC" w:rsidP="00363FBC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MSTR=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SSTR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k-1</m:t>
                    </m:r>
                  </m:den>
                </m:f>
              </m:oMath>
            </m:oMathPara>
          </w:p>
        </w:tc>
        <w:tc>
          <w:tcPr>
            <w:tcW w:w="2029" w:type="dxa"/>
            <w:tcBorders>
              <w:bottom w:val="single" w:sz="4" w:space="0" w:color="auto"/>
            </w:tcBorders>
            <w:vAlign w:val="center"/>
          </w:tcPr>
          <w:p w:rsidR="00317DBE" w:rsidRPr="00363FBC" w:rsidRDefault="00E40B18" w:rsidP="00363FB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test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MSTR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MSE</m:t>
                    </m:r>
                  </m:den>
                </m:f>
              </m:oMath>
            </m:oMathPara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:rsidR="00363FBC" w:rsidRDefault="00363FBC" w:rsidP="00363FBC">
            <w:pPr>
              <w:jc w:val="center"/>
            </w:pPr>
            <w:r>
              <w:t xml:space="preserve">Upper tail </w:t>
            </w:r>
          </w:p>
          <w:p w:rsidR="00363FBC" w:rsidRDefault="00363FBC" w:rsidP="00363FBC">
            <w:pPr>
              <w:jc w:val="center"/>
            </w:pPr>
            <w:r>
              <w:t xml:space="preserve">p-value for </w:t>
            </w:r>
          </w:p>
          <w:p w:rsidR="00317DBE" w:rsidRDefault="00E40B18" w:rsidP="00363FB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test</m:t>
                    </m:r>
                  </m:sub>
                </m:sSub>
              </m:oMath>
            </m:oMathPara>
          </w:p>
        </w:tc>
        <w:tc>
          <w:tcPr>
            <w:tcW w:w="1438" w:type="dxa"/>
            <w:tcBorders>
              <w:bottom w:val="single" w:sz="4" w:space="0" w:color="auto"/>
            </w:tcBorders>
            <w:vAlign w:val="center"/>
          </w:tcPr>
          <w:p w:rsidR="00317DBE" w:rsidRDefault="00E40B18" w:rsidP="00363FB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α,UT</m:t>
                    </m:r>
                  </m:sub>
                </m:sSub>
              </m:oMath>
            </m:oMathPara>
          </w:p>
        </w:tc>
      </w:tr>
      <w:tr w:rsidR="00363FBC" w:rsidTr="00A6225A">
        <w:trPr>
          <w:trHeight w:val="1070"/>
        </w:trPr>
        <w:tc>
          <w:tcPr>
            <w:tcW w:w="1277" w:type="dxa"/>
            <w:vAlign w:val="center"/>
          </w:tcPr>
          <w:p w:rsidR="00317DBE" w:rsidRPr="00F854EB" w:rsidRDefault="00317DBE" w:rsidP="00874048">
            <w:pPr>
              <w:jc w:val="center"/>
              <w:rPr>
                <w:b/>
              </w:rPr>
            </w:pPr>
            <w:r w:rsidRPr="00F854EB">
              <w:rPr>
                <w:b/>
              </w:rPr>
              <w:t>Error</w:t>
            </w:r>
          </w:p>
        </w:tc>
        <w:tc>
          <w:tcPr>
            <w:tcW w:w="2905" w:type="dxa"/>
            <w:vAlign w:val="center"/>
          </w:tcPr>
          <w:p w:rsidR="00317DBE" w:rsidRPr="00363FBC" w:rsidRDefault="00363FBC" w:rsidP="00363FB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SSE=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-1)(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83" w:type="dxa"/>
            <w:vAlign w:val="center"/>
          </w:tcPr>
          <w:p w:rsidR="00317DBE" w:rsidRDefault="00A6225A" w:rsidP="00363FBC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-k</m:t>
                </m:r>
              </m:oMath>
            </m:oMathPara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:rsidR="00317DBE" w:rsidRPr="00363FBC" w:rsidRDefault="00363FBC" w:rsidP="00363FB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MSE=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SSE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-k</m:t>
                    </m:r>
                  </m:den>
                </m:f>
              </m:oMath>
            </m:oMathPara>
          </w:p>
        </w:tc>
        <w:tc>
          <w:tcPr>
            <w:tcW w:w="2029" w:type="dxa"/>
            <w:tcBorders>
              <w:bottom w:val="nil"/>
              <w:right w:val="nil"/>
            </w:tcBorders>
            <w:vAlign w:val="center"/>
          </w:tcPr>
          <w:p w:rsidR="00317DBE" w:rsidRDefault="00317DBE" w:rsidP="00363FBC">
            <w:pPr>
              <w:jc w:val="center"/>
            </w:pPr>
          </w:p>
        </w:tc>
        <w:tc>
          <w:tcPr>
            <w:tcW w:w="1414" w:type="dxa"/>
            <w:tcBorders>
              <w:left w:val="nil"/>
              <w:bottom w:val="nil"/>
              <w:right w:val="nil"/>
            </w:tcBorders>
            <w:vAlign w:val="center"/>
          </w:tcPr>
          <w:p w:rsidR="00317DBE" w:rsidRDefault="00317DBE" w:rsidP="00363FBC">
            <w:pPr>
              <w:jc w:val="center"/>
            </w:pPr>
          </w:p>
        </w:tc>
        <w:tc>
          <w:tcPr>
            <w:tcW w:w="1438" w:type="dxa"/>
            <w:tcBorders>
              <w:left w:val="nil"/>
              <w:bottom w:val="nil"/>
              <w:right w:val="nil"/>
            </w:tcBorders>
            <w:vAlign w:val="center"/>
          </w:tcPr>
          <w:p w:rsidR="00317DBE" w:rsidRDefault="00317DBE" w:rsidP="00363FBC">
            <w:pPr>
              <w:jc w:val="center"/>
            </w:pPr>
          </w:p>
        </w:tc>
      </w:tr>
      <w:tr w:rsidR="00363FBC" w:rsidTr="00A6225A">
        <w:trPr>
          <w:trHeight w:val="1070"/>
        </w:trPr>
        <w:tc>
          <w:tcPr>
            <w:tcW w:w="1277" w:type="dxa"/>
            <w:vAlign w:val="center"/>
          </w:tcPr>
          <w:p w:rsidR="00317DBE" w:rsidRPr="00F854EB" w:rsidRDefault="00317DBE" w:rsidP="00874048">
            <w:pPr>
              <w:jc w:val="center"/>
              <w:rPr>
                <w:b/>
              </w:rPr>
            </w:pPr>
            <w:r w:rsidRPr="00F854EB">
              <w:rPr>
                <w:b/>
              </w:rPr>
              <w:t>Total</w:t>
            </w:r>
          </w:p>
        </w:tc>
        <w:tc>
          <w:tcPr>
            <w:tcW w:w="2905" w:type="dxa"/>
            <w:vAlign w:val="center"/>
          </w:tcPr>
          <w:p w:rsidR="00317DBE" w:rsidRDefault="00190093" w:rsidP="0019009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SST=SSTR+SSE</m:t>
                </m:r>
              </m:oMath>
            </m:oMathPara>
          </w:p>
        </w:tc>
        <w:tc>
          <w:tcPr>
            <w:tcW w:w="1483" w:type="dxa"/>
            <w:vAlign w:val="center"/>
          </w:tcPr>
          <w:p w:rsidR="00317DBE" w:rsidRDefault="00E40B18" w:rsidP="005225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317DBE" w:rsidRDefault="00317DBE" w:rsidP="00363FBC">
            <w:pPr>
              <w:jc w:val="center"/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DBE" w:rsidRDefault="00317DBE" w:rsidP="00363FBC">
            <w:pPr>
              <w:jc w:val="center"/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DBE" w:rsidRDefault="00317DBE" w:rsidP="00363FBC">
            <w:pPr>
              <w:jc w:val="center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DBE" w:rsidRDefault="00317DBE" w:rsidP="00363FBC">
            <w:pPr>
              <w:jc w:val="center"/>
            </w:pPr>
          </w:p>
        </w:tc>
      </w:tr>
    </w:tbl>
    <w:p w:rsidR="00317DBE" w:rsidRDefault="00317DBE" w:rsidP="00317DBE"/>
    <w:p w:rsidR="0052257B" w:rsidRDefault="0052257B" w:rsidP="00317DBE"/>
    <w:p w:rsidR="000D0101" w:rsidRDefault="000D0101">
      <w:pPr>
        <w:rPr>
          <w:rFonts w:eastAsiaTheme="minorEastAsia"/>
          <w:b/>
          <w:sz w:val="24"/>
          <w:szCs w:val="24"/>
        </w:rPr>
      </w:pPr>
    </w:p>
    <w:p w:rsidR="000D0101" w:rsidRPr="00317DBE" w:rsidRDefault="000D0101" w:rsidP="000D0101">
      <w:pPr>
        <w:rPr>
          <w:rFonts w:eastAsiaTheme="minorEastAsia"/>
          <w:b/>
          <w:sz w:val="24"/>
          <w:szCs w:val="24"/>
        </w:rPr>
      </w:pPr>
      <w:r w:rsidRPr="00317DBE">
        <w:rPr>
          <w:rFonts w:eastAsiaTheme="minorEastAsia"/>
          <w:b/>
          <w:sz w:val="24"/>
          <w:szCs w:val="24"/>
        </w:rPr>
        <w:t>ANOVA Summary Table</w:t>
      </w:r>
      <w:r>
        <w:rPr>
          <w:rFonts w:eastAsiaTheme="minorEastAsia"/>
          <w:b/>
          <w:sz w:val="24"/>
          <w:szCs w:val="24"/>
        </w:rPr>
        <w:t>: Simplified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796"/>
        <w:gridCol w:w="1530"/>
        <w:gridCol w:w="1260"/>
        <w:gridCol w:w="810"/>
        <w:gridCol w:w="1440"/>
        <w:gridCol w:w="1080"/>
      </w:tblGrid>
      <w:tr w:rsidR="000D0101" w:rsidRPr="00F854EB" w:rsidTr="00A6225A">
        <w:tc>
          <w:tcPr>
            <w:tcW w:w="1079" w:type="dxa"/>
          </w:tcPr>
          <w:p w:rsidR="000D0101" w:rsidRPr="000D0101" w:rsidRDefault="000D0101" w:rsidP="00F92E09">
            <w:pPr>
              <w:rPr>
                <w:b/>
                <w:sz w:val="18"/>
                <w:szCs w:val="18"/>
              </w:rPr>
            </w:pPr>
            <w:r w:rsidRPr="000D0101">
              <w:rPr>
                <w:b/>
                <w:sz w:val="18"/>
                <w:szCs w:val="18"/>
              </w:rPr>
              <w:t>Source of Variation</w:t>
            </w:r>
          </w:p>
        </w:tc>
        <w:tc>
          <w:tcPr>
            <w:tcW w:w="1796" w:type="dxa"/>
          </w:tcPr>
          <w:p w:rsidR="000D0101" w:rsidRPr="000D0101" w:rsidRDefault="000D0101" w:rsidP="00F92E09">
            <w:pPr>
              <w:jc w:val="center"/>
              <w:rPr>
                <w:b/>
                <w:sz w:val="18"/>
                <w:szCs w:val="18"/>
              </w:rPr>
            </w:pPr>
            <w:r w:rsidRPr="000D0101">
              <w:rPr>
                <w:b/>
                <w:sz w:val="18"/>
                <w:szCs w:val="18"/>
              </w:rPr>
              <w:t>Sum of Squares</w:t>
            </w:r>
          </w:p>
        </w:tc>
        <w:tc>
          <w:tcPr>
            <w:tcW w:w="1530" w:type="dxa"/>
          </w:tcPr>
          <w:p w:rsidR="000D0101" w:rsidRPr="000D0101" w:rsidRDefault="000D0101" w:rsidP="00F92E09">
            <w:pPr>
              <w:jc w:val="center"/>
              <w:rPr>
                <w:b/>
                <w:sz w:val="18"/>
                <w:szCs w:val="18"/>
              </w:rPr>
            </w:pPr>
            <w:r w:rsidRPr="000D0101">
              <w:rPr>
                <w:b/>
                <w:sz w:val="18"/>
                <w:szCs w:val="18"/>
              </w:rPr>
              <w:t>Degrees of Freedom</w:t>
            </w:r>
          </w:p>
        </w:tc>
        <w:tc>
          <w:tcPr>
            <w:tcW w:w="1260" w:type="dxa"/>
          </w:tcPr>
          <w:p w:rsidR="000D0101" w:rsidRPr="000D0101" w:rsidRDefault="000D0101" w:rsidP="00F92E09">
            <w:pPr>
              <w:jc w:val="center"/>
              <w:rPr>
                <w:b/>
                <w:sz w:val="18"/>
                <w:szCs w:val="18"/>
              </w:rPr>
            </w:pPr>
            <w:r w:rsidRPr="000D0101">
              <w:rPr>
                <w:b/>
                <w:sz w:val="18"/>
                <w:szCs w:val="18"/>
              </w:rPr>
              <w:t>Mean Square</w:t>
            </w:r>
          </w:p>
        </w:tc>
        <w:tc>
          <w:tcPr>
            <w:tcW w:w="810" w:type="dxa"/>
          </w:tcPr>
          <w:p w:rsidR="000D0101" w:rsidRPr="000D0101" w:rsidRDefault="000D0101" w:rsidP="00F92E09">
            <w:pPr>
              <w:jc w:val="center"/>
              <w:rPr>
                <w:b/>
                <w:sz w:val="18"/>
                <w:szCs w:val="18"/>
              </w:rPr>
            </w:pPr>
            <w:r w:rsidRPr="000D0101">
              <w:rPr>
                <w:b/>
                <w:sz w:val="18"/>
                <w:szCs w:val="18"/>
              </w:rPr>
              <w:t>F</w:t>
            </w:r>
          </w:p>
        </w:tc>
        <w:tc>
          <w:tcPr>
            <w:tcW w:w="1440" w:type="dxa"/>
          </w:tcPr>
          <w:p w:rsidR="000D0101" w:rsidRPr="000D0101" w:rsidRDefault="000D0101" w:rsidP="00F92E09">
            <w:pPr>
              <w:jc w:val="center"/>
              <w:rPr>
                <w:b/>
                <w:sz w:val="18"/>
                <w:szCs w:val="18"/>
              </w:rPr>
            </w:pPr>
            <w:r w:rsidRPr="000D0101">
              <w:rPr>
                <w:b/>
                <w:sz w:val="18"/>
                <w:szCs w:val="18"/>
              </w:rPr>
              <w:t>p-value</w:t>
            </w:r>
          </w:p>
        </w:tc>
        <w:tc>
          <w:tcPr>
            <w:tcW w:w="1080" w:type="dxa"/>
          </w:tcPr>
          <w:p w:rsidR="000D0101" w:rsidRPr="000D0101" w:rsidRDefault="000D0101" w:rsidP="00F92E09">
            <w:pPr>
              <w:jc w:val="center"/>
              <w:rPr>
                <w:b/>
                <w:sz w:val="18"/>
                <w:szCs w:val="18"/>
              </w:rPr>
            </w:pPr>
            <w:r w:rsidRPr="000D0101">
              <w:rPr>
                <w:b/>
                <w:sz w:val="18"/>
                <w:szCs w:val="18"/>
              </w:rPr>
              <w:t>Critical value of F</w:t>
            </w:r>
          </w:p>
        </w:tc>
      </w:tr>
      <w:tr w:rsidR="000D0101" w:rsidTr="00A6225A">
        <w:trPr>
          <w:trHeight w:val="665"/>
        </w:trPr>
        <w:tc>
          <w:tcPr>
            <w:tcW w:w="1079" w:type="dxa"/>
            <w:vAlign w:val="center"/>
          </w:tcPr>
          <w:p w:rsidR="000D0101" w:rsidRPr="000D0101" w:rsidRDefault="000D0101" w:rsidP="000D0101">
            <w:pPr>
              <w:jc w:val="center"/>
              <w:rPr>
                <w:b/>
                <w:sz w:val="18"/>
                <w:szCs w:val="18"/>
              </w:rPr>
            </w:pPr>
            <w:r w:rsidRPr="000D0101">
              <w:rPr>
                <w:b/>
                <w:sz w:val="18"/>
                <w:szCs w:val="18"/>
              </w:rPr>
              <w:t>Treatments</w:t>
            </w:r>
          </w:p>
        </w:tc>
        <w:tc>
          <w:tcPr>
            <w:tcW w:w="1796" w:type="dxa"/>
            <w:vAlign w:val="center"/>
          </w:tcPr>
          <w:p w:rsidR="000D0101" w:rsidRPr="000D0101" w:rsidRDefault="000D0101" w:rsidP="000D0101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SSTR</m:t>
                </m:r>
              </m:oMath>
            </m:oMathPara>
          </w:p>
        </w:tc>
        <w:tc>
          <w:tcPr>
            <w:tcW w:w="1530" w:type="dxa"/>
            <w:vAlign w:val="center"/>
          </w:tcPr>
          <w:p w:rsidR="000D0101" w:rsidRPr="000D0101" w:rsidRDefault="000D0101" w:rsidP="000D01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numerator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</w:tc>
        <w:tc>
          <w:tcPr>
            <w:tcW w:w="1260" w:type="dxa"/>
            <w:vAlign w:val="center"/>
          </w:tcPr>
          <w:p w:rsidR="000D0101" w:rsidRPr="000D0101" w:rsidRDefault="000D0101" w:rsidP="000D0101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MSTR</m:t>
                </m:r>
              </m:oMath>
            </m:oMathPara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0D0101" w:rsidRPr="000D0101" w:rsidRDefault="00E40B18" w:rsidP="000D0101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test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D0101" w:rsidRPr="000D0101" w:rsidRDefault="000D0101" w:rsidP="000D0101">
            <w:pPr>
              <w:jc w:val="center"/>
              <w:rPr>
                <w:sz w:val="18"/>
                <w:szCs w:val="18"/>
              </w:rPr>
            </w:pPr>
            <w:r w:rsidRPr="000D0101">
              <w:rPr>
                <w:sz w:val="18"/>
                <w:szCs w:val="18"/>
              </w:rPr>
              <w:t>Upper tail</w:t>
            </w:r>
          </w:p>
          <w:p w:rsidR="000D0101" w:rsidRPr="000D0101" w:rsidRDefault="000D0101" w:rsidP="000D0101">
            <w:pPr>
              <w:jc w:val="center"/>
              <w:rPr>
                <w:sz w:val="18"/>
                <w:szCs w:val="18"/>
              </w:rPr>
            </w:pPr>
            <w:r w:rsidRPr="000D0101">
              <w:rPr>
                <w:sz w:val="18"/>
                <w:szCs w:val="18"/>
              </w:rPr>
              <w:t>p-value for</w:t>
            </w:r>
          </w:p>
          <w:p w:rsidR="000D0101" w:rsidRPr="000D0101" w:rsidRDefault="00E40B18" w:rsidP="000D0101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test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0D0101" w:rsidRPr="000D0101" w:rsidRDefault="00E40B18" w:rsidP="000D0101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α,UT</m:t>
                    </m:r>
                  </m:sub>
                </m:sSub>
              </m:oMath>
            </m:oMathPara>
          </w:p>
        </w:tc>
        <w:bookmarkStart w:id="0" w:name="_GoBack"/>
        <w:bookmarkEnd w:id="0"/>
      </w:tr>
      <w:tr w:rsidR="000D0101" w:rsidTr="00A6225A">
        <w:trPr>
          <w:trHeight w:val="350"/>
        </w:trPr>
        <w:tc>
          <w:tcPr>
            <w:tcW w:w="1079" w:type="dxa"/>
            <w:vAlign w:val="center"/>
          </w:tcPr>
          <w:p w:rsidR="000D0101" w:rsidRPr="000D0101" w:rsidRDefault="000D0101" w:rsidP="000D0101">
            <w:pPr>
              <w:jc w:val="center"/>
              <w:rPr>
                <w:b/>
                <w:sz w:val="18"/>
                <w:szCs w:val="18"/>
              </w:rPr>
            </w:pPr>
            <w:r w:rsidRPr="000D0101">
              <w:rPr>
                <w:b/>
                <w:sz w:val="18"/>
                <w:szCs w:val="18"/>
              </w:rPr>
              <w:t>Error</w:t>
            </w:r>
          </w:p>
        </w:tc>
        <w:tc>
          <w:tcPr>
            <w:tcW w:w="1796" w:type="dxa"/>
            <w:vAlign w:val="center"/>
          </w:tcPr>
          <w:p w:rsidR="000D0101" w:rsidRPr="000D0101" w:rsidRDefault="000D0101" w:rsidP="000D0101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SSE</m:t>
                </m:r>
              </m:oMath>
            </m:oMathPara>
          </w:p>
        </w:tc>
        <w:tc>
          <w:tcPr>
            <w:tcW w:w="1530" w:type="dxa"/>
            <w:vAlign w:val="center"/>
          </w:tcPr>
          <w:p w:rsidR="000D0101" w:rsidRPr="000D0101" w:rsidRDefault="000D0101" w:rsidP="000D01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denominator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D0101" w:rsidRPr="000D0101" w:rsidRDefault="000D0101" w:rsidP="000D0101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MSE</m:t>
                </m:r>
              </m:oMath>
            </m:oMathPara>
          </w:p>
        </w:tc>
        <w:tc>
          <w:tcPr>
            <w:tcW w:w="810" w:type="dxa"/>
            <w:tcBorders>
              <w:bottom w:val="nil"/>
              <w:right w:val="nil"/>
            </w:tcBorders>
            <w:vAlign w:val="center"/>
          </w:tcPr>
          <w:p w:rsidR="000D0101" w:rsidRPr="000D0101" w:rsidRDefault="000D0101" w:rsidP="000D010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0D0101" w:rsidRPr="000D0101" w:rsidRDefault="000D0101" w:rsidP="000D010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vAlign w:val="center"/>
          </w:tcPr>
          <w:p w:rsidR="000D0101" w:rsidRPr="000D0101" w:rsidRDefault="000D0101" w:rsidP="000D0101">
            <w:pPr>
              <w:jc w:val="center"/>
              <w:rPr>
                <w:sz w:val="18"/>
                <w:szCs w:val="18"/>
              </w:rPr>
            </w:pPr>
          </w:p>
        </w:tc>
      </w:tr>
      <w:tr w:rsidR="000D0101" w:rsidTr="00A6225A">
        <w:trPr>
          <w:trHeight w:val="350"/>
        </w:trPr>
        <w:tc>
          <w:tcPr>
            <w:tcW w:w="1079" w:type="dxa"/>
            <w:vAlign w:val="center"/>
          </w:tcPr>
          <w:p w:rsidR="000D0101" w:rsidRPr="000D0101" w:rsidRDefault="000D0101" w:rsidP="000D0101">
            <w:pPr>
              <w:jc w:val="center"/>
              <w:rPr>
                <w:b/>
                <w:sz w:val="18"/>
                <w:szCs w:val="18"/>
              </w:rPr>
            </w:pPr>
            <w:r w:rsidRPr="000D0101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796" w:type="dxa"/>
            <w:vAlign w:val="center"/>
          </w:tcPr>
          <w:p w:rsidR="000D0101" w:rsidRPr="000D0101" w:rsidRDefault="000D0101" w:rsidP="000D010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SST=SSTR+SSE</m:t>
                </m:r>
              </m:oMath>
            </m:oMathPara>
          </w:p>
        </w:tc>
        <w:tc>
          <w:tcPr>
            <w:tcW w:w="1530" w:type="dxa"/>
            <w:vAlign w:val="center"/>
          </w:tcPr>
          <w:p w:rsidR="000D0101" w:rsidRPr="000D0101" w:rsidRDefault="00E40B18" w:rsidP="000D0101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260" w:type="dxa"/>
            <w:tcBorders>
              <w:bottom w:val="nil"/>
              <w:right w:val="nil"/>
            </w:tcBorders>
            <w:vAlign w:val="center"/>
          </w:tcPr>
          <w:p w:rsidR="000D0101" w:rsidRPr="000D0101" w:rsidRDefault="000D0101" w:rsidP="000D010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101" w:rsidRPr="000D0101" w:rsidRDefault="000D0101" w:rsidP="000D010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101" w:rsidRPr="000D0101" w:rsidRDefault="000D0101" w:rsidP="000D010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0101" w:rsidRPr="000D0101" w:rsidRDefault="000D0101" w:rsidP="000D0101">
            <w:pPr>
              <w:jc w:val="center"/>
              <w:rPr>
                <w:sz w:val="18"/>
                <w:szCs w:val="18"/>
              </w:rPr>
            </w:pPr>
          </w:p>
        </w:tc>
      </w:tr>
    </w:tbl>
    <w:p w:rsidR="000D0101" w:rsidRDefault="000D0101" w:rsidP="000D0101"/>
    <w:p w:rsidR="000D0101" w:rsidRDefault="000D0101" w:rsidP="00317DBE"/>
    <w:p w:rsidR="003F185C" w:rsidRPr="008D6547" w:rsidRDefault="003F185C" w:rsidP="00FB38C2">
      <w:pPr>
        <w:rPr>
          <w:rFonts w:eastAsiaTheme="minorEastAsia"/>
        </w:rPr>
      </w:pPr>
    </w:p>
    <w:sectPr w:rsidR="003F185C" w:rsidRPr="008D6547" w:rsidSect="00363F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B18" w:rsidRDefault="00E40B18" w:rsidP="00C20F57">
      <w:pPr>
        <w:spacing w:line="240" w:lineRule="auto"/>
      </w:pPr>
      <w:r>
        <w:separator/>
      </w:r>
    </w:p>
  </w:endnote>
  <w:endnote w:type="continuationSeparator" w:id="0">
    <w:p w:rsidR="00E40B18" w:rsidRDefault="00E40B18" w:rsidP="00C20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11001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0D5B" w:rsidRDefault="003914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B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0D5B" w:rsidRDefault="00E40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B18" w:rsidRDefault="00E40B18" w:rsidP="00C20F57">
      <w:pPr>
        <w:spacing w:line="240" w:lineRule="auto"/>
      </w:pPr>
      <w:r>
        <w:separator/>
      </w:r>
    </w:p>
  </w:footnote>
  <w:footnote w:type="continuationSeparator" w:id="0">
    <w:p w:rsidR="00E40B18" w:rsidRDefault="00E40B18" w:rsidP="00C20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D5B" w:rsidRPr="00B20D5B" w:rsidRDefault="009E62FB">
    <w:pPr>
      <w:pStyle w:val="Header"/>
      <w:rPr>
        <w:i/>
      </w:rPr>
    </w:pPr>
    <w:r>
      <w:rPr>
        <w:i/>
      </w:rPr>
      <w:t>Chapter 13: Handout #3</w:t>
    </w:r>
    <w:r>
      <w:rPr>
        <w:i/>
      </w:rPr>
      <w:tab/>
    </w:r>
    <w:r>
      <w:rPr>
        <w:i/>
      </w:rPr>
      <w:tab/>
      <w:t>Author: Catherine Schmitt-Sands, Ph.D.</w:t>
    </w:r>
  </w:p>
  <w:p w:rsidR="00B20D5B" w:rsidRDefault="00E40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E4A9A"/>
    <w:multiLevelType w:val="hybridMultilevel"/>
    <w:tmpl w:val="91F00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F24DA0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94642610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76FDB"/>
    <w:multiLevelType w:val="hybridMultilevel"/>
    <w:tmpl w:val="44A85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5D2C"/>
    <w:multiLevelType w:val="hybridMultilevel"/>
    <w:tmpl w:val="49FE14F8"/>
    <w:lvl w:ilvl="0" w:tplc="EF24DA0C">
      <w:start w:val="2"/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3516739"/>
    <w:multiLevelType w:val="hybridMultilevel"/>
    <w:tmpl w:val="AC2A4616"/>
    <w:lvl w:ilvl="0" w:tplc="95E88FA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66075703"/>
    <w:multiLevelType w:val="hybridMultilevel"/>
    <w:tmpl w:val="61184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E97026"/>
    <w:multiLevelType w:val="hybridMultilevel"/>
    <w:tmpl w:val="BE766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46893"/>
    <w:multiLevelType w:val="hybridMultilevel"/>
    <w:tmpl w:val="C4906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57"/>
    <w:rsid w:val="00034FB7"/>
    <w:rsid w:val="000A3E66"/>
    <w:rsid w:val="000D0101"/>
    <w:rsid w:val="00190093"/>
    <w:rsid w:val="001F4588"/>
    <w:rsid w:val="0024461B"/>
    <w:rsid w:val="00317DBE"/>
    <w:rsid w:val="00363FBC"/>
    <w:rsid w:val="00391413"/>
    <w:rsid w:val="003F185C"/>
    <w:rsid w:val="004A4B82"/>
    <w:rsid w:val="004F3724"/>
    <w:rsid w:val="004F6EB2"/>
    <w:rsid w:val="005136BC"/>
    <w:rsid w:val="0052257B"/>
    <w:rsid w:val="00557C38"/>
    <w:rsid w:val="005945BA"/>
    <w:rsid w:val="005A1D2A"/>
    <w:rsid w:val="005B32BA"/>
    <w:rsid w:val="005C0C8F"/>
    <w:rsid w:val="0062107A"/>
    <w:rsid w:val="00646BBE"/>
    <w:rsid w:val="00686BD6"/>
    <w:rsid w:val="006A1E15"/>
    <w:rsid w:val="006F075E"/>
    <w:rsid w:val="007226B6"/>
    <w:rsid w:val="00731210"/>
    <w:rsid w:val="00734C36"/>
    <w:rsid w:val="007B3605"/>
    <w:rsid w:val="008110E4"/>
    <w:rsid w:val="0083027C"/>
    <w:rsid w:val="0083394F"/>
    <w:rsid w:val="008D6547"/>
    <w:rsid w:val="00923C0A"/>
    <w:rsid w:val="00973763"/>
    <w:rsid w:val="009E62FB"/>
    <w:rsid w:val="009F690B"/>
    <w:rsid w:val="00A062F4"/>
    <w:rsid w:val="00A248CF"/>
    <w:rsid w:val="00A6225A"/>
    <w:rsid w:val="00B547E8"/>
    <w:rsid w:val="00B5710F"/>
    <w:rsid w:val="00B956E8"/>
    <w:rsid w:val="00C20F57"/>
    <w:rsid w:val="00D94505"/>
    <w:rsid w:val="00DE3DF6"/>
    <w:rsid w:val="00E40B18"/>
    <w:rsid w:val="00EB1DE6"/>
    <w:rsid w:val="00F374EA"/>
    <w:rsid w:val="00F560D9"/>
    <w:rsid w:val="00FB0B14"/>
    <w:rsid w:val="00F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04A38E-54D0-478C-9998-38FA5351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F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F57"/>
  </w:style>
  <w:style w:type="paragraph" w:styleId="Footer">
    <w:name w:val="footer"/>
    <w:basedOn w:val="Normal"/>
    <w:link w:val="FooterChar"/>
    <w:uiPriority w:val="99"/>
    <w:unhideWhenUsed/>
    <w:rsid w:val="00C20F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F57"/>
  </w:style>
  <w:style w:type="paragraph" w:styleId="ListParagraph">
    <w:name w:val="List Paragraph"/>
    <w:basedOn w:val="Normal"/>
    <w:uiPriority w:val="34"/>
    <w:qFormat/>
    <w:rsid w:val="00C20F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588"/>
    <w:rPr>
      <w:color w:val="808080"/>
    </w:rPr>
  </w:style>
  <w:style w:type="table" w:styleId="TableGrid">
    <w:name w:val="Table Grid"/>
    <w:basedOn w:val="TableNormal"/>
    <w:uiPriority w:val="59"/>
    <w:rsid w:val="00317D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0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3</cp:revision>
  <cp:lastPrinted>2019-10-30T14:35:00Z</cp:lastPrinted>
  <dcterms:created xsi:type="dcterms:W3CDTF">2019-10-30T14:53:00Z</dcterms:created>
  <dcterms:modified xsi:type="dcterms:W3CDTF">2020-03-15T21:55:00Z</dcterms:modified>
</cp:coreProperties>
</file>