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Default="00EF288D" w:rsidP="002C742A">
      <w:pPr>
        <w:spacing w:line="240" w:lineRule="auto"/>
        <w:jc w:val="center"/>
      </w:pPr>
      <w:r>
        <w:rPr>
          <w:u w:val="single"/>
        </w:rPr>
        <w:t xml:space="preserve">Basic Statistical Concepts: </w:t>
      </w:r>
      <w:r w:rsidR="000F62E9">
        <w:rPr>
          <w:u w:val="single"/>
        </w:rPr>
        <w:t>Definitions and Notation</w:t>
      </w:r>
    </w:p>
    <w:p w:rsidR="002C742A" w:rsidRDefault="002C742A" w:rsidP="002C742A">
      <w:pPr>
        <w:spacing w:line="240" w:lineRule="auto"/>
      </w:pPr>
    </w:p>
    <w:p w:rsidR="000F62E9" w:rsidRDefault="002C742A" w:rsidP="002C742A">
      <w:pPr>
        <w:spacing w:line="240" w:lineRule="auto"/>
      </w:pPr>
      <w:r>
        <w:t xml:space="preserve">A </w:t>
      </w:r>
      <w:r w:rsidRPr="0075006A">
        <w:rPr>
          <w:i/>
        </w:rPr>
        <w:t>population</w:t>
      </w:r>
      <w:r>
        <w:t xml:space="preserve"> is </w:t>
      </w:r>
      <w:r w:rsidR="00EF288D">
        <w:t xml:space="preserve">the group of </w:t>
      </w:r>
      <w:r>
        <w:t>all objects (or subjects) of interest.</w:t>
      </w:r>
      <w:r w:rsidR="00481DCC">
        <w:t xml:space="preserve"> </w:t>
      </w:r>
      <w:r w:rsidR="00EF288D">
        <w:t>In a statistical study, the</w:t>
      </w:r>
      <w:r w:rsidR="00481DCC">
        <w:t xml:space="preserve"> p</w:t>
      </w:r>
      <w:r w:rsidR="009C0996">
        <w:t>opulation</w:t>
      </w:r>
      <w:r w:rsidR="00481DCC">
        <w:t xml:space="preserve"> is</w:t>
      </w:r>
      <w:r w:rsidR="009C0996">
        <w:t xml:space="preserve"> defined by the researcher. For example, a population might be defined as all </w:t>
      </w:r>
      <w:r w:rsidR="00BD2348">
        <w:t>women</w:t>
      </w:r>
      <w:r w:rsidR="009C0996">
        <w:t xml:space="preserve"> </w:t>
      </w:r>
      <w:r w:rsidR="0075006A">
        <w:t>between 18 and 34 in Michigan</w:t>
      </w:r>
      <w:r w:rsidR="00EF288D">
        <w:t>, if a researcher was interested in studying that group of subjects</w:t>
      </w:r>
      <w:r w:rsidR="0075006A">
        <w:t xml:space="preserve">. A </w:t>
      </w:r>
      <w:r w:rsidR="0075006A" w:rsidRPr="0075006A">
        <w:rPr>
          <w:i/>
        </w:rPr>
        <w:t>sample</w:t>
      </w:r>
      <w:r w:rsidR="0075006A">
        <w:t xml:space="preserve"> is a subset of the population. For example, a sample from this population could be 100 randomly selected </w:t>
      </w:r>
      <w:r w:rsidR="00BD2348">
        <w:t>women</w:t>
      </w:r>
      <w:r w:rsidR="0075006A">
        <w:t xml:space="preserve"> between 18 and 34 in Michigan.</w:t>
      </w:r>
      <w:r w:rsidR="00EF288D">
        <w:t xml:space="preserve"> While it is populations that we are ultimately interested in knowing about,</w:t>
      </w:r>
      <w:r w:rsidR="00B02973">
        <w:t xml:space="preserve"> we usually do not observe them directly. Instead, </w:t>
      </w:r>
      <w:r w:rsidR="00EF288D">
        <w:t xml:space="preserve">samples are what we actually observe and measure in statistical studies. </w:t>
      </w:r>
      <w:r w:rsidR="00315E31" w:rsidRPr="0075006A">
        <w:rPr>
          <w:i/>
        </w:rPr>
        <w:t>Statistical inference</w:t>
      </w:r>
      <w:r w:rsidR="00315E31">
        <w:t xml:space="preserve"> is the process</w:t>
      </w:r>
      <w:r w:rsidR="00EF288D">
        <w:t xml:space="preserve"> of drawing conclusions about </w:t>
      </w:r>
      <w:r w:rsidR="009B4732">
        <w:t>a</w:t>
      </w:r>
      <w:r w:rsidR="00315E31">
        <w:t xml:space="preserve"> population, based on a sample taken from that population.</w:t>
      </w:r>
    </w:p>
    <w:p w:rsidR="003454A2" w:rsidRDefault="003454A2" w:rsidP="002C742A">
      <w:pPr>
        <w:spacing w:line="240" w:lineRule="auto"/>
      </w:pPr>
    </w:p>
    <w:p w:rsidR="003454A2" w:rsidRDefault="003454A2" w:rsidP="002C742A">
      <w:pPr>
        <w:spacing w:line="240" w:lineRule="auto"/>
      </w:pPr>
      <w:r>
        <w:t xml:space="preserve">Why is randomization important? Only </w:t>
      </w:r>
      <w:r>
        <w:rPr>
          <w:i/>
        </w:rPr>
        <w:t>random</w:t>
      </w:r>
      <w:r>
        <w:t xml:space="preserve"> samples can provide the basis for statistical inference, because only random samples </w:t>
      </w:r>
      <w:r w:rsidR="00DC6915">
        <w:t>are representative of the population as a whole.</w:t>
      </w:r>
    </w:p>
    <w:p w:rsidR="0071477D" w:rsidRDefault="0071477D" w:rsidP="002C742A">
      <w:pPr>
        <w:spacing w:line="240" w:lineRule="auto"/>
      </w:pPr>
    </w:p>
    <w:p w:rsidR="0073237F" w:rsidRDefault="0073237F" w:rsidP="0073237F">
      <w:pPr>
        <w:spacing w:line="240" w:lineRule="auto"/>
      </w:pPr>
      <w:r>
        <w:t>It should be clear from the foregoing discussion that we will be dealing with characteristics of populations and characteristics of samples from those populations in this class. Therefore, it will be important to differentiate carefully between them. We do that by using different terms (when possible) and different notation (always</w:t>
      </w:r>
      <w:bookmarkStart w:id="0" w:name="_GoBack"/>
      <w:bookmarkEnd w:id="0"/>
      <w:r>
        <w:t>) when referring to populations and samples.</w:t>
      </w:r>
    </w:p>
    <w:p w:rsidR="0073237F" w:rsidRDefault="0073237F" w:rsidP="002C742A">
      <w:pPr>
        <w:spacing w:line="240" w:lineRule="auto"/>
      </w:pPr>
    </w:p>
    <w:p w:rsidR="00735970" w:rsidRDefault="0071477D" w:rsidP="002C742A">
      <w:pPr>
        <w:spacing w:line="240" w:lineRule="auto"/>
      </w:pPr>
      <w:r>
        <w:t xml:space="preserve">A </w:t>
      </w:r>
      <w:r>
        <w:rPr>
          <w:i/>
        </w:rPr>
        <w:t>parameter</w:t>
      </w:r>
      <w:r>
        <w:t xml:space="preserve"> is a characteristic of a population. A </w:t>
      </w:r>
      <w:r>
        <w:rPr>
          <w:i/>
        </w:rPr>
        <w:t>sample statistic</w:t>
      </w:r>
      <w:r>
        <w:t xml:space="preserve"> is a characteristic of a sample. </w:t>
      </w:r>
      <w:r w:rsidR="0073237F">
        <w:t xml:space="preserve">For example, the mean of a population is a parameter, while the mean of a sample is a sample statistic. Both are averages, but they are measured on two different groups, and so they are two different things. </w:t>
      </w:r>
      <w:r>
        <w:t xml:space="preserve">Characteristics measured on samples </w:t>
      </w:r>
      <w:r>
        <w:rPr>
          <w:i/>
        </w:rPr>
        <w:t>estimate</w:t>
      </w:r>
      <w:r>
        <w:t xml:space="preserve"> the</w:t>
      </w:r>
      <w:r w:rsidR="00481DCC">
        <w:t xml:space="preserve"> corresponding</w:t>
      </w:r>
      <w:r>
        <w:t xml:space="preserve"> characteristics of the populations those samples came from. </w:t>
      </w:r>
      <w:r>
        <w:rPr>
          <w:i/>
        </w:rPr>
        <w:t>Sample statistics</w:t>
      </w:r>
      <w:r>
        <w:t xml:space="preserve">, in other words, are </w:t>
      </w:r>
      <w:r>
        <w:rPr>
          <w:i/>
        </w:rPr>
        <w:t>estimates</w:t>
      </w:r>
      <w:r>
        <w:t xml:space="preserve"> of their corresponding </w:t>
      </w:r>
      <w:r>
        <w:rPr>
          <w:i/>
        </w:rPr>
        <w:t>population parameters</w:t>
      </w:r>
      <w:r>
        <w:t>.</w:t>
      </w:r>
      <w:r w:rsidR="00481DCC">
        <w:t xml:space="preserve"> </w:t>
      </w:r>
    </w:p>
    <w:p w:rsidR="00735970" w:rsidRDefault="00735970" w:rsidP="002C742A">
      <w:pPr>
        <w:spacing w:line="240" w:lineRule="auto"/>
      </w:pPr>
    </w:p>
    <w:p w:rsidR="0071477D" w:rsidRDefault="0073237F" w:rsidP="002C742A">
      <w:pPr>
        <w:spacing w:line="240" w:lineRule="auto"/>
      </w:pPr>
      <w:r>
        <w:t>The values of s</w:t>
      </w:r>
      <w:r w:rsidR="00481DCC">
        <w:t>ample statistics</w:t>
      </w:r>
      <w:r w:rsidR="0071477D">
        <w:t xml:space="preserve"> </w:t>
      </w:r>
      <w:r>
        <w:t>almost always</w:t>
      </w:r>
      <w:r w:rsidR="00481DCC">
        <w:t xml:space="preserve"> differ slightly from the </w:t>
      </w:r>
      <w:r>
        <w:t xml:space="preserve">values of the corresponding </w:t>
      </w:r>
      <w:r w:rsidR="00481DCC">
        <w:t>parameters in the underlying</w:t>
      </w:r>
      <w:r w:rsidR="0071477D">
        <w:t xml:space="preserve"> population due to </w:t>
      </w:r>
      <w:r w:rsidR="0071477D">
        <w:rPr>
          <w:i/>
        </w:rPr>
        <w:t>random variation</w:t>
      </w:r>
      <w:r w:rsidR="0071477D">
        <w:t xml:space="preserve">, also called </w:t>
      </w:r>
      <w:r w:rsidR="0071477D">
        <w:rPr>
          <w:i/>
        </w:rPr>
        <w:t>random error</w:t>
      </w:r>
      <w:r w:rsidR="0071477D">
        <w:t xml:space="preserve">. </w:t>
      </w:r>
      <w:r w:rsidR="00481DCC">
        <w:t>So, even a representative, random sample is likely to differ slightly from the underlying population.</w:t>
      </w:r>
      <w:r>
        <w:t xml:space="preserve"> </w:t>
      </w:r>
      <w:r w:rsidR="00735970">
        <w:t xml:space="preserve">Suppose you had a population with a mean of 10. Further suppose that you took 5 different random samples from it. In the first sample, just randomly, a few more low values might be chosen. So the mean of the sample would come out a little lower than the population mean, like 9.4. But then in the second sample, a few higher values might be chosen instead. So then the second sample would come out with a mean on the high side, like 10.2. And so it would go with the other three samples – each one chosen randomly, each slightly different from the other samples, and from the underlying population they </w:t>
      </w:r>
      <w:r w:rsidR="00EE6F82">
        <w:t xml:space="preserve">all </w:t>
      </w:r>
      <w:r w:rsidR="00735970">
        <w:t>came from. In the process of statistical inference, it will be our task to distinguish between this type of random variation, due to random chance, and true variation that can give us information about the value of a population parameter.</w:t>
      </w:r>
      <w:r w:rsidR="001301C8">
        <w:t xml:space="preserve"> We will do this by using </w:t>
      </w:r>
      <w:r w:rsidR="00A26BDB">
        <w:t>a</w:t>
      </w:r>
      <w:r w:rsidR="001301C8">
        <w:t xml:space="preserve"> technique </w:t>
      </w:r>
      <w:r w:rsidR="00A26BDB">
        <w:t xml:space="preserve">called </w:t>
      </w:r>
      <w:r w:rsidR="001301C8">
        <w:t>hypothesis testing.</w:t>
      </w:r>
    </w:p>
    <w:p w:rsidR="0071477D" w:rsidRDefault="0071477D" w:rsidP="002C742A">
      <w:pPr>
        <w:spacing w:line="240" w:lineRule="auto"/>
      </w:pPr>
    </w:p>
    <w:p w:rsidR="0003303F" w:rsidRDefault="0003303F" w:rsidP="002C742A">
      <w:pPr>
        <w:spacing w:line="240" w:lineRule="auto"/>
      </w:pPr>
    </w:p>
    <w:p w:rsidR="006D64E6" w:rsidRDefault="006D64E6">
      <w:r>
        <w:br w:type="page"/>
      </w:r>
    </w:p>
    <w:p w:rsidR="0003303F" w:rsidRDefault="0003303F" w:rsidP="002C742A">
      <w:pPr>
        <w:spacing w:line="240" w:lineRule="auto"/>
      </w:pPr>
      <w:r>
        <w:lastRenderedPageBreak/>
        <w:t>Notat</w:t>
      </w:r>
      <w:r w:rsidR="008C5730">
        <w:t>ion is a part of life when learning</w:t>
      </w:r>
      <w:r>
        <w:t xml:space="preserve"> statistics, and you should approach it like learning a language. The symbols are shorthand ways to refer to important concept</w:t>
      </w:r>
      <w:r w:rsidR="00315E31">
        <w:t xml:space="preserve">s. </w:t>
      </w:r>
      <w:r>
        <w:t>You will need to become familiar with the following notation:</w:t>
      </w:r>
    </w:p>
    <w:p w:rsidR="0003303F" w:rsidRDefault="0003303F" w:rsidP="002C742A">
      <w:pPr>
        <w:spacing w:line="240" w:lineRule="auto"/>
      </w:pPr>
    </w:p>
    <w:tbl>
      <w:tblPr>
        <w:tblStyle w:val="PlainTable1"/>
        <w:tblW w:w="0" w:type="auto"/>
        <w:tblLayout w:type="fixed"/>
        <w:tblLook w:val="04A0" w:firstRow="1" w:lastRow="0" w:firstColumn="1" w:lastColumn="0" w:noHBand="0" w:noVBand="1"/>
      </w:tblPr>
      <w:tblGrid>
        <w:gridCol w:w="805"/>
        <w:gridCol w:w="4140"/>
        <w:gridCol w:w="810"/>
        <w:gridCol w:w="3595"/>
      </w:tblGrid>
      <w:tr w:rsidR="0003303F" w:rsidRPr="008C5730" w:rsidTr="00290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gridSpan w:val="2"/>
            <w:tcBorders>
              <w:bottom w:val="double" w:sz="6" w:space="0" w:color="BFBFBF" w:themeColor="background1" w:themeShade="BF"/>
              <w:right w:val="single" w:sz="12" w:space="0" w:color="BFBFBF" w:themeColor="background1" w:themeShade="BF"/>
            </w:tcBorders>
          </w:tcPr>
          <w:p w:rsidR="0003303F" w:rsidRPr="008C5730" w:rsidRDefault="0003303F" w:rsidP="0003303F">
            <w:pPr>
              <w:jc w:val="center"/>
              <w:rPr>
                <w:sz w:val="24"/>
                <w:szCs w:val="24"/>
              </w:rPr>
            </w:pPr>
            <w:r w:rsidRPr="008C5730">
              <w:rPr>
                <w:sz w:val="24"/>
                <w:szCs w:val="24"/>
              </w:rPr>
              <w:t>Population Parameters</w:t>
            </w:r>
          </w:p>
        </w:tc>
        <w:tc>
          <w:tcPr>
            <w:tcW w:w="4405" w:type="dxa"/>
            <w:gridSpan w:val="2"/>
            <w:tcBorders>
              <w:left w:val="single" w:sz="12" w:space="0" w:color="BFBFBF" w:themeColor="background1" w:themeShade="BF"/>
              <w:bottom w:val="double" w:sz="6" w:space="0" w:color="BFBFBF" w:themeColor="background1" w:themeShade="BF"/>
            </w:tcBorders>
          </w:tcPr>
          <w:p w:rsidR="0003303F" w:rsidRPr="008C5730" w:rsidRDefault="0003303F" w:rsidP="0003303F">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5730">
              <w:rPr>
                <w:sz w:val="24"/>
                <w:szCs w:val="24"/>
              </w:rPr>
              <w:t>Sample Statistics</w:t>
            </w:r>
          </w:p>
        </w:tc>
      </w:tr>
      <w:tr w:rsidR="0003303F" w:rsidTr="00290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double" w:sz="6" w:space="0" w:color="BFBFBF" w:themeColor="background1" w:themeShade="BF"/>
            </w:tcBorders>
            <w:vAlign w:val="center"/>
          </w:tcPr>
          <w:p w:rsidR="0003303F" w:rsidRPr="00BD2348" w:rsidRDefault="00BD2348" w:rsidP="008C5730">
            <w:pPr>
              <w:jc w:val="center"/>
            </w:pPr>
            <m:oMathPara>
              <m:oMath>
                <m:r>
                  <m:rPr>
                    <m:sty m:val="bi"/>
                  </m:rPr>
                  <w:rPr>
                    <w:rFonts w:ascii="Cambria Math" w:hAnsi="Cambria Math"/>
                  </w:rPr>
                  <m:t>μ</m:t>
                </m:r>
              </m:oMath>
            </m:oMathPara>
          </w:p>
        </w:tc>
        <w:tc>
          <w:tcPr>
            <w:tcW w:w="4140" w:type="dxa"/>
            <w:tcBorders>
              <w:top w:val="double" w:sz="6" w:space="0" w:color="BFBFBF" w:themeColor="background1" w:themeShade="BF"/>
              <w:right w:val="single" w:sz="12" w:space="0" w:color="BFBFBF" w:themeColor="background1" w:themeShade="BF"/>
            </w:tcBorders>
            <w:vAlign w:val="center"/>
          </w:tcPr>
          <w:p w:rsidR="0003303F" w:rsidRDefault="002908F9" w:rsidP="008C5730">
            <w:pPr>
              <w:cnfStyle w:val="000000100000" w:firstRow="0" w:lastRow="0" w:firstColumn="0" w:lastColumn="0" w:oddVBand="0" w:evenVBand="0" w:oddHBand="1" w:evenHBand="0" w:firstRowFirstColumn="0" w:firstRowLastColumn="0" w:lastRowFirstColumn="0" w:lastRowLastColumn="0"/>
            </w:pPr>
            <w:r>
              <w:t>T</w:t>
            </w:r>
            <w:r w:rsidR="0003303F">
              <w:t>he mean of a population</w:t>
            </w:r>
          </w:p>
          <w:p w:rsidR="003C2273" w:rsidRDefault="002908F9" w:rsidP="008C5730">
            <w:pPr>
              <w:cnfStyle w:val="000000100000" w:firstRow="0" w:lastRow="0" w:firstColumn="0" w:lastColumn="0" w:oddVBand="0" w:evenVBand="0" w:oddHBand="1" w:evenHBand="0" w:firstRowFirstColumn="0" w:firstRowLastColumn="0" w:lastRowFirstColumn="0" w:lastRowLastColumn="0"/>
            </w:pPr>
            <w:r>
              <w:t>T</w:t>
            </w:r>
            <w:r w:rsidR="003C2273">
              <w:t>he Greek letter “mu”, pronounced “mew”</w:t>
            </w:r>
          </w:p>
        </w:tc>
        <w:tc>
          <w:tcPr>
            <w:tcW w:w="810" w:type="dxa"/>
            <w:tcBorders>
              <w:top w:val="double" w:sz="6" w:space="0" w:color="BFBFBF" w:themeColor="background1" w:themeShade="BF"/>
              <w:left w:val="single" w:sz="12" w:space="0" w:color="BFBFBF" w:themeColor="background1" w:themeShade="BF"/>
            </w:tcBorders>
            <w:vAlign w:val="center"/>
          </w:tcPr>
          <w:p w:rsidR="0003303F" w:rsidRPr="00BD2348" w:rsidRDefault="00AD295F" w:rsidP="008C5730">
            <w:pPr>
              <w:cnfStyle w:val="000000100000" w:firstRow="0" w:lastRow="0" w:firstColumn="0" w:lastColumn="0" w:oddVBand="0" w:evenVBand="0" w:oddHBand="1" w:evenHBand="0" w:firstRowFirstColumn="0" w:firstRowLastColumn="0" w:lastRowFirstColumn="0" w:lastRowLastColumn="0"/>
              <w:rPr>
                <w:b/>
              </w:rPr>
            </w:pPr>
            <m:oMathPara>
              <m:oMath>
                <m:acc>
                  <m:accPr>
                    <m:chr m:val="̅"/>
                    <m:ctrlPr>
                      <w:rPr>
                        <w:rFonts w:ascii="Cambria Math" w:hAnsi="Cambria Math"/>
                        <w:b/>
                        <w:i/>
                      </w:rPr>
                    </m:ctrlPr>
                  </m:accPr>
                  <m:e>
                    <m:r>
                      <m:rPr>
                        <m:sty m:val="bi"/>
                      </m:rPr>
                      <w:rPr>
                        <w:rFonts w:ascii="Cambria Math" w:hAnsi="Cambria Math"/>
                      </w:rPr>
                      <m:t>x</m:t>
                    </m:r>
                  </m:e>
                </m:acc>
              </m:oMath>
            </m:oMathPara>
          </w:p>
        </w:tc>
        <w:tc>
          <w:tcPr>
            <w:tcW w:w="3595" w:type="dxa"/>
            <w:tcBorders>
              <w:top w:val="double" w:sz="6" w:space="0" w:color="BFBFBF" w:themeColor="background1" w:themeShade="BF"/>
            </w:tcBorders>
            <w:vAlign w:val="center"/>
          </w:tcPr>
          <w:p w:rsidR="0003303F" w:rsidRDefault="002908F9" w:rsidP="008C5730">
            <w:pPr>
              <w:cnfStyle w:val="000000100000" w:firstRow="0" w:lastRow="0" w:firstColumn="0" w:lastColumn="0" w:oddVBand="0" w:evenVBand="0" w:oddHBand="1" w:evenHBand="0" w:firstRowFirstColumn="0" w:firstRowLastColumn="0" w:lastRowFirstColumn="0" w:lastRowLastColumn="0"/>
            </w:pPr>
            <w:r>
              <w:t>T</w:t>
            </w:r>
            <w:r w:rsidR="003C2273">
              <w:t>he mean of a sample</w:t>
            </w:r>
          </w:p>
          <w:p w:rsidR="003C2273" w:rsidRDefault="002908F9" w:rsidP="008C5730">
            <w:pPr>
              <w:cnfStyle w:val="000000100000" w:firstRow="0" w:lastRow="0" w:firstColumn="0" w:lastColumn="0" w:oddVBand="0" w:evenVBand="0" w:oddHBand="1" w:evenHBand="0" w:firstRowFirstColumn="0" w:firstRowLastColumn="0" w:lastRowFirstColumn="0" w:lastRowLastColumn="0"/>
            </w:pPr>
            <w:r>
              <w:t>P</w:t>
            </w:r>
            <w:r w:rsidR="003C2273">
              <w:t>ronounced “x bar”</w:t>
            </w:r>
          </w:p>
        </w:tc>
      </w:tr>
      <w:tr w:rsidR="0003303F" w:rsidTr="002908F9">
        <w:tc>
          <w:tcPr>
            <w:cnfStyle w:val="001000000000" w:firstRow="0" w:lastRow="0" w:firstColumn="1" w:lastColumn="0" w:oddVBand="0" w:evenVBand="0" w:oddHBand="0" w:evenHBand="0" w:firstRowFirstColumn="0" w:firstRowLastColumn="0" w:lastRowFirstColumn="0" w:lastRowLastColumn="0"/>
            <w:tcW w:w="805" w:type="dxa"/>
            <w:vAlign w:val="center"/>
          </w:tcPr>
          <w:p w:rsidR="0003303F" w:rsidRPr="00BD2348" w:rsidRDefault="00BD2348" w:rsidP="008C5730">
            <w:pPr>
              <w:jc w:val="center"/>
            </w:pPr>
            <m:oMathPara>
              <m:oMath>
                <m:r>
                  <m:rPr>
                    <m:sty m:val="bi"/>
                  </m:rPr>
                  <w:rPr>
                    <w:rFonts w:ascii="Cambria Math" w:hAnsi="Cambria Math"/>
                  </w:rPr>
                  <m:t>σ</m:t>
                </m:r>
              </m:oMath>
            </m:oMathPara>
          </w:p>
        </w:tc>
        <w:tc>
          <w:tcPr>
            <w:tcW w:w="4140" w:type="dxa"/>
            <w:tcBorders>
              <w:right w:val="single" w:sz="12" w:space="0" w:color="BFBFBF" w:themeColor="background1" w:themeShade="BF"/>
            </w:tcBorders>
            <w:vAlign w:val="center"/>
          </w:tcPr>
          <w:p w:rsidR="0003303F" w:rsidRDefault="002908F9" w:rsidP="008C5730">
            <w:pPr>
              <w:cnfStyle w:val="000000000000" w:firstRow="0" w:lastRow="0" w:firstColumn="0" w:lastColumn="0" w:oddVBand="0" w:evenVBand="0" w:oddHBand="0" w:evenHBand="0" w:firstRowFirstColumn="0" w:firstRowLastColumn="0" w:lastRowFirstColumn="0" w:lastRowLastColumn="0"/>
            </w:pPr>
            <w:r>
              <w:t>T</w:t>
            </w:r>
            <w:r w:rsidR="003C2273">
              <w:t>he standard deviation of a population</w:t>
            </w:r>
          </w:p>
          <w:p w:rsidR="003C2273" w:rsidRDefault="002908F9" w:rsidP="008C5730">
            <w:pPr>
              <w:cnfStyle w:val="000000000000" w:firstRow="0" w:lastRow="0" w:firstColumn="0" w:lastColumn="0" w:oddVBand="0" w:evenVBand="0" w:oddHBand="0" w:evenHBand="0" w:firstRowFirstColumn="0" w:firstRowLastColumn="0" w:lastRowFirstColumn="0" w:lastRowLastColumn="0"/>
            </w:pPr>
            <w:r>
              <w:t>T</w:t>
            </w:r>
            <w:r w:rsidR="003C2273">
              <w:t xml:space="preserve">he </w:t>
            </w:r>
            <w:r w:rsidR="007D74E0">
              <w:t xml:space="preserve">lowercase </w:t>
            </w:r>
            <w:r w:rsidR="003C2273">
              <w:t>Greek letter “sigma”</w:t>
            </w:r>
          </w:p>
        </w:tc>
        <w:tc>
          <w:tcPr>
            <w:tcW w:w="810" w:type="dxa"/>
            <w:tcBorders>
              <w:left w:val="single" w:sz="12" w:space="0" w:color="BFBFBF" w:themeColor="background1" w:themeShade="BF"/>
            </w:tcBorders>
            <w:vAlign w:val="center"/>
          </w:tcPr>
          <w:p w:rsidR="0003303F" w:rsidRPr="00BD2348" w:rsidRDefault="00BD2348" w:rsidP="008C5730">
            <w:pPr>
              <w:cnfStyle w:val="000000000000" w:firstRow="0" w:lastRow="0" w:firstColumn="0" w:lastColumn="0" w:oddVBand="0" w:evenVBand="0" w:oddHBand="0" w:evenHBand="0" w:firstRowFirstColumn="0" w:firstRowLastColumn="0" w:lastRowFirstColumn="0" w:lastRowLastColumn="0"/>
              <w:rPr>
                <w:b/>
              </w:rPr>
            </w:pPr>
            <m:oMathPara>
              <m:oMath>
                <m:r>
                  <m:rPr>
                    <m:sty m:val="bi"/>
                  </m:rPr>
                  <w:rPr>
                    <w:rFonts w:ascii="Cambria Math" w:hAnsi="Cambria Math"/>
                  </w:rPr>
                  <m:t>s</m:t>
                </m:r>
              </m:oMath>
            </m:oMathPara>
          </w:p>
        </w:tc>
        <w:tc>
          <w:tcPr>
            <w:tcW w:w="3595" w:type="dxa"/>
            <w:vAlign w:val="center"/>
          </w:tcPr>
          <w:p w:rsidR="0003303F" w:rsidRDefault="002908F9" w:rsidP="008C5730">
            <w:pPr>
              <w:cnfStyle w:val="000000000000" w:firstRow="0" w:lastRow="0" w:firstColumn="0" w:lastColumn="0" w:oddVBand="0" w:evenVBand="0" w:oddHBand="0" w:evenHBand="0" w:firstRowFirstColumn="0" w:firstRowLastColumn="0" w:lastRowFirstColumn="0" w:lastRowLastColumn="0"/>
            </w:pPr>
            <w:r>
              <w:t>T</w:t>
            </w:r>
            <w:r w:rsidR="003C2273">
              <w:t>he standard deviation of a sample</w:t>
            </w:r>
          </w:p>
        </w:tc>
      </w:tr>
      <w:tr w:rsidR="0003303F" w:rsidTr="00290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03303F" w:rsidRPr="00BD2348" w:rsidRDefault="00AD295F" w:rsidP="008C5730">
            <w:pPr>
              <w:jc w:val="center"/>
            </w:pPr>
            <m:oMathPara>
              <m:oMath>
                <m:sSup>
                  <m:sSupPr>
                    <m:ctrlPr>
                      <w:rPr>
                        <w:rFonts w:ascii="Cambria Math" w:hAnsi="Cambria Math"/>
                        <w:i/>
                      </w:rPr>
                    </m:ctrlPr>
                  </m:sSupPr>
                  <m:e>
                    <m:r>
                      <m:rPr>
                        <m:sty m:val="bi"/>
                      </m:rPr>
                      <w:rPr>
                        <w:rFonts w:ascii="Cambria Math" w:hAnsi="Cambria Math"/>
                      </w:rPr>
                      <m:t>σ</m:t>
                    </m:r>
                  </m:e>
                  <m:sup>
                    <m:r>
                      <m:rPr>
                        <m:sty m:val="bi"/>
                      </m:rPr>
                      <w:rPr>
                        <w:rFonts w:ascii="Cambria Math" w:hAnsi="Cambria Math"/>
                      </w:rPr>
                      <m:t>2</m:t>
                    </m:r>
                  </m:sup>
                </m:sSup>
              </m:oMath>
            </m:oMathPara>
          </w:p>
        </w:tc>
        <w:tc>
          <w:tcPr>
            <w:tcW w:w="4140" w:type="dxa"/>
            <w:tcBorders>
              <w:right w:val="single" w:sz="12" w:space="0" w:color="BFBFBF" w:themeColor="background1" w:themeShade="BF"/>
            </w:tcBorders>
            <w:vAlign w:val="center"/>
          </w:tcPr>
          <w:p w:rsidR="0003303F" w:rsidRDefault="002908F9" w:rsidP="008C5730">
            <w:pPr>
              <w:cnfStyle w:val="000000100000" w:firstRow="0" w:lastRow="0" w:firstColumn="0" w:lastColumn="0" w:oddVBand="0" w:evenVBand="0" w:oddHBand="1" w:evenHBand="0" w:firstRowFirstColumn="0" w:firstRowLastColumn="0" w:lastRowFirstColumn="0" w:lastRowLastColumn="0"/>
            </w:pPr>
            <w:r>
              <w:t>T</w:t>
            </w:r>
            <w:r w:rsidR="003C2273">
              <w:t>he variance of a population</w:t>
            </w:r>
          </w:p>
          <w:p w:rsidR="003C2273" w:rsidRDefault="002908F9" w:rsidP="008C5730">
            <w:pPr>
              <w:cnfStyle w:val="000000100000" w:firstRow="0" w:lastRow="0" w:firstColumn="0" w:lastColumn="0" w:oddVBand="0" w:evenVBand="0" w:oddHBand="1" w:evenHBand="0" w:firstRowFirstColumn="0" w:firstRowLastColumn="0" w:lastRowFirstColumn="0" w:lastRowLastColumn="0"/>
            </w:pPr>
            <w:r>
              <w:t>“S</w:t>
            </w:r>
            <w:r w:rsidR="003C2273">
              <w:t>igma squared”</w:t>
            </w:r>
          </w:p>
        </w:tc>
        <w:tc>
          <w:tcPr>
            <w:tcW w:w="810" w:type="dxa"/>
            <w:tcBorders>
              <w:left w:val="single" w:sz="12" w:space="0" w:color="BFBFBF" w:themeColor="background1" w:themeShade="BF"/>
            </w:tcBorders>
            <w:vAlign w:val="center"/>
          </w:tcPr>
          <w:p w:rsidR="0003303F" w:rsidRPr="00BD2348" w:rsidRDefault="00AD295F" w:rsidP="008C5730">
            <w:pPr>
              <w:cnfStyle w:val="000000100000" w:firstRow="0" w:lastRow="0" w:firstColumn="0" w:lastColumn="0" w:oddVBand="0" w:evenVBand="0" w:oddHBand="1" w:evenHBand="0" w:firstRowFirstColumn="0" w:firstRowLastColumn="0" w:lastRowFirstColumn="0" w:lastRowLastColumn="0"/>
              <w:rPr>
                <w:b/>
              </w:rPr>
            </w:pPr>
            <m:oMathPara>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oMath>
            </m:oMathPara>
          </w:p>
        </w:tc>
        <w:tc>
          <w:tcPr>
            <w:tcW w:w="3595" w:type="dxa"/>
            <w:vAlign w:val="center"/>
          </w:tcPr>
          <w:p w:rsidR="0003303F" w:rsidRDefault="002908F9" w:rsidP="008C5730">
            <w:pPr>
              <w:cnfStyle w:val="000000100000" w:firstRow="0" w:lastRow="0" w:firstColumn="0" w:lastColumn="0" w:oddVBand="0" w:evenVBand="0" w:oddHBand="1" w:evenHBand="0" w:firstRowFirstColumn="0" w:firstRowLastColumn="0" w:lastRowFirstColumn="0" w:lastRowLastColumn="0"/>
            </w:pPr>
            <w:r>
              <w:t>T</w:t>
            </w:r>
            <w:r w:rsidR="003C2273">
              <w:t>he variance of a sample</w:t>
            </w:r>
          </w:p>
        </w:tc>
      </w:tr>
      <w:tr w:rsidR="0003303F" w:rsidTr="002908F9">
        <w:tc>
          <w:tcPr>
            <w:cnfStyle w:val="001000000000" w:firstRow="0" w:lastRow="0" w:firstColumn="1" w:lastColumn="0" w:oddVBand="0" w:evenVBand="0" w:oddHBand="0" w:evenHBand="0" w:firstRowFirstColumn="0" w:firstRowLastColumn="0" w:lastRowFirstColumn="0" w:lastRowLastColumn="0"/>
            <w:tcW w:w="805" w:type="dxa"/>
            <w:vAlign w:val="center"/>
          </w:tcPr>
          <w:p w:rsidR="0003303F" w:rsidRPr="00BD2348" w:rsidRDefault="00BD2348" w:rsidP="008C5730">
            <w:pPr>
              <w:jc w:val="center"/>
            </w:pPr>
            <m:oMathPara>
              <m:oMath>
                <m:r>
                  <m:rPr>
                    <m:sty m:val="bi"/>
                  </m:rPr>
                  <w:rPr>
                    <w:rFonts w:ascii="Cambria Math" w:hAnsi="Cambria Math"/>
                  </w:rPr>
                  <m:t>p</m:t>
                </m:r>
              </m:oMath>
            </m:oMathPara>
          </w:p>
        </w:tc>
        <w:tc>
          <w:tcPr>
            <w:tcW w:w="4140" w:type="dxa"/>
            <w:tcBorders>
              <w:right w:val="single" w:sz="12" w:space="0" w:color="BFBFBF" w:themeColor="background1" w:themeShade="BF"/>
            </w:tcBorders>
            <w:vAlign w:val="center"/>
          </w:tcPr>
          <w:p w:rsidR="0003303F" w:rsidRDefault="002908F9" w:rsidP="008C5730">
            <w:pPr>
              <w:cnfStyle w:val="000000000000" w:firstRow="0" w:lastRow="0" w:firstColumn="0" w:lastColumn="0" w:oddVBand="0" w:evenVBand="0" w:oddHBand="0" w:evenHBand="0" w:firstRowFirstColumn="0" w:firstRowLastColumn="0" w:lastRowFirstColumn="0" w:lastRowLastColumn="0"/>
            </w:pPr>
            <w:r>
              <w:t>A</w:t>
            </w:r>
            <w:r w:rsidR="00750846">
              <w:t xml:space="preserve"> proportion of a population</w:t>
            </w:r>
          </w:p>
        </w:tc>
        <w:tc>
          <w:tcPr>
            <w:tcW w:w="810" w:type="dxa"/>
            <w:tcBorders>
              <w:left w:val="single" w:sz="12" w:space="0" w:color="BFBFBF" w:themeColor="background1" w:themeShade="BF"/>
            </w:tcBorders>
            <w:vAlign w:val="center"/>
          </w:tcPr>
          <w:p w:rsidR="0003303F" w:rsidRPr="00BD2348" w:rsidRDefault="00AD295F" w:rsidP="008C5730">
            <w:pPr>
              <w:cnfStyle w:val="000000000000" w:firstRow="0" w:lastRow="0" w:firstColumn="0" w:lastColumn="0" w:oddVBand="0" w:evenVBand="0" w:oddHBand="0" w:evenHBand="0" w:firstRowFirstColumn="0" w:firstRowLastColumn="0" w:lastRowFirstColumn="0" w:lastRowLastColumn="0"/>
              <w:rPr>
                <w:b/>
              </w:rPr>
            </w:pPr>
            <m:oMathPara>
              <m:oMath>
                <m:acc>
                  <m:accPr>
                    <m:chr m:val="̅"/>
                    <m:ctrlPr>
                      <w:rPr>
                        <w:rFonts w:ascii="Cambria Math" w:hAnsi="Cambria Math"/>
                        <w:b/>
                        <w:i/>
                      </w:rPr>
                    </m:ctrlPr>
                  </m:accPr>
                  <m:e>
                    <m:r>
                      <m:rPr>
                        <m:sty m:val="bi"/>
                      </m:rPr>
                      <w:rPr>
                        <w:rFonts w:ascii="Cambria Math" w:hAnsi="Cambria Math"/>
                      </w:rPr>
                      <m:t>p</m:t>
                    </m:r>
                  </m:e>
                </m:acc>
              </m:oMath>
            </m:oMathPara>
          </w:p>
        </w:tc>
        <w:tc>
          <w:tcPr>
            <w:tcW w:w="3595" w:type="dxa"/>
            <w:vAlign w:val="center"/>
          </w:tcPr>
          <w:p w:rsidR="0003303F" w:rsidRDefault="002908F9" w:rsidP="008C5730">
            <w:pPr>
              <w:cnfStyle w:val="000000000000" w:firstRow="0" w:lastRow="0" w:firstColumn="0" w:lastColumn="0" w:oddVBand="0" w:evenVBand="0" w:oddHBand="0" w:evenHBand="0" w:firstRowFirstColumn="0" w:firstRowLastColumn="0" w:lastRowFirstColumn="0" w:lastRowLastColumn="0"/>
            </w:pPr>
            <w:r>
              <w:t>A</w:t>
            </w:r>
            <w:r w:rsidR="00750846">
              <w:t xml:space="preserve"> proportion of a sample</w:t>
            </w:r>
          </w:p>
          <w:p w:rsidR="00750846" w:rsidRDefault="002908F9" w:rsidP="008C5730">
            <w:pPr>
              <w:cnfStyle w:val="000000000000" w:firstRow="0" w:lastRow="0" w:firstColumn="0" w:lastColumn="0" w:oddVBand="0" w:evenVBand="0" w:oddHBand="0" w:evenHBand="0" w:firstRowFirstColumn="0" w:firstRowLastColumn="0" w:lastRowFirstColumn="0" w:lastRowLastColumn="0"/>
            </w:pPr>
            <w:r>
              <w:t>P</w:t>
            </w:r>
            <w:r w:rsidR="00750846">
              <w:t>ronounced “p bar”</w:t>
            </w:r>
          </w:p>
        </w:tc>
      </w:tr>
      <w:tr w:rsidR="00750846" w:rsidTr="00290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750846" w:rsidRPr="00BD2348" w:rsidRDefault="00BD2348" w:rsidP="008C5730">
            <w:pPr>
              <w:jc w:val="center"/>
              <w:rPr>
                <w:rFonts w:ascii="Calibri" w:eastAsia="Calibri" w:hAnsi="Calibri" w:cs="Times New Roman"/>
              </w:rPr>
            </w:pPr>
            <m:oMathPara>
              <m:oMath>
                <m:r>
                  <m:rPr>
                    <m:sty m:val="bi"/>
                  </m:rPr>
                  <w:rPr>
                    <w:rFonts w:ascii="Cambria Math" w:eastAsia="Calibri" w:hAnsi="Cambria Math" w:cs="Times New Roman"/>
                  </w:rPr>
                  <m:t>β</m:t>
                </m:r>
              </m:oMath>
            </m:oMathPara>
          </w:p>
        </w:tc>
        <w:tc>
          <w:tcPr>
            <w:tcW w:w="4140" w:type="dxa"/>
            <w:tcBorders>
              <w:right w:val="single" w:sz="12" w:space="0" w:color="BFBFBF" w:themeColor="background1" w:themeShade="BF"/>
            </w:tcBorders>
            <w:vAlign w:val="center"/>
          </w:tcPr>
          <w:p w:rsidR="00750846" w:rsidRDefault="002908F9" w:rsidP="008C5730">
            <w:pPr>
              <w:cnfStyle w:val="000000100000" w:firstRow="0" w:lastRow="0" w:firstColumn="0" w:lastColumn="0" w:oddVBand="0" w:evenVBand="0" w:oddHBand="1" w:evenHBand="0" w:firstRowFirstColumn="0" w:firstRowLastColumn="0" w:lastRowFirstColumn="0" w:lastRowLastColumn="0"/>
            </w:pPr>
            <w:r>
              <w:t>T</w:t>
            </w:r>
            <w:r w:rsidR="008C5730">
              <w:t>he slope coefficient for a population</w:t>
            </w:r>
          </w:p>
          <w:p w:rsidR="008C5730" w:rsidRDefault="002908F9" w:rsidP="008C5730">
            <w:pPr>
              <w:cnfStyle w:val="000000100000" w:firstRow="0" w:lastRow="0" w:firstColumn="0" w:lastColumn="0" w:oddVBand="0" w:evenVBand="0" w:oddHBand="1" w:evenHBand="0" w:firstRowFirstColumn="0" w:firstRowLastColumn="0" w:lastRowFirstColumn="0" w:lastRowLastColumn="0"/>
            </w:pPr>
            <w:r>
              <w:t>T</w:t>
            </w:r>
            <w:r w:rsidR="008C5730">
              <w:t>he Greek letter “beta”</w:t>
            </w:r>
          </w:p>
        </w:tc>
        <w:tc>
          <w:tcPr>
            <w:tcW w:w="810" w:type="dxa"/>
            <w:tcBorders>
              <w:left w:val="single" w:sz="12" w:space="0" w:color="BFBFBF" w:themeColor="background1" w:themeShade="BF"/>
            </w:tcBorders>
            <w:vAlign w:val="center"/>
          </w:tcPr>
          <w:p w:rsidR="00750846" w:rsidRPr="00BD2348" w:rsidRDefault="00BD2348" w:rsidP="008C573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m:oMathPara>
              <m:oMath>
                <m:r>
                  <m:rPr>
                    <m:sty m:val="bi"/>
                  </m:rPr>
                  <w:rPr>
                    <w:rFonts w:ascii="Cambria Math" w:eastAsia="Calibri" w:hAnsi="Cambria Math" w:cs="Times New Roman"/>
                  </w:rPr>
                  <m:t>b</m:t>
                </m:r>
              </m:oMath>
            </m:oMathPara>
          </w:p>
        </w:tc>
        <w:tc>
          <w:tcPr>
            <w:tcW w:w="3595" w:type="dxa"/>
            <w:vAlign w:val="center"/>
          </w:tcPr>
          <w:p w:rsidR="00750846" w:rsidRDefault="002908F9" w:rsidP="008C5730">
            <w:pPr>
              <w:cnfStyle w:val="000000100000" w:firstRow="0" w:lastRow="0" w:firstColumn="0" w:lastColumn="0" w:oddVBand="0" w:evenVBand="0" w:oddHBand="1" w:evenHBand="0" w:firstRowFirstColumn="0" w:firstRowLastColumn="0" w:lastRowFirstColumn="0" w:lastRowLastColumn="0"/>
            </w:pPr>
            <w:r>
              <w:t>T</w:t>
            </w:r>
            <w:r w:rsidR="008C5730">
              <w:t>he slope coefficient for a sample</w:t>
            </w:r>
          </w:p>
        </w:tc>
      </w:tr>
    </w:tbl>
    <w:p w:rsidR="0003303F" w:rsidRDefault="0003303F" w:rsidP="002C742A">
      <w:pPr>
        <w:spacing w:line="240" w:lineRule="auto"/>
      </w:pPr>
    </w:p>
    <w:tbl>
      <w:tblPr>
        <w:tblStyle w:val="PlainTable1"/>
        <w:tblW w:w="0" w:type="auto"/>
        <w:tblLook w:val="04A0" w:firstRow="1" w:lastRow="0" w:firstColumn="1" w:lastColumn="0" w:noHBand="0" w:noVBand="1"/>
      </w:tblPr>
      <w:tblGrid>
        <w:gridCol w:w="805"/>
        <w:gridCol w:w="4950"/>
      </w:tblGrid>
      <w:tr w:rsidR="007D74E0" w:rsidRPr="007D74E0" w:rsidTr="005D6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gridSpan w:val="2"/>
            <w:tcBorders>
              <w:bottom w:val="double" w:sz="6" w:space="0" w:color="BFBFBF" w:themeColor="background1" w:themeShade="BF"/>
            </w:tcBorders>
          </w:tcPr>
          <w:p w:rsidR="007D74E0" w:rsidRPr="007D74E0" w:rsidRDefault="007D74E0" w:rsidP="007D74E0">
            <w:pPr>
              <w:jc w:val="center"/>
              <w:rPr>
                <w:sz w:val="24"/>
                <w:szCs w:val="24"/>
              </w:rPr>
            </w:pPr>
            <w:r>
              <w:rPr>
                <w:sz w:val="24"/>
                <w:szCs w:val="24"/>
              </w:rPr>
              <w:t>More Notation</w:t>
            </w:r>
          </w:p>
        </w:tc>
      </w:tr>
      <w:tr w:rsidR="001301C8"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AD295F" w:rsidP="001301C8">
            <w:pPr>
              <w:jc w:val="center"/>
              <w:rPr>
                <w:rFonts w:ascii="Calibri" w:eastAsia="Calibri" w:hAnsi="Calibri" w:cs="Times New Roman"/>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H</m:t>
                    </m:r>
                    <m:ctrlPr>
                      <w:rPr>
                        <w:rFonts w:ascii="Cambria Math" w:eastAsia="Calibri" w:hAnsi="Cambria Math" w:cs="Times New Roman"/>
                        <w:bCs w:val="0"/>
                        <w:i/>
                      </w:rPr>
                    </m:ctrlPr>
                  </m:e>
                  <m:sub>
                    <m:r>
                      <m:rPr>
                        <m:sty m:val="bi"/>
                      </m:rPr>
                      <w:rPr>
                        <w:rFonts w:ascii="Cambria Math" w:eastAsia="Calibri" w:hAnsi="Cambria Math" w:cs="Times New Roman"/>
                      </w:rPr>
                      <m:t>0</m:t>
                    </m:r>
                  </m:sub>
                </m:sSub>
              </m:oMath>
            </m:oMathPara>
          </w:p>
        </w:tc>
        <w:tc>
          <w:tcPr>
            <w:tcW w:w="4950" w:type="dxa"/>
            <w:vAlign w:val="center"/>
          </w:tcPr>
          <w:p w:rsidR="001301C8" w:rsidRDefault="001301C8" w:rsidP="001301C8">
            <w:pPr>
              <w:cnfStyle w:val="000000100000" w:firstRow="0" w:lastRow="0" w:firstColumn="0" w:lastColumn="0" w:oddVBand="0" w:evenVBand="0" w:oddHBand="1" w:evenHBand="0" w:firstRowFirstColumn="0" w:firstRowLastColumn="0" w:lastRowFirstColumn="0" w:lastRowLastColumn="0"/>
            </w:pPr>
            <w:r>
              <w:t>The null hypothesis</w:t>
            </w:r>
          </w:p>
          <w:p w:rsidR="001301C8" w:rsidRDefault="001301C8" w:rsidP="001301C8">
            <w:pPr>
              <w:cnfStyle w:val="000000100000" w:firstRow="0" w:lastRow="0" w:firstColumn="0" w:lastColumn="0" w:oddVBand="0" w:evenVBand="0" w:oddHBand="1" w:evenHBand="0" w:firstRowFirstColumn="0" w:firstRowLastColumn="0" w:lastRowFirstColumn="0" w:lastRowLastColumn="0"/>
            </w:pPr>
            <w:r>
              <w:t>Pronounced “H nought” or “H O”</w:t>
            </w:r>
          </w:p>
        </w:tc>
      </w:tr>
      <w:tr w:rsidR="001301C8"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AD295F" w:rsidP="001301C8">
            <w:pPr>
              <w:jc w:val="center"/>
              <w:rPr>
                <w:rFonts w:ascii="Calibri" w:eastAsia="Calibri" w:hAnsi="Calibri" w:cs="Times New Roman"/>
                <w:i/>
              </w:rPr>
            </w:pPr>
            <m:oMathPara>
              <m:oMath>
                <m:sSub>
                  <m:sSubPr>
                    <m:ctrlPr>
                      <w:rPr>
                        <w:rFonts w:ascii="Cambria Math" w:eastAsia="Calibri" w:hAnsi="Cambria Math" w:cs="Times New Roman"/>
                        <w:bCs w:val="0"/>
                        <w:i/>
                      </w:rPr>
                    </m:ctrlPr>
                  </m:sSubPr>
                  <m:e>
                    <m:r>
                      <m:rPr>
                        <m:sty m:val="bi"/>
                      </m:rPr>
                      <w:rPr>
                        <w:rFonts w:ascii="Cambria Math" w:eastAsia="Calibri" w:hAnsi="Cambria Math" w:cs="Times New Roman"/>
                      </w:rPr>
                      <m:t>H</m:t>
                    </m:r>
                    <m:ctrlPr>
                      <w:rPr>
                        <w:rFonts w:ascii="Cambria Math" w:eastAsia="Calibri" w:hAnsi="Cambria Math" w:cs="Times New Roman"/>
                        <w:i/>
                      </w:rPr>
                    </m:ctrlPr>
                  </m:e>
                  <m:sub>
                    <m:r>
                      <m:rPr>
                        <m:sty m:val="bi"/>
                      </m:rPr>
                      <w:rPr>
                        <w:rFonts w:ascii="Cambria Math" w:eastAsia="Calibri" w:hAnsi="Cambria Math" w:cs="Times New Roman"/>
                      </w:rPr>
                      <m:t>A</m:t>
                    </m:r>
                  </m:sub>
                </m:sSub>
              </m:oMath>
            </m:oMathPara>
          </w:p>
        </w:tc>
        <w:tc>
          <w:tcPr>
            <w:tcW w:w="4950" w:type="dxa"/>
            <w:vAlign w:val="center"/>
          </w:tcPr>
          <w:p w:rsidR="001301C8" w:rsidRDefault="001301C8" w:rsidP="001301C8">
            <w:pPr>
              <w:cnfStyle w:val="000000000000" w:firstRow="0" w:lastRow="0" w:firstColumn="0" w:lastColumn="0" w:oddVBand="0" w:evenVBand="0" w:oddHBand="0" w:evenHBand="0" w:firstRowFirstColumn="0" w:firstRowLastColumn="0" w:lastRowFirstColumn="0" w:lastRowLastColumn="0"/>
            </w:pPr>
            <w:r>
              <w:t>The alternative hypothesis</w:t>
            </w:r>
          </w:p>
          <w:p w:rsidR="001301C8" w:rsidRDefault="001301C8" w:rsidP="001301C8">
            <w:pPr>
              <w:cnfStyle w:val="000000000000" w:firstRow="0" w:lastRow="0" w:firstColumn="0" w:lastColumn="0" w:oddVBand="0" w:evenVBand="0" w:oddHBand="0" w:evenHBand="0" w:firstRowFirstColumn="0" w:firstRowLastColumn="0" w:lastRowFirstColumn="0" w:lastRowLastColumn="0"/>
            </w:pPr>
            <w:r>
              <w:t>Pronounced “H A” for short</w:t>
            </w:r>
          </w:p>
        </w:tc>
      </w:tr>
      <w:tr w:rsidR="001301C8"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1301C8" w:rsidP="001301C8">
            <w:pPr>
              <w:jc w:val="center"/>
            </w:pPr>
            <m:oMathPara>
              <m:oMath>
                <m:r>
                  <m:rPr>
                    <m:sty m:val="bi"/>
                  </m:rPr>
                  <w:rPr>
                    <w:rFonts w:ascii="Cambria Math" w:hAnsi="Cambria Math"/>
                  </w:rPr>
                  <m:t>α</m:t>
                </m:r>
              </m:oMath>
            </m:oMathPara>
          </w:p>
        </w:tc>
        <w:tc>
          <w:tcPr>
            <w:tcW w:w="4950" w:type="dxa"/>
            <w:vAlign w:val="center"/>
          </w:tcPr>
          <w:p w:rsidR="001301C8" w:rsidRDefault="001301C8" w:rsidP="001301C8">
            <w:pPr>
              <w:cnfStyle w:val="000000100000" w:firstRow="0" w:lastRow="0" w:firstColumn="0" w:lastColumn="0" w:oddVBand="0" w:evenVBand="0" w:oddHBand="1" w:evenHBand="0" w:firstRowFirstColumn="0" w:firstRowLastColumn="0" w:lastRowFirstColumn="0" w:lastRowLastColumn="0"/>
            </w:pPr>
            <w:r>
              <w:t>A significance level</w:t>
            </w:r>
          </w:p>
          <w:p w:rsidR="001301C8" w:rsidRDefault="001301C8" w:rsidP="001301C8">
            <w:pPr>
              <w:cnfStyle w:val="000000100000" w:firstRow="0" w:lastRow="0" w:firstColumn="0" w:lastColumn="0" w:oddVBand="0" w:evenVBand="0" w:oddHBand="1" w:evenHBand="0" w:firstRowFirstColumn="0" w:firstRowLastColumn="0" w:lastRowFirstColumn="0" w:lastRowLastColumn="0"/>
            </w:pPr>
            <w:r>
              <w:t>The Greek letter “alpha”</w:t>
            </w:r>
          </w:p>
        </w:tc>
      </w:tr>
      <w:tr w:rsidR="001301C8"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1301C8" w:rsidP="001301C8">
            <w:pPr>
              <w:jc w:val="center"/>
            </w:pPr>
            <m:oMathPara>
              <m:oMath>
                <m:r>
                  <m:rPr>
                    <m:sty m:val="bi"/>
                  </m:rPr>
                  <w:rPr>
                    <w:rFonts w:ascii="Cambria Math" w:hAnsi="Cambria Math"/>
                  </w:rPr>
                  <m:t>n</m:t>
                </m:r>
              </m:oMath>
            </m:oMathPara>
          </w:p>
        </w:tc>
        <w:tc>
          <w:tcPr>
            <w:tcW w:w="4950" w:type="dxa"/>
            <w:vAlign w:val="center"/>
          </w:tcPr>
          <w:p w:rsidR="001301C8" w:rsidRDefault="001301C8" w:rsidP="001301C8">
            <w:pPr>
              <w:cnfStyle w:val="000000000000" w:firstRow="0" w:lastRow="0" w:firstColumn="0" w:lastColumn="0" w:oddVBand="0" w:evenVBand="0" w:oddHBand="0" w:evenHBand="0" w:firstRowFirstColumn="0" w:firstRowLastColumn="0" w:lastRowFirstColumn="0" w:lastRowLastColumn="0"/>
            </w:pPr>
            <w:r>
              <w:t>A sample size</w:t>
            </w:r>
          </w:p>
        </w:tc>
      </w:tr>
      <w:tr w:rsidR="001301C8"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1301C8" w:rsidP="001301C8">
            <w:pPr>
              <w:jc w:val="center"/>
              <w:rPr>
                <w:rFonts w:ascii="Calibri" w:eastAsia="Calibri" w:hAnsi="Calibri" w:cs="Times New Roman"/>
              </w:rPr>
            </w:pPr>
            <w:r w:rsidRPr="00BD2348">
              <w:rPr>
                <w:rFonts w:ascii="Calibri" w:eastAsia="Calibri" w:hAnsi="Calibri" w:cs="Times New Roman"/>
              </w:rPr>
              <w:t xml:space="preserve">p </w:t>
            </w:r>
            <m:oMath>
              <m:r>
                <m:rPr>
                  <m:sty m:val="bi"/>
                </m:rPr>
                <w:rPr>
                  <w:rFonts w:ascii="Cambria Math" w:eastAsia="Calibri" w:hAnsi="Cambria Math" w:cs="Times New Roman"/>
                </w:rPr>
                <m:t>or</m:t>
              </m:r>
            </m:oMath>
            <w:r w:rsidRPr="00BD2348">
              <w:rPr>
                <w:rFonts w:ascii="Calibri" w:eastAsia="Calibri" w:hAnsi="Calibri" w:cs="Times New Roman"/>
              </w:rPr>
              <w:t xml:space="preserve"> P</w:t>
            </w:r>
          </w:p>
        </w:tc>
        <w:tc>
          <w:tcPr>
            <w:tcW w:w="4950" w:type="dxa"/>
            <w:vAlign w:val="center"/>
          </w:tcPr>
          <w:p w:rsidR="001301C8" w:rsidRDefault="001301C8" w:rsidP="001301C8">
            <w:pPr>
              <w:cnfStyle w:val="000000100000" w:firstRow="0" w:lastRow="0" w:firstColumn="0" w:lastColumn="0" w:oddVBand="0" w:evenVBand="0" w:oddHBand="1" w:evenHBand="0" w:firstRowFirstColumn="0" w:firstRowLastColumn="0" w:lastRowFirstColumn="0" w:lastRowLastColumn="0"/>
            </w:pPr>
            <w:r>
              <w:t>a probability</w:t>
            </w:r>
          </w:p>
        </w:tc>
      </w:tr>
      <w:tr w:rsidR="001301C8"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1301C8" w:rsidP="001301C8">
            <w:pPr>
              <w:jc w:val="center"/>
              <w:rPr>
                <w:rFonts w:ascii="Calibri" w:eastAsia="Calibri" w:hAnsi="Calibri" w:cs="Times New Roman"/>
                <w:sz w:val="36"/>
                <w:szCs w:val="36"/>
              </w:rPr>
            </w:pPr>
            <m:oMathPara>
              <m:oMath>
                <m:r>
                  <m:rPr>
                    <m:sty m:val="b"/>
                  </m:rPr>
                  <w:rPr>
                    <w:rFonts w:ascii="Cambria Math" w:eastAsia="Calibri" w:hAnsi="Cambria Math" w:cs="Times New Roman"/>
                    <w:sz w:val="36"/>
                    <w:szCs w:val="36"/>
                  </w:rPr>
                  <m:t>Σ</m:t>
                </m:r>
              </m:oMath>
            </m:oMathPara>
          </w:p>
        </w:tc>
        <w:tc>
          <w:tcPr>
            <w:tcW w:w="4950" w:type="dxa"/>
            <w:vAlign w:val="center"/>
          </w:tcPr>
          <w:p w:rsidR="001301C8" w:rsidRDefault="001301C8" w:rsidP="001301C8">
            <w:pPr>
              <w:cnfStyle w:val="000000000000" w:firstRow="0" w:lastRow="0" w:firstColumn="0" w:lastColumn="0" w:oddVBand="0" w:evenVBand="0" w:oddHBand="0" w:evenHBand="0" w:firstRowFirstColumn="0" w:firstRowLastColumn="0" w:lastRowFirstColumn="0" w:lastRowLastColumn="0"/>
            </w:pPr>
            <w:r>
              <w:t>The summation operator</w:t>
            </w:r>
          </w:p>
          <w:p w:rsidR="001301C8" w:rsidRDefault="001301C8" w:rsidP="001301C8">
            <w:pPr>
              <w:cnfStyle w:val="000000000000" w:firstRow="0" w:lastRow="0" w:firstColumn="0" w:lastColumn="0" w:oddVBand="0" w:evenVBand="0" w:oddHBand="0" w:evenHBand="0" w:firstRowFirstColumn="0" w:firstRowLastColumn="0" w:lastRowFirstColumn="0" w:lastRowLastColumn="0"/>
            </w:pPr>
            <w:r>
              <w:t>The uppercase Greek letter “sigma”</w:t>
            </w:r>
          </w:p>
          <w:p w:rsidR="001301C8" w:rsidRDefault="001301C8" w:rsidP="001301C8">
            <w:pPr>
              <w:cnfStyle w:val="000000000000" w:firstRow="0" w:lastRow="0" w:firstColumn="0" w:lastColumn="0" w:oddVBand="0" w:evenVBand="0" w:oddHBand="0" w:evenHBand="0" w:firstRowFirstColumn="0" w:firstRowLastColumn="0" w:lastRowFirstColumn="0" w:lastRowLastColumn="0"/>
            </w:pPr>
            <w:r>
              <w:t>Read this as “The sum of all….”</w:t>
            </w:r>
          </w:p>
        </w:tc>
      </w:tr>
      <w:tr w:rsidR="001301C8"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1301C8" w:rsidP="001301C8">
            <w:pPr>
              <w:jc w:val="center"/>
              <w:rPr>
                <w:rFonts w:ascii="Calibri" w:eastAsia="Calibri" w:hAnsi="Calibri" w:cs="Times New Roman"/>
                <w:bCs w:val="0"/>
              </w:rPr>
            </w:pPr>
            <m:oMathPara>
              <m:oMath>
                <m:r>
                  <m:rPr>
                    <m:sty m:val="b"/>
                  </m:rPr>
                  <w:rPr>
                    <w:rFonts w:ascii="Cambria Math" w:eastAsia="Calibri" w:hAnsi="Cambria Math" w:cs="Times New Roman"/>
                  </w:rPr>
                  <m:t>Δ</m:t>
                </m:r>
              </m:oMath>
            </m:oMathPara>
          </w:p>
        </w:tc>
        <w:tc>
          <w:tcPr>
            <w:tcW w:w="4950" w:type="dxa"/>
            <w:vAlign w:val="center"/>
          </w:tcPr>
          <w:p w:rsidR="001301C8" w:rsidRDefault="001301C8" w:rsidP="001301C8">
            <w:pPr>
              <w:cnfStyle w:val="000000100000" w:firstRow="0" w:lastRow="0" w:firstColumn="0" w:lastColumn="0" w:oddVBand="0" w:evenVBand="0" w:oddHBand="1" w:evenHBand="0" w:firstRowFirstColumn="0" w:firstRowLastColumn="0" w:lastRowFirstColumn="0" w:lastRowLastColumn="0"/>
            </w:pPr>
            <w:r>
              <w:t>Read this as “the change in…”</w:t>
            </w:r>
          </w:p>
          <w:p w:rsidR="001301C8" w:rsidRDefault="001301C8" w:rsidP="001301C8">
            <w:pPr>
              <w:cnfStyle w:val="000000100000" w:firstRow="0" w:lastRow="0" w:firstColumn="0" w:lastColumn="0" w:oddVBand="0" w:evenVBand="0" w:oddHBand="1" w:evenHBand="0" w:firstRowFirstColumn="0" w:firstRowLastColumn="0" w:lastRowFirstColumn="0" w:lastRowLastColumn="0"/>
            </w:pPr>
            <w:r>
              <w:t>The Greek letter “delta”</w:t>
            </w:r>
          </w:p>
        </w:tc>
      </w:tr>
      <w:tr w:rsidR="001301C8"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AD295F" w:rsidP="001301C8">
            <w:pPr>
              <w:jc w:val="center"/>
              <w:rPr>
                <w:rFonts w:ascii="Calibri" w:eastAsia="Calibri" w:hAnsi="Calibri" w:cs="Times New Roman"/>
              </w:rPr>
            </w:pPr>
            <m:oMathPara>
              <m:oMath>
                <m:sSub>
                  <m:sSubPr>
                    <m:ctrlPr>
                      <w:rPr>
                        <w:rFonts w:ascii="Cambria Math" w:eastAsia="Calibri" w:hAnsi="Cambria Math" w:cs="Times New Roman"/>
                        <w:bCs w:val="0"/>
                        <w:i/>
                      </w:rPr>
                    </m:ctrlPr>
                  </m:sSubPr>
                  <m:e>
                    <m:r>
                      <m:rPr>
                        <m:sty m:val="bi"/>
                      </m:rPr>
                      <w:rPr>
                        <w:rFonts w:ascii="Cambria Math" w:eastAsia="Calibri" w:hAnsi="Cambria Math" w:cs="Times New Roman"/>
                      </w:rPr>
                      <m:t>x</m:t>
                    </m:r>
                    <m:ctrlPr>
                      <w:rPr>
                        <w:rFonts w:ascii="Cambria Math" w:eastAsia="Calibri" w:hAnsi="Cambria Math" w:cs="Times New Roman"/>
                        <w:i/>
                      </w:rPr>
                    </m:ctrlPr>
                  </m:e>
                  <m:sub>
                    <m:r>
                      <m:rPr>
                        <m:sty m:val="bi"/>
                      </m:rPr>
                      <w:rPr>
                        <w:rFonts w:ascii="Cambria Math" w:eastAsia="Calibri" w:hAnsi="Cambria Math" w:cs="Times New Roman"/>
                      </w:rPr>
                      <m:t>i</m:t>
                    </m:r>
                  </m:sub>
                </m:sSub>
              </m:oMath>
            </m:oMathPara>
          </w:p>
        </w:tc>
        <w:tc>
          <w:tcPr>
            <w:tcW w:w="4950" w:type="dxa"/>
            <w:vAlign w:val="center"/>
          </w:tcPr>
          <w:p w:rsidR="001301C8" w:rsidRDefault="001301C8" w:rsidP="001301C8">
            <w:pPr>
              <w:cnfStyle w:val="000000000000" w:firstRow="0" w:lastRow="0" w:firstColumn="0" w:lastColumn="0" w:oddVBand="0" w:evenVBand="0" w:oddHBand="0" w:evenHBand="0" w:firstRowFirstColumn="0" w:firstRowLastColumn="0" w:lastRowFirstColumn="0" w:lastRowLastColumn="0"/>
            </w:pPr>
            <w:r>
              <w:t xml:space="preserve">A variable with a subscript </w:t>
            </w:r>
          </w:p>
          <w:p w:rsidR="001301C8" w:rsidRDefault="001301C8" w:rsidP="001301C8">
            <w:pPr>
              <w:cnfStyle w:val="000000000000" w:firstRow="0" w:lastRow="0" w:firstColumn="0" w:lastColumn="0" w:oddVBand="0" w:evenVBand="0" w:oddHBand="0" w:evenHBand="0" w:firstRowFirstColumn="0" w:firstRowLastColumn="0" w:lastRowFirstColumn="0" w:lastRowLastColumn="0"/>
            </w:pPr>
            <w:r>
              <w:t>A subscript denotes one of several variables</w:t>
            </w:r>
          </w:p>
          <w:p w:rsidR="001301C8" w:rsidRDefault="001301C8" w:rsidP="001301C8">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x</m:t>
              </m:r>
            </m:oMath>
            <w:r>
              <w:rPr>
                <w:rFonts w:eastAsiaTheme="minorEastAsia"/>
              </w:rPr>
              <w:t>, pronounced “</w:t>
            </w:r>
            <m:oMath>
              <m:r>
                <w:rPr>
                  <w:rFonts w:ascii="Cambria Math" w:eastAsiaTheme="minorEastAsia" w:hAnsi="Cambria Math"/>
                </w:rPr>
                <m:t>x</m:t>
              </m:r>
            </m:oMath>
            <w:r>
              <w:rPr>
                <w:rFonts w:eastAsiaTheme="minorEastAsia"/>
              </w:rPr>
              <w:t xml:space="preserve"> sub </w:t>
            </w:r>
            <m:oMath>
              <m:r>
                <w:rPr>
                  <w:rFonts w:ascii="Cambria Math" w:eastAsiaTheme="minorEastAsia" w:hAnsi="Cambria Math"/>
                </w:rPr>
                <m:t>i</m:t>
              </m:r>
            </m:oMath>
            <w:r>
              <w:rPr>
                <w:rFonts w:eastAsiaTheme="minorEastAsia"/>
              </w:rPr>
              <w:t>” or “</w:t>
            </w:r>
            <m:oMath>
              <m:r>
                <w:rPr>
                  <w:rFonts w:ascii="Cambria Math" w:eastAsiaTheme="minorEastAsia" w:hAnsi="Cambria Math"/>
                </w:rPr>
                <m:t>x i</m:t>
              </m:r>
            </m:oMath>
            <w:r>
              <w:rPr>
                <w:rFonts w:eastAsiaTheme="minorEastAsia"/>
              </w:rPr>
              <w:t>" for short</w:t>
            </w:r>
          </w:p>
          <w:p w:rsidR="001301C8" w:rsidRPr="005B64AD" w:rsidRDefault="001301C8" w:rsidP="001301C8">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For example: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is the 2</w:t>
            </w:r>
            <w:r w:rsidRPr="005B64AD">
              <w:rPr>
                <w:rFonts w:eastAsiaTheme="minorEastAsia"/>
                <w:vertAlign w:val="superscript"/>
              </w:rPr>
              <w:t>nd</w:t>
            </w:r>
            <w:r>
              <w:rPr>
                <w:rFonts w:eastAsiaTheme="minorEastAsia"/>
              </w:rPr>
              <w:t xml:space="preserve"> </w:t>
            </w:r>
            <m:oMath>
              <m:r>
                <w:rPr>
                  <w:rFonts w:ascii="Cambria Math" w:eastAsiaTheme="minorEastAsia" w:hAnsi="Cambria Math"/>
                </w:rPr>
                <m:t>x</m:t>
              </m:r>
            </m:oMath>
            <w:r>
              <w:rPr>
                <w:rFonts w:eastAsiaTheme="minorEastAsia"/>
              </w:rPr>
              <w:t xml:space="preserve"> in a set of </w:t>
            </w:r>
            <m:oMath>
              <m:r>
                <w:rPr>
                  <w:rFonts w:ascii="Cambria Math" w:eastAsiaTheme="minorEastAsia" w:hAnsi="Cambria Math"/>
                </w:rPr>
                <m:t>x</m:t>
              </m:r>
            </m:oMath>
            <w:r>
              <w:rPr>
                <w:rFonts w:eastAsiaTheme="minorEastAsia"/>
              </w:rPr>
              <w:t xml:space="preserve"> variables and could be called “</w:t>
            </w:r>
            <m:oMath>
              <m:r>
                <w:rPr>
                  <w:rFonts w:ascii="Cambria Math" w:eastAsiaTheme="minorEastAsia" w:hAnsi="Cambria Math"/>
                </w:rPr>
                <m:t>x</m:t>
              </m:r>
            </m:oMath>
            <w:r>
              <w:rPr>
                <w:rFonts w:eastAsiaTheme="minorEastAsia"/>
              </w:rPr>
              <w:t xml:space="preserve"> sub 2” or “</w:t>
            </w:r>
            <m:oMath>
              <m:r>
                <w:rPr>
                  <w:rFonts w:ascii="Cambria Math" w:eastAsiaTheme="minorEastAsia" w:hAnsi="Cambria Math"/>
                </w:rPr>
                <m:t>x</m:t>
              </m:r>
            </m:oMath>
            <w:r>
              <w:rPr>
                <w:rFonts w:eastAsiaTheme="minorEastAsia"/>
              </w:rPr>
              <w:t xml:space="preserve"> 2”</w:t>
            </w:r>
          </w:p>
        </w:tc>
      </w:tr>
      <w:tr w:rsidR="001301C8"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AD295F" w:rsidP="001301C8">
            <w:pPr>
              <w:jc w:val="center"/>
              <w:rPr>
                <w:rFonts w:ascii="Calibri" w:eastAsia="Calibri" w:hAnsi="Calibri" w:cs="Times New Roman"/>
              </w:rPr>
            </w:pPr>
            <m:oMathPara>
              <m:oMath>
                <m:acc>
                  <m:accPr>
                    <m:ctrlPr>
                      <w:rPr>
                        <w:rFonts w:ascii="Cambria Math" w:eastAsia="Calibri" w:hAnsi="Cambria Math" w:cs="Times New Roman"/>
                        <w:i/>
                      </w:rPr>
                    </m:ctrlPr>
                  </m:accPr>
                  <m:e>
                    <m:r>
                      <m:rPr>
                        <m:sty m:val="bi"/>
                      </m:rPr>
                      <w:rPr>
                        <w:rFonts w:ascii="Cambria Math" w:eastAsia="Calibri" w:hAnsi="Cambria Math" w:cs="Times New Roman"/>
                      </w:rPr>
                      <m:t>y</m:t>
                    </m:r>
                  </m:e>
                </m:acc>
              </m:oMath>
            </m:oMathPara>
          </w:p>
        </w:tc>
        <w:tc>
          <w:tcPr>
            <w:tcW w:w="4950" w:type="dxa"/>
            <w:vAlign w:val="center"/>
          </w:tcPr>
          <w:p w:rsidR="001301C8" w:rsidRDefault="001301C8" w:rsidP="001301C8">
            <w:pPr>
              <w:cnfStyle w:val="000000100000" w:firstRow="0" w:lastRow="0" w:firstColumn="0" w:lastColumn="0" w:oddVBand="0" w:evenVBand="0" w:oddHBand="1" w:evenHBand="0" w:firstRowFirstColumn="0" w:firstRowLastColumn="0" w:lastRowFirstColumn="0" w:lastRowLastColumn="0"/>
            </w:pPr>
            <w:r>
              <w:t>A variable with a hat</w:t>
            </w:r>
          </w:p>
          <w:p w:rsidR="001301C8" w:rsidRDefault="001301C8" w:rsidP="001301C8">
            <w:pPr>
              <w:cnfStyle w:val="000000100000" w:firstRow="0" w:lastRow="0" w:firstColumn="0" w:lastColumn="0" w:oddVBand="0" w:evenVBand="0" w:oddHBand="1" w:evenHBand="0" w:firstRowFirstColumn="0" w:firstRowLastColumn="0" w:lastRowFirstColumn="0" w:lastRowLastColumn="0"/>
            </w:pPr>
            <w:r>
              <w:t>This example is pronounced “y hat”</w:t>
            </w:r>
          </w:p>
        </w:tc>
      </w:tr>
      <w:tr w:rsidR="001301C8"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1301C8" w:rsidRPr="00BD2348" w:rsidRDefault="001301C8" w:rsidP="001301C8">
            <w:pPr>
              <w:jc w:val="center"/>
              <w:rPr>
                <w:rFonts w:ascii="Calibri" w:eastAsia="Calibri" w:hAnsi="Calibri" w:cs="Times New Roman"/>
              </w:rPr>
            </w:pPr>
            <m:oMathPara>
              <m:oMath>
                <m:r>
                  <m:rPr>
                    <m:sty m:val="bi"/>
                  </m:rPr>
                  <w:rPr>
                    <w:rFonts w:ascii="Cambria Math" w:eastAsia="Calibri" w:hAnsi="Cambria Math" w:cs="Times New Roman"/>
                  </w:rPr>
                  <m:t>ε or ϵ</m:t>
                </m:r>
              </m:oMath>
            </m:oMathPara>
          </w:p>
        </w:tc>
        <w:tc>
          <w:tcPr>
            <w:tcW w:w="4950" w:type="dxa"/>
            <w:vAlign w:val="center"/>
          </w:tcPr>
          <w:p w:rsidR="001301C8" w:rsidRDefault="001301C8" w:rsidP="001301C8">
            <w:pPr>
              <w:cnfStyle w:val="000000000000" w:firstRow="0" w:lastRow="0" w:firstColumn="0" w:lastColumn="0" w:oddVBand="0" w:evenVBand="0" w:oddHBand="0" w:evenHBand="0" w:firstRowFirstColumn="0" w:firstRowLastColumn="0" w:lastRowFirstColumn="0" w:lastRowLastColumn="0"/>
            </w:pPr>
            <w:r>
              <w:t>Random error</w:t>
            </w:r>
          </w:p>
          <w:p w:rsidR="005D6311" w:rsidRDefault="001301C8" w:rsidP="001301C8">
            <w:pPr>
              <w:cnfStyle w:val="000000000000" w:firstRow="0" w:lastRow="0" w:firstColumn="0" w:lastColumn="0" w:oddVBand="0" w:evenVBand="0" w:oddHBand="0" w:evenHBand="0" w:firstRowFirstColumn="0" w:firstRowLastColumn="0" w:lastRowFirstColumn="0" w:lastRowLastColumn="0"/>
            </w:pPr>
            <w:r>
              <w:t>The Greek letter “epsilon”</w:t>
            </w:r>
          </w:p>
        </w:tc>
      </w:tr>
      <w:tr w:rsidR="005D6311"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5D6311" w:rsidRPr="005D6311" w:rsidRDefault="005D6311" w:rsidP="001301C8">
            <w:pPr>
              <w:jc w:val="center"/>
              <w:rPr>
                <w:rFonts w:ascii="Calibri" w:eastAsia="Calibri" w:hAnsi="Calibri" w:cs="Times New Roman"/>
              </w:rPr>
            </w:pPr>
            <m:oMathPara>
              <m:oMath>
                <m:r>
                  <m:rPr>
                    <m:sty m:val="bi"/>
                  </m:rPr>
                  <w:rPr>
                    <w:rFonts w:ascii="Cambria Math" w:eastAsia="Calibri" w:hAnsi="Cambria Math" w:cs="Times New Roman"/>
                  </w:rPr>
                  <m:t>&gt;</m:t>
                </m:r>
              </m:oMath>
            </m:oMathPara>
          </w:p>
        </w:tc>
        <w:tc>
          <w:tcPr>
            <w:tcW w:w="4950" w:type="dxa"/>
            <w:vAlign w:val="center"/>
          </w:tcPr>
          <w:p w:rsidR="005D6311" w:rsidRDefault="005D6311" w:rsidP="001301C8">
            <w:pPr>
              <w:cnfStyle w:val="000000100000" w:firstRow="0" w:lastRow="0" w:firstColumn="0" w:lastColumn="0" w:oddVBand="0" w:evenVBand="0" w:oddHBand="1" w:evenHBand="0" w:firstRowFirstColumn="0" w:firstRowLastColumn="0" w:lastRowFirstColumn="0" w:lastRowLastColumn="0"/>
            </w:pPr>
            <w:r>
              <w:t>greater than</w:t>
            </w:r>
          </w:p>
        </w:tc>
      </w:tr>
      <w:tr w:rsidR="005D6311"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5D6311" w:rsidRPr="005D6311" w:rsidRDefault="005D6311" w:rsidP="001301C8">
            <w:pPr>
              <w:jc w:val="center"/>
              <w:rPr>
                <w:rFonts w:ascii="Calibri" w:eastAsia="Calibri" w:hAnsi="Calibri" w:cs="Times New Roman"/>
              </w:rPr>
            </w:pPr>
            <m:oMathPara>
              <m:oMath>
                <m:r>
                  <m:rPr>
                    <m:sty m:val="bi"/>
                  </m:rPr>
                  <w:rPr>
                    <w:rFonts w:ascii="Cambria Math" w:eastAsia="Calibri" w:hAnsi="Cambria Math" w:cs="Times New Roman"/>
                  </w:rPr>
                  <m:t>&lt;</m:t>
                </m:r>
              </m:oMath>
            </m:oMathPara>
          </w:p>
        </w:tc>
        <w:tc>
          <w:tcPr>
            <w:tcW w:w="4950" w:type="dxa"/>
            <w:vAlign w:val="center"/>
          </w:tcPr>
          <w:p w:rsidR="005D6311" w:rsidRDefault="005D6311" w:rsidP="001301C8">
            <w:pPr>
              <w:cnfStyle w:val="000000000000" w:firstRow="0" w:lastRow="0" w:firstColumn="0" w:lastColumn="0" w:oddVBand="0" w:evenVBand="0" w:oddHBand="0" w:evenHBand="0" w:firstRowFirstColumn="0" w:firstRowLastColumn="0" w:lastRowFirstColumn="0" w:lastRowLastColumn="0"/>
            </w:pPr>
            <w:r>
              <w:t>less than</w:t>
            </w:r>
          </w:p>
        </w:tc>
      </w:tr>
      <w:tr w:rsidR="005D6311"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5D6311" w:rsidRPr="005D6311" w:rsidRDefault="005D6311" w:rsidP="005D6311">
            <w:pPr>
              <w:jc w:val="center"/>
              <w:rPr>
                <w:rFonts w:ascii="Calibri" w:eastAsia="Calibri" w:hAnsi="Calibri" w:cs="Times New Roman"/>
              </w:rPr>
            </w:pPr>
            <m:oMathPara>
              <m:oMath>
                <m:r>
                  <m:rPr>
                    <m:sty m:val="bi"/>
                  </m:rPr>
                  <w:rPr>
                    <w:rFonts w:ascii="Cambria Math" w:eastAsia="Calibri" w:hAnsi="Cambria Math" w:cs="Times New Roman"/>
                  </w:rPr>
                  <m:t>≥</m:t>
                </m:r>
              </m:oMath>
            </m:oMathPara>
          </w:p>
        </w:tc>
        <w:tc>
          <w:tcPr>
            <w:tcW w:w="4950" w:type="dxa"/>
            <w:vAlign w:val="center"/>
          </w:tcPr>
          <w:p w:rsidR="005D6311" w:rsidRDefault="005D6311" w:rsidP="001301C8">
            <w:pPr>
              <w:cnfStyle w:val="000000100000" w:firstRow="0" w:lastRow="0" w:firstColumn="0" w:lastColumn="0" w:oddVBand="0" w:evenVBand="0" w:oddHBand="1" w:evenHBand="0" w:firstRowFirstColumn="0" w:firstRowLastColumn="0" w:lastRowFirstColumn="0" w:lastRowLastColumn="0"/>
            </w:pPr>
            <w:r>
              <w:t>greater than or equal to</w:t>
            </w:r>
          </w:p>
        </w:tc>
      </w:tr>
      <w:tr w:rsidR="005D6311" w:rsidTr="005D6311">
        <w:tc>
          <w:tcPr>
            <w:cnfStyle w:val="001000000000" w:firstRow="0" w:lastRow="0" w:firstColumn="1" w:lastColumn="0" w:oddVBand="0" w:evenVBand="0" w:oddHBand="0" w:evenHBand="0" w:firstRowFirstColumn="0" w:firstRowLastColumn="0" w:lastRowFirstColumn="0" w:lastRowLastColumn="0"/>
            <w:tcW w:w="805" w:type="dxa"/>
            <w:vAlign w:val="center"/>
          </w:tcPr>
          <w:p w:rsidR="005D6311" w:rsidRPr="005D6311" w:rsidRDefault="005D6311" w:rsidP="005D6311">
            <w:pPr>
              <w:jc w:val="center"/>
              <w:rPr>
                <w:rFonts w:ascii="Calibri" w:eastAsia="Calibri" w:hAnsi="Calibri" w:cs="Times New Roman"/>
              </w:rPr>
            </w:pPr>
            <m:oMathPara>
              <m:oMath>
                <m:r>
                  <m:rPr>
                    <m:sty m:val="bi"/>
                  </m:rPr>
                  <w:rPr>
                    <w:rFonts w:ascii="Cambria Math" w:eastAsia="Calibri" w:hAnsi="Cambria Math" w:cs="Times New Roman"/>
                  </w:rPr>
                  <m:t>≤</m:t>
                </m:r>
              </m:oMath>
            </m:oMathPara>
          </w:p>
        </w:tc>
        <w:tc>
          <w:tcPr>
            <w:tcW w:w="4950" w:type="dxa"/>
            <w:vAlign w:val="center"/>
          </w:tcPr>
          <w:p w:rsidR="005D6311" w:rsidRDefault="005D6311" w:rsidP="001301C8">
            <w:pPr>
              <w:cnfStyle w:val="000000000000" w:firstRow="0" w:lastRow="0" w:firstColumn="0" w:lastColumn="0" w:oddVBand="0" w:evenVBand="0" w:oddHBand="0" w:evenHBand="0" w:firstRowFirstColumn="0" w:firstRowLastColumn="0" w:lastRowFirstColumn="0" w:lastRowLastColumn="0"/>
            </w:pPr>
            <w:r>
              <w:t>less than or equal to</w:t>
            </w:r>
          </w:p>
        </w:tc>
      </w:tr>
      <w:tr w:rsidR="005D6311" w:rsidTr="005D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5D6311" w:rsidRPr="005D6311" w:rsidRDefault="005D6311" w:rsidP="005D6311">
            <w:pPr>
              <w:jc w:val="center"/>
              <w:rPr>
                <w:rFonts w:ascii="Calibri" w:eastAsia="Calibri" w:hAnsi="Calibri" w:cs="Times New Roman"/>
              </w:rPr>
            </w:pPr>
            <m:oMathPara>
              <m:oMath>
                <m:r>
                  <m:rPr>
                    <m:sty m:val="bi"/>
                  </m:rPr>
                  <w:rPr>
                    <w:rFonts w:ascii="Cambria Math" w:eastAsia="Calibri" w:hAnsi="Cambria Math" w:cs="Times New Roman"/>
                  </w:rPr>
                  <m:t>≠</m:t>
                </m:r>
              </m:oMath>
            </m:oMathPara>
          </w:p>
        </w:tc>
        <w:tc>
          <w:tcPr>
            <w:tcW w:w="4950" w:type="dxa"/>
            <w:vAlign w:val="center"/>
          </w:tcPr>
          <w:p w:rsidR="005D6311" w:rsidRDefault="005D6311" w:rsidP="001301C8">
            <w:pPr>
              <w:cnfStyle w:val="000000100000" w:firstRow="0" w:lastRow="0" w:firstColumn="0" w:lastColumn="0" w:oddVBand="0" w:evenVBand="0" w:oddHBand="1" w:evenHBand="0" w:firstRowFirstColumn="0" w:firstRowLastColumn="0" w:lastRowFirstColumn="0" w:lastRowLastColumn="0"/>
            </w:pPr>
            <w:r>
              <w:t>not equal to</w:t>
            </w:r>
          </w:p>
        </w:tc>
      </w:tr>
    </w:tbl>
    <w:p w:rsidR="008C5730" w:rsidRPr="0071477D" w:rsidRDefault="008C5730" w:rsidP="002C742A">
      <w:pPr>
        <w:spacing w:line="240" w:lineRule="auto"/>
      </w:pPr>
    </w:p>
    <w:sectPr w:rsidR="008C5730" w:rsidRPr="0071477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95F" w:rsidRDefault="00AD295F" w:rsidP="00606677">
      <w:pPr>
        <w:spacing w:line="240" w:lineRule="auto"/>
      </w:pPr>
      <w:r>
        <w:separator/>
      </w:r>
    </w:p>
  </w:endnote>
  <w:endnote w:type="continuationSeparator" w:id="0">
    <w:p w:rsidR="00AD295F" w:rsidRDefault="00AD295F" w:rsidP="00606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29346"/>
      <w:docPartObj>
        <w:docPartGallery w:val="Page Numbers (Bottom of Page)"/>
        <w:docPartUnique/>
      </w:docPartObj>
    </w:sdtPr>
    <w:sdtEndPr>
      <w:rPr>
        <w:noProof/>
      </w:rPr>
    </w:sdtEndPr>
    <w:sdtContent>
      <w:p w:rsidR="007D01C4" w:rsidRDefault="007D01C4">
        <w:pPr>
          <w:pStyle w:val="Footer"/>
          <w:jc w:val="center"/>
        </w:pPr>
        <w:r>
          <w:fldChar w:fldCharType="begin"/>
        </w:r>
        <w:r>
          <w:instrText xml:space="preserve"> PAGE   \* MERGEFORMAT </w:instrText>
        </w:r>
        <w:r>
          <w:fldChar w:fldCharType="separate"/>
        </w:r>
        <w:r w:rsidR="00AD295F">
          <w:rPr>
            <w:noProof/>
          </w:rPr>
          <w:t>1</w:t>
        </w:r>
        <w:r>
          <w:rPr>
            <w:noProof/>
          </w:rPr>
          <w:fldChar w:fldCharType="end"/>
        </w:r>
      </w:p>
    </w:sdtContent>
  </w:sdt>
  <w:p w:rsidR="007D01C4" w:rsidRDefault="007D01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95F" w:rsidRDefault="00AD295F" w:rsidP="00606677">
      <w:pPr>
        <w:spacing w:line="240" w:lineRule="auto"/>
      </w:pPr>
      <w:r>
        <w:separator/>
      </w:r>
    </w:p>
  </w:footnote>
  <w:footnote w:type="continuationSeparator" w:id="0">
    <w:p w:rsidR="00AD295F" w:rsidRDefault="00AD295F" w:rsidP="006066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677" w:rsidRPr="00606677" w:rsidRDefault="00606677">
    <w:pPr>
      <w:pStyle w:val="Header"/>
      <w:rPr>
        <w:i/>
      </w:rPr>
    </w:pPr>
    <w:r>
      <w:rPr>
        <w:i/>
      </w:rPr>
      <w:t>Intro to BA 3400: Handout #1</w:t>
    </w:r>
    <w:r>
      <w:rPr>
        <w:i/>
      </w:rPr>
      <w:tab/>
    </w:r>
    <w:r>
      <w:rPr>
        <w:i/>
      </w:rPr>
      <w:tab/>
      <w:t>Author: Catherine Schmitt-Sands, Ph</w:t>
    </w:r>
    <w:r w:rsidR="006D6A07">
      <w:rPr>
        <w:i/>
      </w:rPr>
      <w:t>.</w:t>
    </w:r>
    <w:r>
      <w:rPr>
        <w:i/>
      </w:rPr>
      <w:t>D</w:t>
    </w:r>
    <w:r w:rsidR="006D6A07">
      <w:rPr>
        <w:i/>
      </w:rPr>
      <w:t>.</w:t>
    </w:r>
  </w:p>
  <w:p w:rsidR="00606677" w:rsidRDefault="006066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77"/>
    <w:rsid w:val="0003303F"/>
    <w:rsid w:val="000F62E9"/>
    <w:rsid w:val="00121F22"/>
    <w:rsid w:val="001301C8"/>
    <w:rsid w:val="001640DD"/>
    <w:rsid w:val="001646BE"/>
    <w:rsid w:val="001A4731"/>
    <w:rsid w:val="001A720C"/>
    <w:rsid w:val="002908F9"/>
    <w:rsid w:val="002931F6"/>
    <w:rsid w:val="002C742A"/>
    <w:rsid w:val="00315E31"/>
    <w:rsid w:val="00317E73"/>
    <w:rsid w:val="003454A2"/>
    <w:rsid w:val="003C2273"/>
    <w:rsid w:val="00443614"/>
    <w:rsid w:val="00481DCC"/>
    <w:rsid w:val="0056351C"/>
    <w:rsid w:val="005B64AD"/>
    <w:rsid w:val="005D6311"/>
    <w:rsid w:val="006029F1"/>
    <w:rsid w:val="00606677"/>
    <w:rsid w:val="006D64E6"/>
    <w:rsid w:val="006D6A07"/>
    <w:rsid w:val="0071477D"/>
    <w:rsid w:val="0073237F"/>
    <w:rsid w:val="0073277E"/>
    <w:rsid w:val="00735970"/>
    <w:rsid w:val="0075006A"/>
    <w:rsid w:val="00750846"/>
    <w:rsid w:val="007709F6"/>
    <w:rsid w:val="007A5D32"/>
    <w:rsid w:val="007D01C4"/>
    <w:rsid w:val="007D74E0"/>
    <w:rsid w:val="007E5C28"/>
    <w:rsid w:val="00813277"/>
    <w:rsid w:val="008C5730"/>
    <w:rsid w:val="0091407B"/>
    <w:rsid w:val="009B4732"/>
    <w:rsid w:val="009B4DC4"/>
    <w:rsid w:val="009C0996"/>
    <w:rsid w:val="009F0701"/>
    <w:rsid w:val="00A26BDB"/>
    <w:rsid w:val="00A328D7"/>
    <w:rsid w:val="00AD295F"/>
    <w:rsid w:val="00AD3C12"/>
    <w:rsid w:val="00B02973"/>
    <w:rsid w:val="00B2093F"/>
    <w:rsid w:val="00B5710F"/>
    <w:rsid w:val="00BD2348"/>
    <w:rsid w:val="00BF0BF6"/>
    <w:rsid w:val="00C3379A"/>
    <w:rsid w:val="00D3273B"/>
    <w:rsid w:val="00D62634"/>
    <w:rsid w:val="00D72AD7"/>
    <w:rsid w:val="00DB749B"/>
    <w:rsid w:val="00DC6915"/>
    <w:rsid w:val="00E23680"/>
    <w:rsid w:val="00E40447"/>
    <w:rsid w:val="00E52AAD"/>
    <w:rsid w:val="00EE6F82"/>
    <w:rsid w:val="00EF288D"/>
    <w:rsid w:val="00F02019"/>
    <w:rsid w:val="00F04E21"/>
    <w:rsid w:val="00F1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3C78"/>
  <w15:chartTrackingRefBased/>
  <w15:docId w15:val="{6B6C1EB8-5EE8-4D59-8EA1-30414005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677"/>
    <w:pPr>
      <w:tabs>
        <w:tab w:val="center" w:pos="4680"/>
        <w:tab w:val="right" w:pos="9360"/>
      </w:tabs>
      <w:spacing w:line="240" w:lineRule="auto"/>
    </w:pPr>
  </w:style>
  <w:style w:type="character" w:customStyle="1" w:styleId="HeaderChar">
    <w:name w:val="Header Char"/>
    <w:basedOn w:val="DefaultParagraphFont"/>
    <w:link w:val="Header"/>
    <w:uiPriority w:val="99"/>
    <w:rsid w:val="00606677"/>
  </w:style>
  <w:style w:type="paragraph" w:styleId="Footer">
    <w:name w:val="footer"/>
    <w:basedOn w:val="Normal"/>
    <w:link w:val="FooterChar"/>
    <w:uiPriority w:val="99"/>
    <w:unhideWhenUsed/>
    <w:rsid w:val="00606677"/>
    <w:pPr>
      <w:tabs>
        <w:tab w:val="center" w:pos="4680"/>
        <w:tab w:val="right" w:pos="9360"/>
      </w:tabs>
      <w:spacing w:line="240" w:lineRule="auto"/>
    </w:pPr>
  </w:style>
  <w:style w:type="character" w:customStyle="1" w:styleId="FooterChar">
    <w:name w:val="Footer Char"/>
    <w:basedOn w:val="DefaultParagraphFont"/>
    <w:link w:val="Footer"/>
    <w:uiPriority w:val="99"/>
    <w:rsid w:val="00606677"/>
  </w:style>
  <w:style w:type="table" w:styleId="TableGrid">
    <w:name w:val="Table Grid"/>
    <w:basedOn w:val="TableNormal"/>
    <w:uiPriority w:val="39"/>
    <w:rsid w:val="000330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303F"/>
    <w:rPr>
      <w:color w:val="808080"/>
    </w:rPr>
  </w:style>
  <w:style w:type="table" w:styleId="PlainTable1">
    <w:name w:val="Plain Table 1"/>
    <w:basedOn w:val="TableNormal"/>
    <w:uiPriority w:val="41"/>
    <w:rsid w:val="00AD3C1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D01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2</Pages>
  <Words>879</Words>
  <Characters>3855</Characters>
  <Application>Microsoft Office Word</Application>
  <DocSecurity>0</DocSecurity>
  <Lines>202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12</cp:revision>
  <cp:lastPrinted>2020-01-08T15:19:00Z</cp:lastPrinted>
  <dcterms:created xsi:type="dcterms:W3CDTF">2019-08-19T17:14:00Z</dcterms:created>
  <dcterms:modified xsi:type="dcterms:W3CDTF">2020-01-08T16:04:00Z</dcterms:modified>
</cp:coreProperties>
</file>