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Helvetia Motion AG</w:t>
      </w:r>
    </w:p>
    <w:p>
      <w:r>
        <w:t>Quality terms</w:t>
      </w:r>
    </w:p>
    <w:p>
      <w:r>
        <w:t>Incoming parts are inspected against the drawing and the purchase order.</w:t>
      </w:r>
    </w:p>
    <w:p>
      <w:r>
        <w:t>Non-conforming lots are quarantined and reported within two working days.</w:t>
      </w:r>
    </w:p>
    <w:p>
      <w:r>
        <w:t>The SGS audit of 12 November 2025 closed with no major findings.</w:t>
      </w:r>
    </w:p>
    <w:p>
      <w:r>
        <w:t>These terms stay in force until 31 December 2027.</w:t>
      </w:r>
    </w:p>
  </w:body>
</w:document>
</file>