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Inter-Annotator Agreement (IAA) Report</w:t>
      </w:r>
    </w:p>
    <w:p>
      <w:pPr>
        <w:pStyle w:val="Heading2"/>
      </w:pPr>
      <w:r>
        <w:t>1. Overview</w:t>
      </w:r>
    </w:p>
    <w:p>
      <w:r>
        <w:t>This report provides an overview of dataset annotation reliability, including Inter-Annotator Agreement (IAA), Cohen’s Kappa coefficient, disagreement counts, and correction statistics.</w:t>
      </w:r>
    </w:p>
    <w:p>
      <w:pPr>
        <w:pStyle w:val="Heading2"/>
      </w:pPr>
      <w:r>
        <w:t>2. Dataset Summary</w:t>
      </w:r>
    </w:p>
    <w:p>
      <w:r>
        <w:t>• Dataset size: 4800 items</w:t>
      </w:r>
    </w:p>
    <w:p>
      <w:r>
        <w:t>• Balanced dataset: 2400 positive (1), 2400 negative (0)</w:t>
      </w:r>
    </w:p>
    <w:p>
      <w:r>
        <w:t>• Total disagreements: 66 items (1.375%)</w:t>
      </w:r>
    </w:p>
    <w:p>
      <w:r>
        <w:t xml:space="preserve">   - 0→1 disagreements: 1</w:t>
      </w:r>
    </w:p>
    <w:p>
      <w:r>
        <w:t xml:space="preserve">   - 1→0 disagreements: 65</w:t>
      </w:r>
    </w:p>
    <w:p>
      <w:pPr>
        <w:pStyle w:val="Heading2"/>
      </w:pPr>
      <w:r>
        <w:t>3. Agreement Metrics</w:t>
      </w:r>
    </w:p>
    <w:p>
      <w:r>
        <w:t>• Observed Agreement (IAA): 98.625%</w:t>
      </w:r>
    </w:p>
    <w:p>
      <w:r>
        <w:t>• Expected Agreement (Chance): 50%</w:t>
      </w:r>
    </w:p>
    <w:p>
      <w:r>
        <w:t>• Cohen’s Kappa: 0.9725 (indicating near-perfect reliability)</w:t>
      </w:r>
    </w:p>
    <w:p>
      <w:pPr>
        <w:pStyle w:val="Heading2"/>
      </w:pPr>
      <w:r>
        <w:t>4. Correction Statistics</w:t>
      </w:r>
    </w:p>
    <w:p>
      <w:r>
        <w:t>• Changed items (non-label errors): 223</w:t>
      </w:r>
    </w:p>
    <w:p>
      <w:r>
        <w:t>• Percentage corrected: 4.65%</w:t>
      </w:r>
    </w:p>
    <w:p>
      <w:pPr>
        <w:pStyle w:val="Heading2"/>
      </w:pPr>
      <w:r>
        <w:t>5. Confusion Matrix</w:t>
      </w:r>
    </w:p>
    <w:p>
      <w:r>
        <w:drawing>
          <wp:inline xmlns:a="http://schemas.openxmlformats.org/drawingml/2006/main" xmlns:pic="http://schemas.openxmlformats.org/drawingml/2006/picture">
            <wp:extent cx="4114800" cy="246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Notes and Recommendations</w:t>
      </w:r>
    </w:p>
    <w:p>
      <w:r>
        <w:t>• Very high agreement suggests clear annotation guidelines and strong annotator consistency.</w:t>
        <w:br/>
        <w:t>• Review corrected items to identify patterns in non-label errors.</w:t>
        <w:br/>
        <w:t>• Consider periodic calibration sessions to maintain consistency.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