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03"/>
        <w:gridCol w:w="510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i/>
                <w:iCs/>
                <w:color w:val="auto"/>
                <w:sz w:val="20"/>
                <w:szCs w:val="20"/>
                <w:lang w:val="pl-P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Igor Ordecha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251601</w:t>
            </w:r>
          </w:p>
        </w:tc>
        <w:tc>
          <w:tcPr>
            <w:tcW w:w="5103" w:type="dxa"/>
            <w:shd w:val="clear" w:color="auto" w:fill="auto"/>
            <w:noWrap w:val="0"/>
            <w:vAlign w:val="top"/>
          </w:tcPr>
          <w:p>
            <w:pPr>
              <w:jc w:val="right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 xml:space="preserve">Rok akademicki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>20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24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>/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25</w:t>
            </w:r>
          </w:p>
          <w:p>
            <w:pPr>
              <w:jc w:val="right"/>
              <w:rPr>
                <w:rFonts w:hint="default" w:ascii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 xml:space="preserve">środa,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14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>: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15</w:t>
            </w:r>
          </w:p>
        </w:tc>
      </w:tr>
    </w:tbl>
    <w:p>
      <w:pPr>
        <w:jc w:val="righ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METODY NUMERYCZNE – LABORATORIUM</w:t>
      </w:r>
    </w:p>
    <w:p>
      <w:pPr>
        <w:jc w:val="center"/>
        <w:rPr>
          <w:rFonts w:hint="default" w:ascii="Times New Roman" w:hAnsi="Times New Roman" w:cs="Times New Roman"/>
          <w:i/>
          <w:iCs/>
          <w:color w:val="auto"/>
          <w:lang w:val="pl-PL"/>
        </w:rPr>
      </w:pPr>
      <w:r>
        <w:rPr>
          <w:rFonts w:hint="default" w:ascii="Times New Roman" w:hAnsi="Times New Roman" w:cs="Times New Roman"/>
          <w:color w:val="auto"/>
        </w:rPr>
        <w:t xml:space="preserve">Zadanie </w:t>
      </w:r>
      <w:r>
        <w:rPr>
          <w:rFonts w:hint="default" w:ascii="Times New Roman" w:hAnsi="Times New Roman" w:cs="Times New Roman"/>
          <w:color w:val="auto"/>
          <w:lang w:val="pl-PL"/>
        </w:rPr>
        <w:t>4, Wariant 2</w:t>
      </w:r>
      <w:r>
        <w:rPr>
          <w:rFonts w:hint="default" w:ascii="Times New Roman" w:hAnsi="Times New Roman" w:cs="Times New Roman"/>
          <w:color w:val="auto"/>
        </w:rPr>
        <w:t xml:space="preserve"> – etody całkowania numerycznego</w:t>
      </w:r>
    </w:p>
    <w:p>
      <w:pPr>
        <w:jc w:val="center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Opis rozwiązania</w:t>
      </w:r>
    </w:p>
    <w:p>
      <w:pPr>
        <w:jc w:val="both"/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pl-PL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pl-PL" w:eastAsia="zh-CN" w:bidi="ar"/>
        </w:rPr>
        <w:t>Celem zadania jest porównanie dokładności różnych metod całkowania numerycznego dla funkcji ważonych wagą Gaussa-Hermite’a. Analizowane są zarówno metoda Simpsona, jak i specjalizowana kwadratura Gaussa-Hermite’a dla różnych liczb węzłów.</w:t>
      </w:r>
    </w:p>
    <w:p>
      <w:pPr>
        <w:jc w:val="both"/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pl-PL" w:eastAsia="zh-CN" w:bidi="ar"/>
        </w:rPr>
      </w:pPr>
    </w:p>
    <w:p>
      <w:pPr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t>Kroki algorytmu: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t>Wybór opcji dla obu metod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t>Dla każdej funkcji obliczana jest wartość całki numerycznie metodą Simpsona oraz kwadraturą Gaussa-Hermite’a dla różnych liczby węzłów.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t>Wyniki numeryczne porównywane są z wartościami teoretycznymi, a błędy zapisywane i wizualizowane.</w:t>
      </w: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</w:pP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  <w:t>Wyniki</w:t>
      </w:r>
    </w:p>
    <w:p>
      <w:pPr>
        <w:jc w:val="center"/>
        <w:rPr>
          <w:rFonts w:hint="default" w:ascii="Times New Roman" w:hAnsi="Times New Roman" w:eastAsia="Courier10 BT" w:cs="Times New Roman"/>
          <w:i/>
          <w:iCs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i/>
          <w:iCs/>
          <w:color w:val="auto"/>
          <w:sz w:val="20"/>
          <w:szCs w:val="20"/>
          <w:lang w:val="pl-PL"/>
        </w:rPr>
        <w:drawing>
          <wp:inline distT="0" distB="0" distL="114300" distR="114300">
            <wp:extent cx="3826510" cy="6888480"/>
            <wp:effectExtent l="0" t="0" r="2540" b="7620"/>
            <wp:docPr id="12" name="Picture 12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Fig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68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92"/>
        <w:gridCol w:w="1965"/>
        <w:gridCol w:w="1710"/>
        <w:gridCol w:w="1898"/>
        <w:gridCol w:w="2032"/>
        <w:gridCol w:w="1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92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Funkcja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default" w:asciiTheme="majorAscii" w:hAnsiTheme="majorAscii" w:cstheme="majorAscii"/>
                <w:lang w:val="pl-PL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Simpson (</w:t>
            </w:r>
            <w:r>
              <w:rPr>
                <w:rFonts w:hint="default" w:ascii="Adwaita Mono" w:hAnsi="Adwaita Mono" w:eastAsia="Courier10 BT" w:cs="Adwaita Mono"/>
                <w:i/>
                <w:iCs/>
                <w:color w:val="auto"/>
                <w:sz w:val="20"/>
                <w:szCs w:val="20"/>
                <w:lang w:val="pl-PL"/>
              </w:rPr>
              <w:t>ε</w:t>
            </w:r>
            <w:r>
              <w:rPr>
                <w:rFonts w:hint="default" w:eastAsia="Courier10 BT" w:asciiTheme="majorAscii" w:hAnsiTheme="majorAscii" w:cstheme="majorAscii"/>
                <w:i/>
                <w:iCs/>
                <w:color w:val="auto"/>
                <w:sz w:val="20"/>
                <w:szCs w:val="20"/>
                <w:lang w:val="pl-PL"/>
              </w:rPr>
              <w:t>=1e-4)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gauss n=2</w:t>
            </w:r>
          </w:p>
        </w:tc>
        <w:tc>
          <w:tcPr>
            <w:tcW w:w="1898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gauss n=3</w:t>
            </w:r>
          </w:p>
        </w:tc>
        <w:tc>
          <w:tcPr>
            <w:tcW w:w="2032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gauss n=4</w:t>
            </w:r>
          </w:p>
        </w:tc>
        <w:tc>
          <w:tcPr>
            <w:tcW w:w="1625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gauss n=5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92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1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-3.915493e-05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0.0</w:t>
            </w:r>
          </w:p>
        </w:tc>
        <w:tc>
          <w:tcPr>
            <w:tcW w:w="1898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2.2204460e-16</w:t>
            </w:r>
          </w:p>
        </w:tc>
        <w:tc>
          <w:tcPr>
            <w:tcW w:w="2032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0.0</w:t>
            </w:r>
          </w:p>
        </w:tc>
        <w:tc>
          <w:tcPr>
            <w:tcW w:w="1625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92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x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3.719247e-15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0.0</w:t>
            </w:r>
          </w:p>
        </w:tc>
        <w:tc>
          <w:tcPr>
            <w:tcW w:w="1898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0.0</w:t>
            </w:r>
          </w:p>
        </w:tc>
        <w:tc>
          <w:tcPr>
            <w:tcW w:w="2032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2.775557e-17</w:t>
            </w:r>
          </w:p>
        </w:tc>
        <w:tc>
          <w:tcPr>
            <w:tcW w:w="1625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2.081668e-17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92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x^2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-4.638038e-07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2.220446e-16</w:t>
            </w:r>
          </w:p>
        </w:tc>
        <w:tc>
          <w:tcPr>
            <w:tcW w:w="1898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1.110223e-16</w:t>
            </w:r>
          </w:p>
        </w:tc>
        <w:tc>
          <w:tcPr>
            <w:tcW w:w="2032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2.220446e-16</w:t>
            </w:r>
          </w:p>
        </w:tc>
        <w:tc>
          <w:tcPr>
            <w:tcW w:w="1625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1.110223e-16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92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sin(x)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1.641655e-14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0.0</w:t>
            </w:r>
          </w:p>
        </w:tc>
        <w:tc>
          <w:tcPr>
            <w:tcW w:w="1898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0.0</w:t>
            </w:r>
          </w:p>
        </w:tc>
        <w:tc>
          <w:tcPr>
            <w:tcW w:w="2032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0.0</w:t>
            </w:r>
          </w:p>
        </w:tc>
        <w:tc>
          <w:tcPr>
            <w:tcW w:w="1625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1.040834e-17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92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exp(x)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-1.691199e-06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0.041534</w:t>
            </w:r>
          </w:p>
        </w:tc>
        <w:tc>
          <w:tcPr>
            <w:tcW w:w="1898" w:type="dxa"/>
          </w:tcPr>
          <w:p>
            <w:pPr>
              <w:jc w:val="center"/>
              <w:rPr>
                <w:rFonts w:hint="default" w:asciiTheme="majorAscii" w:hAnsiTheme="majorAscii"/>
                <w:lang w:val="pl-PL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2.074406e-03</w:t>
            </w:r>
          </w:p>
        </w:tc>
        <w:tc>
          <w:tcPr>
            <w:tcW w:w="2032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7.411457e-05</w:t>
            </w:r>
          </w:p>
        </w:tc>
        <w:tc>
          <w:tcPr>
            <w:tcW w:w="1625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2.060102e-06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92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1/(1+x^2)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-3.597815e-06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0.161657</w:t>
            </w:r>
          </w:p>
        </w:tc>
        <w:tc>
          <w:tcPr>
            <w:tcW w:w="1898" w:type="dxa"/>
          </w:tcPr>
          <w:p>
            <w:pPr>
              <w:jc w:val="center"/>
              <w:rPr>
                <w:rFonts w:hint="default" w:asciiTheme="majorAscii" w:hAnsiTheme="majorAscii"/>
                <w:lang w:val="pl-PL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7.466965e-02</w:t>
            </w:r>
          </w:p>
        </w:tc>
        <w:tc>
          <w:tcPr>
            <w:tcW w:w="2032" w:type="dxa"/>
          </w:tcPr>
          <w:p>
            <w:pPr>
              <w:jc w:val="center"/>
              <w:rPr>
                <w:rFonts w:hint="default" w:asciiTheme="majorAscii" w:hAnsiTheme="majorAscii"/>
                <w:lang w:val="pl-PL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3.727479e-02</w:t>
            </w:r>
          </w:p>
        </w:tc>
        <w:tc>
          <w:tcPr>
            <w:tcW w:w="1625" w:type="dxa"/>
          </w:tcPr>
          <w:p>
            <w:pPr>
              <w:jc w:val="center"/>
              <w:rPr>
                <w:rFonts w:hint="default" w:asciiTheme="majorAscii" w:hAnsiTheme="majorAscii"/>
                <w:lang w:val="pl-PL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2.013261e-02</w:t>
            </w:r>
          </w:p>
        </w:tc>
      </w:tr>
    </w:tbl>
    <w:p>
      <w:pPr>
        <w:jc w:val="center"/>
        <w:rPr>
          <w:rFonts w:hint="default" w:ascii="Times New Roman" w:hAnsi="Times New Roman" w:eastAsia="Courier10 BT" w:cs="Times New Roman"/>
          <w:i/>
          <w:iCs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i/>
          <w:iCs/>
          <w:color w:val="auto"/>
          <w:sz w:val="20"/>
          <w:szCs w:val="20"/>
          <w:lang w:val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-99695</wp:posOffset>
            </wp:positionH>
            <wp:positionV relativeFrom="paragraph">
              <wp:posOffset>-4055745</wp:posOffset>
            </wp:positionV>
            <wp:extent cx="6195060" cy="4648200"/>
            <wp:effectExtent l="0" t="0" r="15240" b="0"/>
            <wp:wrapTopAndBottom/>
            <wp:docPr id="14" name="Picture 14" descr="/home/igoro00/Dokumenty/numerki/Figure 3.pngFig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home/igoro00/Dokumenty/numerki/Figure 3.pngFigure 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  <w:t>Wyniki</w:t>
      </w: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  <w:lang w:val="pl-PL"/>
        </w:rPr>
      </w:pPr>
    </w:p>
    <w:p>
      <w:pPr>
        <w:pStyle w:val="6"/>
        <w:bidi w:val="0"/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pl-PL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pl-PL" w:eastAsia="zh-CN" w:bidi="ar"/>
        </w:rPr>
        <w:t xml:space="preserve">Całkowanie przy użyciu kwadratury Gaussa-Hermite’a sprawdza się bardzo dobrze dla całek w postaci </w:t>
      </w:r>
      <m:oMath>
        <m:nary>
          <m:naryPr>
            <m:limLoc m:val="subSup"/>
            <m:ctrlPr>
              <w:rPr>
                <w:rFonts w:hint="default" w:ascii="DejaVu Math TeX Gyre" w:hAnsi="DejaVu Math TeX Gyre" w:cs="Times New Roman"/>
                <w:i/>
                <w:color w:val="auto"/>
                <w:kern w:val="0"/>
                <w:sz w:val="20"/>
                <w:szCs w:val="20"/>
                <w:lang w:val="pl-PL" w:bidi="ar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color w:val="auto"/>
                <w:kern w:val="0"/>
                <w:sz w:val="20"/>
                <w:szCs w:val="20"/>
                <w:lang w:val="pl-PL" w:bidi="ar"/>
              </w:rPr>
              <m:t>−∞</m:t>
            </m:r>
            <m:ctrlPr>
              <w:rPr>
                <w:rFonts w:hint="default" w:ascii="DejaVu Math TeX Gyre" w:hAnsi="DejaVu Math TeX Gyre" w:cs="Times New Roman"/>
                <w:i/>
                <w:color w:val="auto"/>
                <w:kern w:val="0"/>
                <w:sz w:val="20"/>
                <w:szCs w:val="20"/>
                <w:lang w:val="pl-PL" w:bidi="ar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color w:val="auto"/>
                <w:kern w:val="0"/>
                <w:sz w:val="20"/>
                <w:szCs w:val="20"/>
                <w:lang w:val="pl-PL" w:bidi="ar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color w:val="auto"/>
                <w:kern w:val="0"/>
                <w:sz w:val="20"/>
                <w:szCs w:val="20"/>
                <w:lang w:val="pl-PL" w:bidi="ar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color w:val="auto"/>
                    <w:kern w:val="0"/>
                    <w:sz w:val="20"/>
                    <w:szCs w:val="20"/>
                    <w:lang w:val="pl-PL" w:bidi="ar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color w:val="auto"/>
                    <w:kern w:val="0"/>
                    <w:sz w:val="20"/>
                    <w:szCs w:val="20"/>
                    <w:lang w:val="pl-PL" w:bidi="ar"/>
                  </w:rPr>
                  <m:t>e</m:t>
                </m:r>
                <m:ctrlPr>
                  <w:rPr>
                    <w:rFonts w:hint="default" w:ascii="DejaVu Math TeX Gyre" w:hAnsi="DejaVu Math TeX Gyre" w:cs="Times New Roman"/>
                    <w:i/>
                    <w:color w:val="auto"/>
                    <w:kern w:val="0"/>
                    <w:sz w:val="20"/>
                    <w:szCs w:val="20"/>
                    <w:lang w:val="pl-PL" w:bidi="ar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color w:val="auto"/>
                    <w:kern w:val="0"/>
                    <w:sz w:val="20"/>
                    <w:szCs w:val="20"/>
                    <w:lang w:val="pl-PL" w:bidi="ar"/>
                  </w:rPr>
                  <m:t>−</m:t>
                </m:r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kern w:val="0"/>
                        <w:sz w:val="20"/>
                        <w:szCs w:val="20"/>
                        <w:lang w:val="pl-PL" w:bidi="ar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auto"/>
                        <w:kern w:val="0"/>
                        <w:sz w:val="20"/>
                        <w:szCs w:val="20"/>
                        <w:lang w:val="pl-PL" w:bidi="ar"/>
                      </w:rPr>
                      <m:t>x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kern w:val="0"/>
                        <w:sz w:val="20"/>
                        <w:szCs w:val="20"/>
                        <w:lang w:val="pl-PL" w:bidi="ar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color w:val="auto"/>
                        <w:kern w:val="0"/>
                        <w:sz w:val="20"/>
                        <w:szCs w:val="20"/>
                        <w:lang w:val="pl-PL" w:bidi="ar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kern w:val="0"/>
                        <w:sz w:val="20"/>
                        <w:szCs w:val="20"/>
                        <w:lang w:val="pl-PL" w:bidi="ar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="Times New Roman"/>
                    <w:i/>
                    <w:color w:val="auto"/>
                    <w:kern w:val="0"/>
                    <w:sz w:val="20"/>
                    <w:szCs w:val="20"/>
                    <w:lang w:val="pl-PL" w:bidi="ar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color w:val="auto"/>
                <w:kern w:val="0"/>
                <w:sz w:val="20"/>
                <w:szCs w:val="20"/>
                <w:lang w:val="pl-PL" w:bidi="ar"/>
              </w:rPr>
              <m:t>f(x)dx</m:t>
            </m:r>
            <m:ctrlPr>
              <w:rPr>
                <w:rFonts w:hint="default" w:ascii="DejaVu Math TeX Gyre" w:hAnsi="DejaVu Math TeX Gyre" w:cs="Times New Roman"/>
                <w:i/>
                <w:color w:val="auto"/>
                <w:kern w:val="0"/>
                <w:sz w:val="20"/>
                <w:szCs w:val="20"/>
                <w:lang w:val="pl-PL" w:bidi="ar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color w:val="auto"/>
          <w:kern w:val="0"/>
          <w:sz w:val="20"/>
          <w:szCs w:val="20"/>
          <w:lang w:val="pl-PL" w:bidi="ar"/>
        </w:rPr>
        <w:t>. Można również zauważyć że w przypadku niektórych funkcji większa ilość węzłów nie zawsze zwiększa dokładność.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pl-PL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pl-PL" w:eastAsia="zh-CN" w:bidi="ar"/>
        </w:rPr>
        <w:t>Metoda Simpsona jest ogólna lecz potrzebuje znacznie więcej iteracji aby osiągnąć podobną dokładność.</w:t>
      </w:r>
      <w:bookmarkStart w:id="0" w:name="_GoBack"/>
      <w:bookmarkEnd w:id="0"/>
    </w:p>
    <w:p>
      <w:pPr>
        <w:pStyle w:val="6"/>
        <w:bidi w:val="0"/>
        <w:rPr>
          <w:rStyle w:val="4"/>
          <w:rFonts w:hint="default"/>
          <w:lang w:val="pl-PL"/>
        </w:rPr>
      </w:pPr>
    </w:p>
    <w:sectPr>
      <w:pgSz w:w="11906" w:h="16838"/>
      <w:pgMar w:top="850" w:right="850" w:bottom="850" w:left="85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dwaita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horndale AMT">
    <w:altName w:val="Noto Sans CJK HK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Albany AMT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sans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tarSymbol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10 BT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mbri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1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MS Mincho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BF6483"/>
    <w:multiLevelType w:val="multilevel"/>
    <w:tmpl w:val="7FBF648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41"/>
    <w:rsid w:val="000A3D41"/>
    <w:rsid w:val="00846C0C"/>
    <w:rsid w:val="00B72A8C"/>
    <w:rsid w:val="00B907E4"/>
    <w:rsid w:val="00B93127"/>
    <w:rsid w:val="5CEA00F5"/>
    <w:rsid w:val="7A6B5612"/>
    <w:rsid w:val="7BF72CD3"/>
    <w:rsid w:val="7FE334FE"/>
    <w:rsid w:val="CBFDCEE1"/>
    <w:rsid w:val="CF9F3833"/>
    <w:rsid w:val="DEBF3C58"/>
    <w:rsid w:val="FBD594FE"/>
    <w:rsid w:val="FBE7C909"/>
    <w:rsid w:val="FF7E59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horndale AMT" w:hAnsi="Thorndale AMT" w:eastAsia="Albany AMT" w:cs="Times New Roman"/>
      <w:sz w:val="24"/>
      <w:szCs w:val="24"/>
      <w:lang w:val="pl-PL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uiPriority w:val="0"/>
    <w:pPr>
      <w:spacing w:before="0" w:after="120"/>
    </w:pPr>
  </w:style>
  <w:style w:type="paragraph" w:styleId="7">
    <w:name w:val="header"/>
    <w:basedOn w:val="1"/>
    <w:uiPriority w:val="0"/>
    <w:pPr>
      <w:suppressLineNumbers/>
      <w:tabs>
        <w:tab w:val="center" w:pos="5103"/>
        <w:tab w:val="right" w:pos="10206"/>
      </w:tabs>
    </w:pPr>
  </w:style>
  <w:style w:type="paragraph" w:styleId="8">
    <w:name w:val="List"/>
    <w:basedOn w:val="6"/>
    <w:uiPriority w:val="0"/>
    <w:rPr>
      <w:rFonts w:cs="Lucidasans"/>
    </w:rPr>
  </w:style>
  <w:style w:type="character" w:styleId="9">
    <w:name w:val="Strong"/>
    <w:basedOn w:val="4"/>
    <w:qFormat/>
    <w:uiPriority w:val="22"/>
    <w:rPr>
      <w:b/>
      <w:bCs/>
    </w:rPr>
  </w:style>
  <w:style w:type="table" w:styleId="10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Znaki numeracji"/>
    <w:qFormat/>
    <w:uiPriority w:val="0"/>
  </w:style>
  <w:style w:type="character" w:customStyle="1" w:styleId="12">
    <w:name w:val="Symbole wypunktowania"/>
    <w:qFormat/>
    <w:uiPriority w:val="0"/>
    <w:rPr>
      <w:rFonts w:ascii="StarSymbol" w:hAnsi="StarSymbol" w:eastAsia="StarSymbol" w:cs="StarSymbol"/>
      <w:sz w:val="18"/>
      <w:szCs w:val="18"/>
    </w:rPr>
  </w:style>
  <w:style w:type="paragraph" w:customStyle="1" w:styleId="13">
    <w:name w:val="Zawartość tabeli"/>
    <w:basedOn w:val="1"/>
    <w:qFormat/>
    <w:uiPriority w:val="0"/>
    <w:pPr>
      <w:suppressLineNumbers/>
    </w:pPr>
  </w:style>
  <w:style w:type="paragraph" w:customStyle="1" w:styleId="14">
    <w:name w:val="Nagłówek tabeli"/>
    <w:basedOn w:val="13"/>
    <w:uiPriority w:val="0"/>
    <w:pPr>
      <w:suppressLineNumbers/>
      <w:jc w:val="center"/>
    </w:pPr>
    <w:rPr>
      <w:b/>
      <w:bCs/>
    </w:rPr>
  </w:style>
  <w:style w:type="paragraph" w:customStyle="1" w:styleId="15">
    <w:name w:val="Podpis1"/>
    <w:basedOn w:val="1"/>
    <w:uiPriority w:val="0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16">
    <w:name w:val="Indeks"/>
    <w:basedOn w:val="1"/>
    <w:uiPriority w:val="0"/>
    <w:pPr>
      <w:suppressLineNumbers/>
    </w:pPr>
    <w:rPr>
      <w:rFonts w:cs="Lucidasan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173</Words>
  <Characters>1044</Characters>
  <Lines>8</Lines>
  <Paragraphs>2</Paragraphs>
  <TotalTime>1</TotalTime>
  <ScaleCrop>false</ScaleCrop>
  <LinksUpToDate>false</LinksUpToDate>
  <CharactersWithSpaces>1215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2024-02-26T01:58:00Z</dcterms:created>
  <dc:creator>igoro00</dc:creator>
  <cp:lastModifiedBy>igoro00</cp:lastModifiedBy>
  <dcterms:modified xsi:type="dcterms:W3CDTF">2025-05-28T00:33:45Z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