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4, Wariant 2</w:t>
      </w:r>
      <w:r>
        <w:rPr>
          <w:rFonts w:hint="default" w:ascii="Times New Roman" w:hAnsi="Times New Roman" w:cs="Times New Roman"/>
          <w:color w:val="auto"/>
        </w:rPr>
        <w:t xml:space="preserve"> – etody całkowania numerycznego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Celem zadania jest porównanie dokładności różnych metod całkowania numerycznego dla funkcji ważonych wagą Gaussa-Hermite’a. Analizowane są zarówno metoda Simpsona, jak i specjalizowana kwadratura Gaussa-Hermite’a dla różnych liczb węzłów.</w:t>
      </w:r>
    </w:p>
    <w:p>
      <w:pPr>
        <w:jc w:val="both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Kroki algorytmu: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Wybór opcji dla obu metod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Dla każdej funkcji obliczana jest wartość całki numerycznie metodą Simpsona oraz kwadraturą Gaussa-Hermite’a dla różnych liczby węzłów.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Wyniki numeryczne porównywane są z wartościami teoretycznymi, a błędy zapisywane i wizualizowane.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  <w:drawing>
          <wp:inline distT="0" distB="0" distL="114300" distR="114300">
            <wp:extent cx="3764280" cy="6778625"/>
            <wp:effectExtent l="0" t="0" r="0" b="3175"/>
            <wp:docPr id="12" name="Picture 12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Fig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965"/>
        <w:gridCol w:w="1710"/>
        <w:gridCol w:w="1898"/>
        <w:gridCol w:w="2032"/>
        <w:gridCol w:w="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Funkcja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 w:cs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Simpson (</w:t>
            </w:r>
            <w:r>
              <w:rPr>
                <w:rFonts w:hint="default" w:ascii="Adwaita Mono" w:hAnsi="Adwaita Mono" w:eastAsia="Courier10 BT" w:cs="Adwaita Mono"/>
                <w:i/>
                <w:iCs/>
                <w:color w:val="auto"/>
                <w:sz w:val="20"/>
                <w:szCs w:val="20"/>
                <w:lang w:val="pl-PL"/>
              </w:rPr>
              <w:t>ε</w:t>
            </w:r>
            <w:r>
              <w:rPr>
                <w:rFonts w:hint="default" w:eastAsia="Courier10 BT" w:asciiTheme="majorAscii" w:hAnsiTheme="majorAscii" w:cstheme="majorAscii"/>
                <w:i/>
                <w:iCs/>
                <w:color w:val="auto"/>
                <w:sz w:val="20"/>
                <w:szCs w:val="20"/>
                <w:lang w:val="pl-PL"/>
              </w:rPr>
              <w:t>=1e-4)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n=2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n=3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n=4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gauss n=5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-3.915493e-05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2.2204460e-16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x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3.719247e-15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2.775557e-17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2.081668e-17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x^2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-4.638038e-07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2.220446e-16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1.110223e-16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2.220446e-16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1.110223e-16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sin(x)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1.641655e-14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1.040834e-17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exp(x)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-1.691199e-06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0.041534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2.074406e-03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7.411457e-05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2.060102e-06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2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1/(1+x^2)</w:t>
            </w:r>
          </w:p>
        </w:tc>
        <w:tc>
          <w:tcPr>
            <w:tcW w:w="1965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-3.597815e-06</w:t>
            </w:r>
          </w:p>
        </w:tc>
        <w:tc>
          <w:tcPr>
            <w:tcW w:w="1710" w:type="dxa"/>
          </w:tcPr>
          <w:p>
            <w:pPr>
              <w:jc w:val="center"/>
              <w:rPr>
                <w:rFonts w:hint="default" w:asciiTheme="majorAscii" w:hAnsiTheme="majorAscii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0.161657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7.466965e-02</w:t>
            </w:r>
          </w:p>
        </w:tc>
        <w:tc>
          <w:tcPr>
            <w:tcW w:w="2032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3.727479e-02</w:t>
            </w:r>
          </w:p>
        </w:tc>
        <w:tc>
          <w:tcPr>
            <w:tcW w:w="1625" w:type="dxa"/>
          </w:tcPr>
          <w:p>
            <w:pPr>
              <w:jc w:val="center"/>
              <w:rPr>
                <w:rFonts w:hint="default" w:asciiTheme="majorAscii" w:hAnsiTheme="majorAscii"/>
                <w:lang w:val="pl-PL"/>
              </w:rPr>
            </w:pPr>
            <w:r>
              <w:rPr>
                <w:rFonts w:hint="default" w:eastAsia="Courier10 BT" w:cs="Times New Roman" w:asciiTheme="majorAscii" w:hAnsiTheme="majorAscii"/>
                <w:i/>
                <w:iCs/>
                <w:color w:val="auto"/>
                <w:sz w:val="20"/>
                <w:szCs w:val="20"/>
                <w:lang w:val="pl-PL"/>
              </w:rPr>
              <w:t>2.013261e-02</w:t>
            </w:r>
          </w:p>
        </w:tc>
      </w:tr>
    </w:tbl>
    <w:p>
      <w:pPr>
        <w:jc w:val="center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  <w:lang w:val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-4055745</wp:posOffset>
            </wp:positionV>
            <wp:extent cx="6195060" cy="4648200"/>
            <wp:effectExtent l="0" t="0" r="15240" b="0"/>
            <wp:wrapTopAndBottom/>
            <wp:docPr id="14" name="Picture 14" descr="/home/igoro00/Dokumenty/numerki/Figure 3.png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home/igoro00/Dokumenty/numerki/Figure 3.pngFigure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</w:t>
      </w: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nioski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pStyle w:val="6"/>
        <w:bidi w:val="0"/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 xml:space="preserve">Całkowanie przy użyciu kwadratury Gaussa-Hermite’a sprawdza się bardzo dobrze dla całek w postaci </w:t>
      </w:r>
      <m:oMath>
        <m:nary>
          <m:naryPr>
            <m:limLoc m:val="subSup"/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naryPr>
          <m:sub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−∞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sub>
          <m:sup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∞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Times New Roman"/>
                    <w:color w:val="auto"/>
                    <w:kern w:val="0"/>
                    <w:sz w:val="20"/>
                    <w:szCs w:val="20"/>
                    <w:lang w:val="pl-PL" w:bidi="ar"/>
                  </w:rPr>
                  <m:t>e</m:t>
                </m:r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Times New Roman"/>
                    <w:color w:val="auto"/>
                    <w:kern w:val="0"/>
                    <w:sz w:val="20"/>
                    <w:szCs w:val="20"/>
                    <w:lang w:val="pl-PL" w:bidi="ar"/>
                  </w:rPr>
                  <m:t>−</m:t>
                </m:r>
                <m:sSup>
                  <m:sSupP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Times New Roman"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cs="Times New Roman"/>
                        <w:i/>
                        <w:color w:val="auto"/>
                        <w:kern w:val="0"/>
                        <w:sz w:val="20"/>
                        <w:szCs w:val="20"/>
                        <w:lang w:val="pl-PL" w:bidi="ar"/>
                      </w:rPr>
                    </m:ctrlPr>
                  </m:sup>
                </m:sSup>
                <m:ctrlPr>
                  <w:rPr>
                    <w:rFonts w:hint="default" w:ascii="DejaVu Math TeX Gyre" w:hAnsi="DejaVu Math TeX Gyre" w:cs="Times New Roman"/>
                    <w:i/>
                    <w:color w:val="auto"/>
                    <w:kern w:val="0"/>
                    <w:sz w:val="20"/>
                    <w:szCs w:val="20"/>
                    <w:lang w:val="pl-PL" w:bidi="ar"/>
                  </w:rPr>
                </m:ctrlPr>
              </m:sup>
            </m:sSup>
            <m:r>
              <m:rPr/>
              <w:rPr>
                <w:rFonts w:hint="default" w:ascii="DejaVu Math TeX Gyre" w:hAnsi="DejaVu Math TeX Gyre" w:cs="Times New Roman"/>
                <w:color w:val="auto"/>
                <w:kern w:val="0"/>
                <w:sz w:val="20"/>
                <w:szCs w:val="20"/>
                <w:lang w:val="pl-PL" w:bidi="ar"/>
              </w:rPr>
              <m:t>f(x)dx</m:t>
            </m:r>
            <m:ctrlPr>
              <w:rPr>
                <w:rFonts w:hint="default" w:ascii="DejaVu Math TeX Gyre" w:hAnsi="DejaVu Math TeX Gyre" w:cs="Times New Roman"/>
                <w:i/>
                <w:color w:val="auto"/>
                <w:kern w:val="0"/>
                <w:sz w:val="20"/>
                <w:szCs w:val="20"/>
                <w:lang w:val="pl-PL" w:bidi="ar"/>
              </w:rPr>
            </m:ctrlPr>
          </m:e>
        </m:nary>
      </m:oMath>
      <w:r>
        <w:rPr>
          <w:rFonts w:hint="default" w:ascii="Times New Roman" w:hAnsi="Times New Roman" w:cs="Times New Roman"/>
          <w:i w:val="0"/>
          <w:color w:val="auto"/>
          <w:kern w:val="0"/>
          <w:sz w:val="20"/>
          <w:szCs w:val="20"/>
          <w:lang w:val="pl-PL" w:bidi="ar"/>
        </w:rPr>
        <w:t>. Można również zauważyć że w przypadku niektórych funkcji większa ilość węzłów nie zawsze zwiększa dokładność.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pl-P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Metoda Simpsona jest ogólna lecz potrzebuje znacznie więcej iteracji aby osiągnąć podobną dokładność.</w:t>
      </w:r>
    </w:p>
    <w:p>
      <w:pPr>
        <w:pStyle w:val="6"/>
        <w:bidi w:val="0"/>
        <w:rPr>
          <w:rStyle w:val="4"/>
          <w:rFonts w:hint="default"/>
          <w:lang w:val="pl-PL"/>
        </w:rPr>
      </w:pPr>
    </w:p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0xProto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0xProto Nerd Font">
    <w:panose1 w:val="02000009000000000000"/>
    <w:charset w:val="00"/>
    <w:family w:val="auto"/>
    <w:pitch w:val="default"/>
    <w:sig w:usb0="A10000FF" w:usb1="0000084A" w:usb2="00000008" w:usb3="00000000" w:csb0="00000193" w:csb1="CD4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F6483"/>
    <w:multiLevelType w:val="multilevel"/>
    <w:tmpl w:val="7FBF64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5CEA00F5"/>
    <w:rsid w:val="5D0D2955"/>
    <w:rsid w:val="7A6B5612"/>
    <w:rsid w:val="7BF72CD3"/>
    <w:rsid w:val="7FE334FE"/>
    <w:rsid w:val="CBFDCEE1"/>
    <w:rsid w:val="CF9F3833"/>
    <w:rsid w:val="DEBF3C58"/>
    <w:rsid w:val="FBD594FE"/>
    <w:rsid w:val="FBE7C909"/>
    <w:rsid w:val="FF7E5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0" w:after="120"/>
    </w:pPr>
  </w:style>
  <w:style w:type="paragraph" w:styleId="7">
    <w:name w:val="header"/>
    <w:basedOn w:val="1"/>
    <w:qFormat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qFormat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1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2024-02-26T02:58:00Z</dcterms:created>
  <dc:creator>igoro00</dc:creator>
  <cp:lastModifiedBy>igoro00</cp:lastModifiedBy>
  <dcterms:modified xsi:type="dcterms:W3CDTF">2025-05-28T13:43:45Z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