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BA1" w:rsidRDefault="00823BA1" w:rsidP="00823BA1">
      <w:pPr>
        <w:spacing w:after="300" w:line="240" w:lineRule="auto"/>
        <w:textAlignment w:val="baseline"/>
        <w:outlineLvl w:val="1"/>
        <w:rPr>
          <w:rFonts w:ascii="Helvetica" w:eastAsia="Times New Roman" w:hAnsi="Helvetica" w:cs="Times New Roman"/>
          <w:caps/>
          <w:color w:val="043A50"/>
          <w:sz w:val="45"/>
          <w:szCs w:val="45"/>
          <w:lang w:eastAsia="pt-BR"/>
        </w:rPr>
      </w:pPr>
    </w:p>
    <w:p w:rsidR="00823BA1" w:rsidRPr="00823BA1" w:rsidRDefault="00823BA1" w:rsidP="00823BA1">
      <w:pPr>
        <w:pStyle w:val="Ttulo1"/>
        <w:spacing w:before="0" w:after="225" w:line="555" w:lineRule="atLeast"/>
        <w:textAlignment w:val="baseline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823BA1">
        <w:rPr>
          <w:rFonts w:asciiTheme="minorHAnsi" w:hAnsiTheme="minorHAnsi" w:cstheme="minorHAnsi"/>
          <w:color w:val="000000" w:themeColor="text1"/>
          <w:sz w:val="32"/>
          <w:szCs w:val="32"/>
        </w:rPr>
        <w:t>Curso NR-37 – Segurança e Saúde em Plataformas de Petróleo</w:t>
      </w:r>
    </w:p>
    <w:p w:rsidR="00823BA1" w:rsidRPr="00973482" w:rsidRDefault="00973482" w:rsidP="00973482">
      <w:pPr>
        <w:shd w:val="clear" w:color="auto" w:fill="FFFFFF" w:themeFill="background1"/>
        <w:spacing w:after="300" w:line="240" w:lineRule="auto"/>
        <w:textAlignment w:val="baseline"/>
        <w:outlineLvl w:val="1"/>
        <w:rPr>
          <w:rFonts w:eastAsia="Times New Roman" w:cstheme="minorHAnsi"/>
          <w:caps/>
          <w:color w:val="000000" w:themeColor="text1"/>
          <w:sz w:val="28"/>
          <w:szCs w:val="28"/>
          <w:lang w:eastAsia="pt-BR"/>
        </w:rPr>
      </w:pPr>
      <w:r w:rsidRPr="00973482">
        <w:rPr>
          <w:rFonts w:cstheme="minorHAnsi"/>
          <w:color w:val="000000" w:themeColor="text1"/>
          <w:sz w:val="28"/>
          <w:szCs w:val="28"/>
          <w:shd w:val="clear" w:color="auto" w:fill="FFFFFF"/>
        </w:rPr>
        <w:t>O objetivo do Curso NR-37 é forne</w:t>
      </w: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 xml:space="preserve">cer conhecimentos das diretrizes específicas da </w:t>
      </w:r>
      <w:r w:rsidRPr="00973482">
        <w:rPr>
          <w:rFonts w:cstheme="minorHAnsi"/>
          <w:color w:val="000000" w:themeColor="text1"/>
          <w:sz w:val="28"/>
          <w:szCs w:val="28"/>
          <w:shd w:val="clear" w:color="auto" w:fill="FFFFFF"/>
        </w:rPr>
        <w:t>Norma regulamentadora NR-37, que estabelece os requisitos mínimos de segurança e saúde em plataformas de petróleo em território brasileiro</w:t>
      </w:r>
    </w:p>
    <w:p w:rsidR="00823BA1" w:rsidRPr="00823BA1" w:rsidRDefault="00823BA1" w:rsidP="00823BA1">
      <w:pPr>
        <w:shd w:val="clear" w:color="auto" w:fill="FFFFFF" w:themeFill="background1"/>
        <w:spacing w:after="300" w:line="240" w:lineRule="auto"/>
        <w:textAlignment w:val="baseline"/>
        <w:outlineLvl w:val="1"/>
        <w:rPr>
          <w:rFonts w:ascii="Helvetica" w:eastAsia="Times New Roman" w:hAnsi="Helvetica" w:cs="Times New Roman"/>
          <w:caps/>
          <w:color w:val="043A50"/>
          <w:sz w:val="45"/>
          <w:szCs w:val="45"/>
          <w:lang w:eastAsia="pt-BR"/>
        </w:rPr>
      </w:pPr>
      <w:r w:rsidRPr="00823BA1">
        <w:rPr>
          <w:rFonts w:ascii="Helvetica" w:eastAsia="Times New Roman" w:hAnsi="Helvetica" w:cs="Times New Roman"/>
          <w:caps/>
          <w:color w:val="043A50"/>
          <w:sz w:val="45"/>
          <w:szCs w:val="45"/>
          <w:lang w:eastAsia="pt-BR"/>
        </w:rPr>
        <w:t>DESCRIÇÃO</w:t>
      </w:r>
    </w:p>
    <w:p w:rsidR="00823BA1" w:rsidRPr="00823BA1" w:rsidRDefault="00823BA1" w:rsidP="00823BA1">
      <w:pPr>
        <w:shd w:val="clear" w:color="auto" w:fill="FFFFFF" w:themeFill="background1"/>
        <w:spacing w:after="0" w:line="240" w:lineRule="auto"/>
        <w:ind w:left="450"/>
        <w:jc w:val="both"/>
        <w:textAlignment w:val="baseline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823BA1">
        <w:rPr>
          <w:rFonts w:eastAsia="Times New Roman" w:cstheme="minorHAnsi"/>
          <w:color w:val="000000"/>
          <w:sz w:val="28"/>
          <w:szCs w:val="28"/>
          <w:lang w:eastAsia="pt-BR"/>
        </w:rPr>
        <w:t>O</w:t>
      </w:r>
      <w:r w:rsidRPr="00823BA1">
        <w:rPr>
          <w:rFonts w:eastAsia="Times New Roman" w:cstheme="minorHAnsi"/>
          <w:b/>
          <w:bCs/>
          <w:color w:val="000000"/>
          <w:sz w:val="28"/>
          <w:szCs w:val="28"/>
          <w:lang w:eastAsia="pt-BR"/>
        </w:rPr>
        <w:t> Curso de Introdução à NR-37</w:t>
      </w:r>
      <w:r w:rsidRPr="00823BA1">
        <w:rPr>
          <w:rFonts w:eastAsia="Times New Roman" w:cstheme="minorHAnsi"/>
          <w:color w:val="000000"/>
          <w:sz w:val="28"/>
          <w:szCs w:val="28"/>
          <w:lang w:eastAsia="pt-BR"/>
        </w:rPr>
        <w:t>, da nova Norma Regulamentadora – NR 37, trata da </w:t>
      </w:r>
      <w:r w:rsidRPr="00823BA1">
        <w:rPr>
          <w:rFonts w:eastAsia="Times New Roman" w:cstheme="minorHAnsi"/>
          <w:b/>
          <w:bCs/>
          <w:color w:val="000000"/>
          <w:sz w:val="28"/>
          <w:szCs w:val="28"/>
          <w:lang w:eastAsia="pt-BR"/>
        </w:rPr>
        <w:t>segurança e saúde em plataformas de petróleo</w:t>
      </w:r>
      <w:r w:rsidRPr="00823BA1">
        <w:rPr>
          <w:rFonts w:eastAsia="Times New Roman" w:cstheme="minorHAnsi"/>
          <w:color w:val="000000"/>
          <w:sz w:val="28"/>
          <w:szCs w:val="28"/>
          <w:lang w:eastAsia="pt-BR"/>
        </w:rPr>
        <w:t>,</w:t>
      </w:r>
      <w:proofErr w:type="gramStart"/>
      <w:r w:rsidRPr="00823BA1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proofErr w:type="gramEnd"/>
      <w:r>
        <w:rPr>
          <w:rFonts w:eastAsia="Times New Roman" w:cstheme="minorHAnsi"/>
          <w:color w:val="000000"/>
          <w:sz w:val="28"/>
          <w:szCs w:val="28"/>
          <w:lang w:eastAsia="pt-BR"/>
        </w:rPr>
        <w:t>entrou</w:t>
      </w:r>
      <w:r w:rsidRPr="00823BA1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em vigor (Portaria n° 1.186 de 20 de dezembro de 2018) á partir de 20/12/2019 e assim sendo, se tornará matéria necessária para as áreas de Recursos Humanos de empresas da área de Petróleo &amp; Gás e colaboradores que trabalham embarcados em plataformas.</w:t>
      </w:r>
    </w:p>
    <w:p w:rsidR="00823BA1" w:rsidRPr="00823BA1" w:rsidRDefault="00823BA1" w:rsidP="00823BA1">
      <w:pPr>
        <w:spacing w:after="0" w:line="240" w:lineRule="auto"/>
        <w:ind w:left="450"/>
        <w:textAlignment w:val="baseline"/>
        <w:rPr>
          <w:rFonts w:ascii="Helvetica" w:eastAsia="Times New Roman" w:hAnsi="Helvetica" w:cs="Times New Roman"/>
          <w:color w:val="000000"/>
          <w:sz w:val="30"/>
          <w:szCs w:val="30"/>
          <w:lang w:eastAsia="pt-BR"/>
        </w:rPr>
      </w:pPr>
      <w:r w:rsidRPr="00823BA1">
        <w:rPr>
          <w:rFonts w:ascii="inherit" w:eastAsia="Times New Roman" w:hAnsi="inherit" w:cs="Times New Roman"/>
          <w:b/>
          <w:bCs/>
          <w:color w:val="000000"/>
          <w:sz w:val="30"/>
          <w:lang w:eastAsia="pt-BR"/>
        </w:rPr>
        <w:t>CURSO DE INTRODUÇÃO À NR-37: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Prazos Iniciais e disposições transitórias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Plataformas em operação temporária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Operadora de Instalação e operadoras de contrato: conceitos e responsabilidades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Empresas terceirizadas a bordo: Obrigações e responsabilidades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DIM – Declaração de Instalação Marítima: Conteúdo e Elaboração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 xml:space="preserve">Obras a bordo: critérios para </w:t>
      </w:r>
      <w:proofErr w:type="spellStart"/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comissionamento</w:t>
      </w:r>
      <w:proofErr w:type="spellEnd"/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 xml:space="preserve">, ampliação, modificação, manutenção, reparo, </w:t>
      </w:r>
      <w:proofErr w:type="spellStart"/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descomissionamento</w:t>
      </w:r>
      <w:proofErr w:type="spellEnd"/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 xml:space="preserve"> e desmonte de plataformas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Documentação obrigatória a bordo: prazos e conteúdos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Capacitação, qualificação e habilitação: Aplicação, responsabilidade, tipos, conteúdo e cursos obrigatórios específicos.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SESMT e CIPLAT: Critérios e obrigações para o dimensionamento a bordo e em terra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PPRA para plataformas: Regras específicas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Atenção à saúde a bordo: Obrigações, serviços de resgate, PCMSO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Meios de acesso a plataformas por ar e por mar: Requisitos operacionais e critérios para uso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Condições de vivência a bordo: Critérios para projetos e mecanismos de adaptação de instalações existentes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Alimentação a bordo: Critérios para preparação, serviço de refeições a bordo, inspeções sanitárias.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lastRenderedPageBreak/>
        <w:t>Climatização: Condições, medidas de segurança, PCMOC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Sinalização de Segurança: Código de cores, aplicação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 xml:space="preserve">Instalações elétricas a bordo: </w:t>
      </w:r>
      <w:proofErr w:type="gramStart"/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Aplicabilidade da NR 10, capacitação e curso complementar</w:t>
      </w:r>
      <w:proofErr w:type="gramEnd"/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Armazenamento de substâncias perigosas: Critérios técnicos e de projeto, sinalização de Segurança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Movimentação e transporte de cargas: inspeção, manutenção e certificação de equipamentos, qualificação dos operadores, operações com guindastes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Caldeiras e vasos sob pressão: Aplicação da NR 13, capacitação dos operadores.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Análises de riscos das instalações e processos: Avaliações qualitativas, quantitativas, documentação e responsabilidades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 xml:space="preserve">Inspeções de Segurança e saúde a bordo: </w:t>
      </w:r>
      <w:proofErr w:type="gramStart"/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Auto avaliação</w:t>
      </w:r>
      <w:proofErr w:type="gramEnd"/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, documentação, responsabilidades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Inspeções e manutenção: Plano de inspeção e manutenção, emissão de relatórios, prazos para atendimento de pendências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Procedimentos operacionais: Elaboração e documentação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Sistema de detecção e alarme de incêndio e gases: obrigatoriedade, tipos de sistemas, operacionalidade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 xml:space="preserve">Proteção e combate </w:t>
      </w:r>
      <w:proofErr w:type="gramStart"/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à</w:t>
      </w:r>
      <w:proofErr w:type="gramEnd"/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 xml:space="preserve"> incêndio: Parâmetros para elaboração, sistemas fixos, extintores portáteis, iluminação de emergência, sinalização e rota de fuga, capacitações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Proteção contra radiações ionizante: Critérios, Plano de radioproteção, controle e capacitações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Plano de resposta a emergências: Elaboração do PRE, documentação, equipes de contingência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 xml:space="preserve">Sistemas de drenagem, tratamento e disposição de resíduos: Sólidos, líquidos e gasosos, ações de controle de poluição e disposição correta, procedimentos de Segurança para os </w:t>
      </w:r>
      <w:proofErr w:type="spellStart"/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queimadores</w:t>
      </w:r>
      <w:proofErr w:type="spellEnd"/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 xml:space="preserve"> de gás (</w:t>
      </w:r>
      <w:proofErr w:type="spellStart"/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flare</w:t>
      </w:r>
      <w:proofErr w:type="spellEnd"/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)</w:t>
      </w:r>
    </w:p>
    <w:p w:rsidR="00823BA1" w:rsidRPr="00823BA1" w:rsidRDefault="00823BA1" w:rsidP="00823BA1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Comunicação e investigação de acidentes: Critérios para comunicação e para elaboração de relatórios</w:t>
      </w:r>
    </w:p>
    <w:p w:rsidR="009F0DA9" w:rsidRDefault="009F0DA9"/>
    <w:p w:rsidR="00823BA1" w:rsidRDefault="00823BA1"/>
    <w:p w:rsidR="00823BA1" w:rsidRPr="00823BA1" w:rsidRDefault="00823BA1" w:rsidP="00823BA1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1"/>
          <w:szCs w:val="21"/>
          <w:lang w:eastAsia="pt-BR"/>
        </w:rPr>
      </w:pPr>
      <w:r w:rsidRPr="00823BA1">
        <w:rPr>
          <w:rFonts w:ascii="Arial" w:eastAsia="Times New Roman" w:hAnsi="Arial" w:cs="Arial"/>
          <w:b/>
          <w:bCs/>
          <w:color w:val="000000"/>
          <w:sz w:val="21"/>
          <w:szCs w:val="21"/>
          <w:bdr w:val="none" w:sz="0" w:space="0" w:color="auto" w:frame="1"/>
          <w:lang w:eastAsia="pt-BR"/>
        </w:rPr>
        <w:t>Conteúdo Programático</w:t>
      </w:r>
    </w:p>
    <w:p w:rsidR="004866FD" w:rsidRPr="004866FD" w:rsidRDefault="00823BA1" w:rsidP="00823BA1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="Arial"/>
          <w:color w:val="000000"/>
          <w:sz w:val="24"/>
          <w:szCs w:val="24"/>
          <w:bdr w:val="none" w:sz="0" w:space="0" w:color="auto" w:frame="1"/>
          <w:lang w:eastAsia="pt-BR"/>
        </w:rPr>
      </w:pPr>
      <w:r w:rsidRPr="00823BA1">
        <w:rPr>
          <w:rFonts w:asciiTheme="majorHAnsi" w:eastAsia="Times New Roman" w:hAnsiTheme="majorHAnsi" w:cs="Arial"/>
          <w:color w:val="000000"/>
          <w:sz w:val="24"/>
          <w:szCs w:val="24"/>
          <w:bdr w:val="none" w:sz="0" w:space="0" w:color="auto" w:frame="1"/>
          <w:lang w:eastAsia="pt-BR"/>
        </w:rPr>
        <w:t>Meios e procedimentos de acesso à plataforma;</w:t>
      </w:r>
      <w:r w:rsidRPr="00823BA1">
        <w:rPr>
          <w:rFonts w:asciiTheme="majorHAnsi" w:eastAsia="Times New Roman" w:hAnsiTheme="majorHAnsi" w:cs="Arial"/>
          <w:color w:val="000000"/>
          <w:sz w:val="24"/>
          <w:szCs w:val="24"/>
          <w:bdr w:val="none" w:sz="0" w:space="0" w:color="auto" w:frame="1"/>
          <w:lang w:eastAsia="pt-BR"/>
        </w:rPr>
        <w:br/>
        <w:t>Condições e meio ambiente de trabalho;</w:t>
      </w:r>
      <w:r w:rsidRPr="00823BA1">
        <w:rPr>
          <w:rFonts w:asciiTheme="majorHAnsi" w:eastAsia="Times New Roman" w:hAnsiTheme="majorHAnsi" w:cs="Arial"/>
          <w:color w:val="000000"/>
          <w:sz w:val="24"/>
          <w:szCs w:val="24"/>
          <w:bdr w:val="none" w:sz="0" w:space="0" w:color="auto" w:frame="1"/>
          <w:lang w:eastAsia="pt-BR"/>
        </w:rPr>
        <w:br/>
        <w:t>Substâncias combustíveis e inflamáveis presentes a bordo: características, propriedades, perigos e riscos;</w:t>
      </w:r>
      <w:r w:rsidRPr="00823BA1">
        <w:rPr>
          <w:rFonts w:asciiTheme="majorHAnsi" w:eastAsia="Times New Roman" w:hAnsiTheme="majorHAnsi" w:cs="Arial"/>
          <w:color w:val="000000"/>
          <w:sz w:val="24"/>
          <w:szCs w:val="24"/>
          <w:bdr w:val="none" w:sz="0" w:space="0" w:color="auto" w:frame="1"/>
          <w:lang w:eastAsia="pt-BR"/>
        </w:rPr>
        <w:br/>
        <w:t>Áreas classificadas, fontes de ignição e seu controle;</w:t>
      </w:r>
      <w:r w:rsidRPr="00823BA1">
        <w:rPr>
          <w:rFonts w:asciiTheme="majorHAnsi" w:eastAsia="Times New Roman" w:hAnsiTheme="majorHAnsi" w:cs="Arial"/>
          <w:color w:val="000000"/>
          <w:sz w:val="24"/>
          <w:szCs w:val="24"/>
          <w:bdr w:val="none" w:sz="0" w:space="0" w:color="auto" w:frame="1"/>
          <w:lang w:eastAsia="pt-BR"/>
        </w:rPr>
        <w:br/>
        <w:t>Riscos ambientais existentes na área da plataforma;</w:t>
      </w:r>
      <w:r w:rsidRPr="00823BA1">
        <w:rPr>
          <w:rFonts w:asciiTheme="majorHAnsi" w:eastAsia="Times New Roman" w:hAnsiTheme="majorHAnsi" w:cs="Arial"/>
          <w:color w:val="000000"/>
          <w:sz w:val="24"/>
          <w:szCs w:val="24"/>
          <w:bdr w:val="none" w:sz="0" w:space="0" w:color="auto" w:frame="1"/>
          <w:lang w:eastAsia="pt-BR"/>
        </w:rPr>
        <w:br/>
        <w:t>Medidas de segurança disponíveis para o controle dos riscos operacionais a bordo;</w:t>
      </w:r>
      <w:r w:rsidRPr="00823BA1">
        <w:rPr>
          <w:rFonts w:asciiTheme="majorHAnsi" w:eastAsia="Times New Roman" w:hAnsiTheme="majorHAnsi" w:cs="Arial"/>
          <w:color w:val="000000"/>
          <w:sz w:val="24"/>
          <w:szCs w:val="24"/>
          <w:bdr w:val="none" w:sz="0" w:space="0" w:color="auto" w:frame="1"/>
          <w:lang w:eastAsia="pt-BR"/>
        </w:rPr>
        <w:br/>
        <w:t xml:space="preserve">Outros riscos inerentes às atividades específicas dos trabalhadores e as suas </w:t>
      </w:r>
      <w:r w:rsidRPr="00823BA1">
        <w:rPr>
          <w:rFonts w:asciiTheme="majorHAnsi" w:eastAsia="Times New Roman" w:hAnsiTheme="majorHAnsi" w:cs="Arial"/>
          <w:color w:val="000000"/>
          <w:sz w:val="24"/>
          <w:szCs w:val="24"/>
          <w:bdr w:val="none" w:sz="0" w:space="0" w:color="auto" w:frame="1"/>
          <w:lang w:eastAsia="pt-BR"/>
        </w:rPr>
        <w:lastRenderedPageBreak/>
        <w:t>medidas de controle e eliminação;</w:t>
      </w:r>
      <w:r w:rsidRPr="00823BA1">
        <w:rPr>
          <w:rFonts w:asciiTheme="majorHAnsi" w:eastAsia="Times New Roman" w:hAnsiTheme="majorHAnsi" w:cs="Arial"/>
          <w:color w:val="000000"/>
          <w:sz w:val="24"/>
          <w:szCs w:val="24"/>
          <w:bdr w:val="none" w:sz="0" w:space="0" w:color="auto" w:frame="1"/>
          <w:lang w:eastAsia="pt-BR"/>
        </w:rPr>
        <w:br/>
        <w:t>Riscos psicossociais decorrentes de vários estressores como jornada prolongada, trabalho em turnos e noturno, abordando seus efeitos nas atividades laborais e na saúde;</w:t>
      </w:r>
      <w:r w:rsidRPr="00823BA1">
        <w:rPr>
          <w:rFonts w:asciiTheme="majorHAnsi" w:eastAsia="Times New Roman" w:hAnsiTheme="majorHAnsi" w:cs="Arial"/>
          <w:color w:val="000000"/>
          <w:sz w:val="24"/>
          <w:szCs w:val="24"/>
          <w:bdr w:val="none" w:sz="0" w:space="0" w:color="auto" w:frame="1"/>
          <w:lang w:eastAsia="pt-BR"/>
        </w:rPr>
        <w:br/>
        <w:t>Riscos radiológicos de origem industrial ou de ocorrência natural, quando existentes;</w:t>
      </w:r>
      <w:r w:rsidRPr="00823BA1">
        <w:rPr>
          <w:rFonts w:asciiTheme="majorHAnsi" w:eastAsia="Times New Roman" w:hAnsiTheme="majorHAnsi" w:cs="Arial"/>
          <w:color w:val="000000"/>
          <w:sz w:val="24"/>
          <w:szCs w:val="24"/>
          <w:bdr w:val="none" w:sz="0" w:space="0" w:color="auto" w:frame="1"/>
          <w:lang w:eastAsia="pt-BR"/>
        </w:rPr>
        <w:br/>
        <w:t>Produtos químicos perigosos e explosivos armazenados e manuseados a bordo;</w:t>
      </w:r>
      <w:r w:rsidRPr="00823BA1">
        <w:rPr>
          <w:rFonts w:asciiTheme="majorHAnsi" w:eastAsia="Times New Roman" w:hAnsiTheme="majorHAnsi" w:cs="Arial"/>
          <w:color w:val="000000"/>
          <w:sz w:val="24"/>
          <w:szCs w:val="24"/>
          <w:bdr w:val="none" w:sz="0" w:space="0" w:color="auto" w:frame="1"/>
          <w:lang w:eastAsia="pt-BR"/>
        </w:rPr>
        <w:br/>
        <w:t>Ficha de Informação de Segurança de Produtos Químicos – FISPQ;</w:t>
      </w:r>
      <w:r w:rsidRPr="00823BA1">
        <w:rPr>
          <w:rFonts w:asciiTheme="majorHAnsi" w:eastAsia="Times New Roman" w:hAnsiTheme="majorHAnsi" w:cs="Arial"/>
          <w:color w:val="000000"/>
          <w:sz w:val="24"/>
          <w:szCs w:val="24"/>
          <w:bdr w:val="none" w:sz="0" w:space="0" w:color="auto" w:frame="1"/>
          <w:lang w:eastAsia="pt-BR"/>
        </w:rPr>
        <w:br/>
        <w:t>Equipamentos de Proteção Coletiva – EPC;</w:t>
      </w:r>
      <w:r w:rsidRPr="00823BA1">
        <w:rPr>
          <w:rFonts w:asciiTheme="majorHAnsi" w:eastAsia="Times New Roman" w:hAnsiTheme="majorHAnsi" w:cs="Arial"/>
          <w:color w:val="000000"/>
          <w:sz w:val="24"/>
          <w:szCs w:val="24"/>
          <w:bdr w:val="none" w:sz="0" w:space="0" w:color="auto" w:frame="1"/>
          <w:lang w:eastAsia="pt-BR"/>
        </w:rPr>
        <w:br/>
        <w:t>Equipamentos de Proteção Individual – EPI;</w:t>
      </w:r>
    </w:p>
    <w:p w:rsidR="00823BA1" w:rsidRPr="004866FD" w:rsidRDefault="004866FD" w:rsidP="004866FD">
      <w:pPr>
        <w:spacing w:after="30" w:line="240" w:lineRule="auto"/>
        <w:textAlignment w:val="baseline"/>
        <w:rPr>
          <w:rFonts w:asciiTheme="majorHAnsi" w:eastAsia="Times New Roman" w:hAnsiTheme="majorHAnsi" w:cs="Arial"/>
          <w:color w:val="000000"/>
          <w:sz w:val="24"/>
          <w:szCs w:val="24"/>
          <w:bdr w:val="none" w:sz="0" w:space="0" w:color="auto" w:frame="1"/>
          <w:lang w:eastAsia="pt-BR"/>
        </w:rPr>
      </w:pPr>
      <w:r w:rsidRPr="00823BA1">
        <w:rPr>
          <w:rFonts w:asciiTheme="majorHAnsi" w:eastAsia="Times New Roman" w:hAnsiTheme="majorHAnsi" w:cs="Times New Roman"/>
          <w:color w:val="000000"/>
          <w:sz w:val="24"/>
          <w:szCs w:val="24"/>
          <w:lang w:eastAsia="pt-BR"/>
        </w:rPr>
        <w:t xml:space="preserve">Plano de resposta a </w:t>
      </w:r>
      <w:r w:rsidRPr="004866FD">
        <w:rPr>
          <w:rFonts w:asciiTheme="majorHAnsi" w:eastAsia="Times New Roman" w:hAnsiTheme="majorHAnsi" w:cs="Times New Roman"/>
          <w:color w:val="000000"/>
          <w:sz w:val="24"/>
          <w:szCs w:val="24"/>
          <w:lang w:eastAsia="pt-BR"/>
        </w:rPr>
        <w:t xml:space="preserve">emergências: Elaboração do PRE, </w:t>
      </w:r>
      <w:proofErr w:type="spellStart"/>
      <w:r w:rsidRPr="004866FD">
        <w:rPr>
          <w:rFonts w:asciiTheme="majorHAnsi" w:eastAsia="Times New Roman" w:hAnsiTheme="majorHAnsi" w:cs="Times New Roman"/>
          <w:color w:val="000000"/>
          <w:sz w:val="24"/>
          <w:szCs w:val="24"/>
          <w:lang w:eastAsia="pt-BR"/>
        </w:rPr>
        <w:t>etc</w:t>
      </w:r>
      <w:proofErr w:type="spellEnd"/>
      <w:r w:rsidR="00823BA1" w:rsidRPr="00823BA1">
        <w:rPr>
          <w:rFonts w:asciiTheme="majorHAnsi" w:eastAsia="Times New Roman" w:hAnsiTheme="majorHAnsi" w:cs="Arial"/>
          <w:color w:val="000000"/>
          <w:sz w:val="24"/>
          <w:szCs w:val="24"/>
          <w:bdr w:val="none" w:sz="0" w:space="0" w:color="auto" w:frame="1"/>
          <w:lang w:eastAsia="pt-BR"/>
        </w:rPr>
        <w:br/>
        <w:t>Procedimentos a serem adotados em situações de emergência.</w:t>
      </w:r>
    </w:p>
    <w:p w:rsidR="004866FD" w:rsidRPr="00823BA1" w:rsidRDefault="004866FD" w:rsidP="004866FD">
      <w:pPr>
        <w:spacing w:after="30" w:line="240" w:lineRule="auto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</w:p>
    <w:p w:rsidR="00823BA1" w:rsidRPr="00823BA1" w:rsidRDefault="00823BA1" w:rsidP="00823BA1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1"/>
          <w:szCs w:val="21"/>
          <w:lang w:eastAsia="pt-BR"/>
        </w:rPr>
      </w:pPr>
      <w:r w:rsidRPr="00823BA1">
        <w:rPr>
          <w:rFonts w:ascii="Arial" w:eastAsia="Times New Roman" w:hAnsi="Arial" w:cs="Arial"/>
          <w:b/>
          <w:bCs/>
          <w:color w:val="000000"/>
          <w:sz w:val="21"/>
          <w:lang w:eastAsia="pt-BR"/>
        </w:rPr>
        <w:t>Este Curso</w:t>
      </w:r>
      <w:r w:rsidRPr="00823BA1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lang w:eastAsia="pt-BR"/>
        </w:rPr>
        <w:t xml:space="preserve"> é obrigatório </w:t>
      </w:r>
      <w:proofErr w:type="gramStart"/>
      <w:r w:rsidRPr="00823BA1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lang w:eastAsia="pt-BR"/>
        </w:rPr>
        <w:t xml:space="preserve">para </w:t>
      </w:r>
      <w:proofErr w:type="spellStart"/>
      <w:r w:rsidRPr="00823BA1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lang w:eastAsia="pt-BR"/>
        </w:rPr>
        <w:t>para</w:t>
      </w:r>
      <w:proofErr w:type="spellEnd"/>
      <w:proofErr w:type="gramEnd"/>
      <w:r w:rsidRPr="00823BA1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lang w:eastAsia="pt-BR"/>
        </w:rPr>
        <w:t xml:space="preserve"> todas as empresas privadas e públicas, além dos órgãos públicos da administração direta e indireta, desde que possuam empregados regidos de acordo com a CLT.</w:t>
      </w:r>
    </w:p>
    <w:p w:rsidR="00823BA1" w:rsidRDefault="00823BA1"/>
    <w:p w:rsidR="004866FD" w:rsidRDefault="004866FD"/>
    <w:p w:rsidR="004866FD" w:rsidRDefault="004866FD" w:rsidP="004866F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lang w:eastAsia="pt-BR"/>
        </w:rPr>
      </w:pPr>
      <w:r w:rsidRPr="00823BA1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lang w:eastAsia="pt-BR"/>
        </w:rPr>
        <w:t>Meios e procedimentos de acesso à plataforma;</w:t>
      </w:r>
    </w:p>
    <w:p w:rsidR="004866FD" w:rsidRDefault="004866FD" w:rsidP="004866F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lang w:eastAsia="pt-BR"/>
        </w:rPr>
      </w:pPr>
      <w:r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lang w:eastAsia="pt-BR"/>
        </w:rPr>
        <w:t xml:space="preserve">Plataformas em operação </w:t>
      </w:r>
      <w:proofErr w:type="spellStart"/>
      <w:r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lang w:eastAsia="pt-BR"/>
        </w:rPr>
        <w:t>temporaria</w:t>
      </w:r>
      <w:proofErr w:type="spellEnd"/>
      <w:r w:rsidRPr="00823BA1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lang w:eastAsia="pt-BR"/>
        </w:rPr>
        <w:br/>
        <w:t>Condições e meio ambiente de trabalho;</w:t>
      </w:r>
      <w:r w:rsidRPr="00823BA1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lang w:eastAsia="pt-BR"/>
        </w:rPr>
        <w:br/>
        <w:t>Substâncias combustíveis e inflamáveis presentes a bordo: características, propriedades, perigos e riscos;</w:t>
      </w:r>
      <w:r w:rsidRPr="00823BA1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lang w:eastAsia="pt-BR"/>
        </w:rPr>
        <w:br/>
        <w:t>Áreas classificadas, fontes de ignição e seu controle;</w:t>
      </w:r>
      <w:r w:rsidRPr="00823BA1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lang w:eastAsia="pt-BR"/>
        </w:rPr>
        <w:br/>
        <w:t>Riscos ambientais existentes na área da plataforma;</w:t>
      </w:r>
      <w:r w:rsidRPr="00823BA1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lang w:eastAsia="pt-BR"/>
        </w:rPr>
        <w:br/>
        <w:t>Medidas de segurança disponíveis para o controle dos riscos operacionais a bordo;</w:t>
      </w:r>
      <w:r w:rsidRPr="00823BA1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lang w:eastAsia="pt-BR"/>
        </w:rPr>
        <w:br/>
        <w:t>Outros riscos inerentes às atividades específicas dos trabalhadores e as suas medidas de controle e eliminação;</w:t>
      </w:r>
      <w:r w:rsidRPr="00823BA1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lang w:eastAsia="pt-BR"/>
        </w:rPr>
        <w:br/>
        <w:t>Riscos psicossociais decorrentes de vários estressores como jornada prolongada, trabalho em turnos e noturno, abordando seus efeitos nas atividades laborais e na saúde;</w:t>
      </w:r>
      <w:r w:rsidRPr="00823BA1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lang w:eastAsia="pt-BR"/>
        </w:rPr>
        <w:br/>
        <w:t>Riscos radiológicos de origem industrial ou de ocorrência natural, quando existentes;</w:t>
      </w:r>
      <w:r w:rsidRPr="00823BA1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lang w:eastAsia="pt-BR"/>
        </w:rPr>
        <w:br/>
        <w:t>Produtos químicos perigosos e explosivos armazenados e manuseados a bordo;</w:t>
      </w:r>
      <w:r w:rsidRPr="00823BA1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lang w:eastAsia="pt-BR"/>
        </w:rPr>
        <w:br/>
        <w:t>Ficha de Informação de Segurança de Produtos Químicos – FISPQ;</w:t>
      </w:r>
    </w:p>
    <w:p w:rsidR="004866FD" w:rsidRPr="00823BA1" w:rsidRDefault="004866FD" w:rsidP="004866FD">
      <w:pPr>
        <w:spacing w:after="30" w:line="240" w:lineRule="auto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SESMT e CIPLAT: Critérios e obrigações para o dimensionamento a bordo e em terra</w:t>
      </w:r>
    </w:p>
    <w:p w:rsidR="004866FD" w:rsidRPr="00823BA1" w:rsidRDefault="004866FD" w:rsidP="004866FD">
      <w:pPr>
        <w:spacing w:after="30" w:line="240" w:lineRule="auto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PPRA para plataformas: Regras específicas</w:t>
      </w:r>
    </w:p>
    <w:p w:rsidR="004866FD" w:rsidRPr="00823BA1" w:rsidRDefault="004866FD" w:rsidP="004866F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1"/>
          <w:szCs w:val="21"/>
          <w:lang w:eastAsia="pt-BR"/>
        </w:rPr>
      </w:pPr>
      <w:r w:rsidRPr="00823BA1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lang w:eastAsia="pt-BR"/>
        </w:rPr>
        <w:br/>
        <w:t>Equipamentos de Proteção Coletiva – EPC;</w:t>
      </w:r>
      <w:r w:rsidRPr="00823BA1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lang w:eastAsia="pt-BR"/>
        </w:rPr>
        <w:br/>
        <w:t>Equipamentos de Proteção Individual – EPI;</w:t>
      </w:r>
      <w:r w:rsidRPr="00823BA1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lang w:eastAsia="pt-BR"/>
        </w:rPr>
        <w:br/>
        <w:t>Procedimentos a serem adotados em situações de emergência.</w:t>
      </w:r>
    </w:p>
    <w:p w:rsidR="004866FD" w:rsidRPr="00823BA1" w:rsidRDefault="004866FD" w:rsidP="004866FD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Prazos Iniciais e disposições transitórias</w:t>
      </w:r>
    </w:p>
    <w:p w:rsidR="004866FD" w:rsidRPr="00823BA1" w:rsidRDefault="004866FD" w:rsidP="004866FD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Plataformas em operação temporária</w:t>
      </w:r>
    </w:p>
    <w:p w:rsidR="004866FD" w:rsidRPr="00823BA1" w:rsidRDefault="004866FD" w:rsidP="004866FD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Operadora de Instalação e operadoras de contrato: conceitos e responsabilidades</w:t>
      </w:r>
    </w:p>
    <w:p w:rsidR="004866FD" w:rsidRPr="00823BA1" w:rsidRDefault="004866FD" w:rsidP="004866FD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Empresas terceirizadas a bordo: Obrigações e responsabilidades</w:t>
      </w:r>
    </w:p>
    <w:p w:rsidR="004866FD" w:rsidRPr="00823BA1" w:rsidRDefault="004866FD" w:rsidP="004866FD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DIM – Declaração de Instalação Marítima: Conteúdo e Elaboração</w:t>
      </w:r>
    </w:p>
    <w:p w:rsidR="004866FD" w:rsidRPr="00823BA1" w:rsidRDefault="004866FD" w:rsidP="004866FD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lastRenderedPageBreak/>
        <w:t xml:space="preserve">Obras a bordo: critérios para </w:t>
      </w:r>
      <w:proofErr w:type="spellStart"/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comissionamento</w:t>
      </w:r>
      <w:proofErr w:type="spellEnd"/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 xml:space="preserve">, ampliação, modificação, manutenção, reparo, </w:t>
      </w:r>
      <w:proofErr w:type="spellStart"/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descomissionamento</w:t>
      </w:r>
      <w:proofErr w:type="spellEnd"/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 xml:space="preserve"> e desmonte de plataformas</w:t>
      </w:r>
    </w:p>
    <w:p w:rsidR="004866FD" w:rsidRPr="00823BA1" w:rsidRDefault="004866FD" w:rsidP="004866FD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Documentação obrigatória a bordo: prazos e conteúdos</w:t>
      </w:r>
    </w:p>
    <w:p w:rsidR="004866FD" w:rsidRPr="00823BA1" w:rsidRDefault="004866FD" w:rsidP="004866FD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Capacitação, qualificação e habilitação: Aplicação, responsabilidade, tipos, conteúdo e cursos obrigatórios específicos.</w:t>
      </w:r>
    </w:p>
    <w:p w:rsidR="004866FD" w:rsidRPr="00823BA1" w:rsidRDefault="004866FD" w:rsidP="004866FD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SESMT e CIPLAT: Critérios e obrigações para o dimensionamento a bordo e em terra</w:t>
      </w:r>
    </w:p>
    <w:p w:rsidR="004866FD" w:rsidRDefault="004866FD" w:rsidP="004866FD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  <w:r w:rsidRPr="00823BA1"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  <w:t>PPRA para plataformas: Regras específicas</w:t>
      </w:r>
    </w:p>
    <w:p w:rsidR="002C0D52" w:rsidRPr="00823BA1" w:rsidRDefault="002C0D52" w:rsidP="004866FD">
      <w:pPr>
        <w:numPr>
          <w:ilvl w:val="0"/>
          <w:numId w:val="1"/>
        </w:numPr>
        <w:spacing w:after="30" w:line="240" w:lineRule="auto"/>
        <w:ind w:left="750"/>
        <w:textAlignment w:val="baseline"/>
        <w:rPr>
          <w:rFonts w:ascii="inherit" w:eastAsia="Times New Roman" w:hAnsi="inherit" w:cs="Times New Roman"/>
          <w:color w:val="000000"/>
          <w:sz w:val="27"/>
          <w:szCs w:val="27"/>
          <w:lang w:eastAsia="pt-BR"/>
        </w:rPr>
      </w:pP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>Objetivo e Campo de Aplicação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>. Obrigações Gerais - Responsabilidades e Competências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>Responsabilidades da Contratante e da Contratada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 xml:space="preserve"> Direitos dos Trabalhadores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 xml:space="preserve">. </w:t>
      </w:r>
      <w:proofErr w:type="gramStart"/>
      <w:r>
        <w:rPr>
          <w:rFonts w:ascii="Arial" w:hAnsi="Arial" w:cs="Arial"/>
          <w:color w:val="162937"/>
        </w:rPr>
        <w:t>declaração</w:t>
      </w:r>
      <w:proofErr w:type="gramEnd"/>
      <w:r>
        <w:rPr>
          <w:rFonts w:ascii="Arial" w:hAnsi="Arial" w:cs="Arial"/>
          <w:color w:val="162937"/>
        </w:rPr>
        <w:t xml:space="preserve"> da Instalação Marítima - DIM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 xml:space="preserve"> </w:t>
      </w:r>
      <w:proofErr w:type="spellStart"/>
      <w:r>
        <w:rPr>
          <w:rFonts w:ascii="Arial" w:hAnsi="Arial" w:cs="Arial"/>
          <w:color w:val="162937"/>
        </w:rPr>
        <w:t>Comissionamento</w:t>
      </w:r>
      <w:proofErr w:type="spellEnd"/>
      <w:r>
        <w:rPr>
          <w:rFonts w:ascii="Arial" w:hAnsi="Arial" w:cs="Arial"/>
          <w:color w:val="162937"/>
        </w:rPr>
        <w:t xml:space="preserve">, Ampliação, Modificação, Manutenção, Reparo, </w:t>
      </w:r>
      <w:proofErr w:type="spellStart"/>
      <w:r>
        <w:rPr>
          <w:rFonts w:ascii="Arial" w:hAnsi="Arial" w:cs="Arial"/>
          <w:color w:val="162937"/>
        </w:rPr>
        <w:t>Descomissionamento</w:t>
      </w:r>
      <w:proofErr w:type="spellEnd"/>
      <w:r>
        <w:rPr>
          <w:rFonts w:ascii="Arial" w:hAnsi="Arial" w:cs="Arial"/>
          <w:color w:val="162937"/>
        </w:rPr>
        <w:t xml:space="preserve"> e Desmonte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>. Documentação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 xml:space="preserve"> Capacitação, Qualificação e Habilitação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 xml:space="preserve"> Serviços Especializados em Segurança e em Medicina do Trabalho - SESMT</w:t>
      </w:r>
    </w:p>
    <w:p w:rsidR="004866FD" w:rsidRPr="002C0D52" w:rsidRDefault="002C0D52" w:rsidP="002C0D52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 w:rsidRPr="002C0D52">
        <w:rPr>
          <w:rFonts w:ascii="Arial" w:hAnsi="Arial" w:cs="Arial"/>
          <w:color w:val="162937"/>
        </w:rPr>
        <w:t xml:space="preserve"> </w:t>
      </w:r>
      <w:r w:rsidR="004866FD" w:rsidRPr="002C0D52">
        <w:rPr>
          <w:rFonts w:ascii="Arial" w:hAnsi="Arial" w:cs="Arial"/>
          <w:color w:val="162937"/>
        </w:rPr>
        <w:t>Comissão Interna de Prevenção de Acidentes em Plataformas - CIPLAT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 xml:space="preserve"> Programa de Prevenção de Riscos Ambientais - PPRA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 xml:space="preserve"> Atenção à Saúde na Plataforma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 xml:space="preserve"> Meios de Acesso à Plataforma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>Condições de Vivência a Bordo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 xml:space="preserve"> Alimentação a Bordo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 xml:space="preserve"> Climatização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>. Sinalização de Segurança e Saúde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>. Instalações Elétricas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 xml:space="preserve"> Armazenamento de Substâncias Perigosas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>Movimentação e Transporte de Cargas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>Caldeiras, Vasos de Pressão e Tubulações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 xml:space="preserve"> Análises de Risco das Instalações e Processos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>Inspeções de Segurança e Saúde a Bordo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 xml:space="preserve"> Inspeções e Manutenções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lastRenderedPageBreak/>
        <w:t>. Procedimentos Operacionais e da Organização do Trabalho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>. Sistema de Detecção e Alarme de Incêndio e Gases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>Prevenção e Controle de Vazamentos Derramamentos, Incêndios e Explosões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>. Proteção e Combate a Incêndios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 xml:space="preserve"> Proteção Contra Radiações Ionizantes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>. Plano de Resposta a Emergências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 xml:space="preserve"> Sistema de Drenagem, de Tratamento e de Disposição de Resíduos</w:t>
      </w:r>
    </w:p>
    <w:p w:rsidR="004866FD" w:rsidRDefault="004866FD" w:rsidP="004866FD">
      <w:pPr>
        <w:pStyle w:val="dou-paragraph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162937"/>
        </w:rPr>
      </w:pPr>
      <w:r>
        <w:rPr>
          <w:rFonts w:ascii="Arial" w:hAnsi="Arial" w:cs="Arial"/>
          <w:color w:val="162937"/>
        </w:rPr>
        <w:t>Comunicação e Investigação de Acidentes</w:t>
      </w:r>
    </w:p>
    <w:p w:rsidR="004866FD" w:rsidRDefault="004866FD"/>
    <w:sectPr w:rsidR="004866FD" w:rsidSect="009F0D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altName w:val="Wingdings 3"/>
    <w:panose1 w:val="05050102010706020507"/>
    <w:charset w:val="02"/>
    <w:family w:val="roman"/>
    <w:notTrueType/>
    <w:pitch w:val="default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D76977"/>
    <w:multiLevelType w:val="multilevel"/>
    <w:tmpl w:val="9F9C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823BA1"/>
    <w:rsid w:val="002C0D52"/>
    <w:rsid w:val="003C5DB8"/>
    <w:rsid w:val="004866FD"/>
    <w:rsid w:val="00823BA1"/>
    <w:rsid w:val="00973482"/>
    <w:rsid w:val="009F0DA9"/>
    <w:rsid w:val="00B62252"/>
    <w:rsid w:val="00FF23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0DA9"/>
  </w:style>
  <w:style w:type="paragraph" w:styleId="Ttulo1">
    <w:name w:val="heading 1"/>
    <w:basedOn w:val="Normal"/>
    <w:next w:val="Normal"/>
    <w:link w:val="Ttulo1Char"/>
    <w:uiPriority w:val="9"/>
    <w:qFormat/>
    <w:rsid w:val="00823B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har"/>
    <w:uiPriority w:val="9"/>
    <w:qFormat/>
    <w:rsid w:val="00823B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23BA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23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23BA1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823B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ou-paragraph">
    <w:name w:val="dou-paragraph"/>
    <w:basedOn w:val="Normal"/>
    <w:rsid w:val="00486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3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1249</Words>
  <Characters>6745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2020-08-22T13:50:00Z</dcterms:created>
  <dcterms:modified xsi:type="dcterms:W3CDTF">2020-08-22T13:50:00Z</dcterms:modified>
</cp:coreProperties>
</file>