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7BD" w:rsidRDefault="008067BD" w:rsidP="008067BD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-BoldMT" w:hAnsi="TimesNewRomanPSMT" w:cs="TimesNewRomanPSMT"/>
          <w:sz w:val="24"/>
          <w:szCs w:val="24"/>
        </w:rPr>
      </w:pPr>
      <w:r>
        <w:rPr>
          <w:rFonts w:ascii="TimesNewRomanPSMT" w:eastAsia="TimesNewRomanPS-BoldMT" w:hAnsi="TimesNewRomanPSMT" w:cs="TimesNewRomanPSMT"/>
          <w:sz w:val="24"/>
          <w:szCs w:val="24"/>
        </w:rPr>
        <w:t>•</w:t>
      </w:r>
    </w:p>
    <w:p w:rsidR="008067BD" w:rsidRPr="008067BD" w:rsidRDefault="008067BD" w:rsidP="008067B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b/>
          <w:bCs/>
          <w:sz w:val="28"/>
          <w:szCs w:val="28"/>
        </w:rPr>
      </w:pPr>
      <w:r w:rsidRPr="008067BD">
        <w:rPr>
          <w:rFonts w:ascii="Arial" w:eastAsia="TimesNewRomanPS-BoldMT" w:hAnsi="Arial" w:cs="Arial"/>
          <w:b/>
          <w:bCs/>
          <w:sz w:val="28"/>
          <w:szCs w:val="28"/>
        </w:rPr>
        <w:t>INTRODUÇÃO</w:t>
      </w:r>
    </w:p>
    <w:p w:rsid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  <w:r w:rsidRPr="008067BD">
        <w:rPr>
          <w:rFonts w:ascii="Arial" w:eastAsia="TimesNewRomanPS-BoldMT" w:hAnsi="Arial" w:cs="Arial"/>
          <w:sz w:val="28"/>
          <w:szCs w:val="28"/>
        </w:rPr>
        <w:t>A NR26 trata da sinalização de segurança abrangendo cores, identificações e rotulagem de produtos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>químicos e também das Fichas com Dados de Segurança que devem s</w:t>
      </w:r>
      <w:r>
        <w:rPr>
          <w:rFonts w:ascii="Arial" w:eastAsia="TimesNewRomanPS-BoldMT" w:hAnsi="Arial" w:cs="Arial"/>
          <w:sz w:val="28"/>
          <w:szCs w:val="28"/>
        </w:rPr>
        <w:t xml:space="preserve">er elaboradas pelo fabricante ou </w:t>
      </w:r>
      <w:r w:rsidRPr="008067BD">
        <w:rPr>
          <w:rFonts w:ascii="Arial" w:eastAsia="TimesNewRomanPS-BoldMT" w:hAnsi="Arial" w:cs="Arial"/>
          <w:sz w:val="28"/>
          <w:szCs w:val="28"/>
        </w:rPr>
        <w:t>fornecedor nacional desses produtos.</w:t>
      </w:r>
    </w:p>
    <w:p w:rsidR="008067BD" w:rsidRP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</w:p>
    <w:p w:rsidR="008067BD" w:rsidRP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b/>
          <w:bCs/>
          <w:sz w:val="28"/>
          <w:szCs w:val="28"/>
        </w:rPr>
      </w:pPr>
      <w:r w:rsidRPr="008067BD">
        <w:rPr>
          <w:rFonts w:ascii="Arial" w:eastAsia="TimesNewRomanPS-BoldMT" w:hAnsi="Arial" w:cs="Arial"/>
          <w:b/>
          <w:bCs/>
          <w:sz w:val="28"/>
          <w:szCs w:val="28"/>
        </w:rPr>
        <w:t>CORES DE SEGURANÇA</w:t>
      </w:r>
    </w:p>
    <w:p w:rsid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  <w:r w:rsidRPr="008067BD">
        <w:rPr>
          <w:rFonts w:ascii="Arial" w:eastAsia="TimesNewRomanPS-BoldMT" w:hAnsi="Arial" w:cs="Arial"/>
          <w:sz w:val="28"/>
          <w:szCs w:val="28"/>
        </w:rPr>
        <w:t>As cores de segurança têm o objetivo de indicar e advertir sobre os riscos existentes no ambiente de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>trabalho. Também identificam equipamentos de segurança, delimitam áreas e identificam tubulações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>empregadas para a condução de líquidos e gases. Ao contrário da redação anterior, que continha a lista de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 xml:space="preserve">cores a </w:t>
      </w:r>
      <w:proofErr w:type="gramStart"/>
      <w:r w:rsidRPr="008067BD">
        <w:rPr>
          <w:rFonts w:ascii="Arial" w:eastAsia="TimesNewRomanPS-BoldMT" w:hAnsi="Arial" w:cs="Arial"/>
          <w:sz w:val="28"/>
          <w:szCs w:val="28"/>
        </w:rPr>
        <w:t>serem</w:t>
      </w:r>
      <w:proofErr w:type="gramEnd"/>
      <w:r w:rsidRPr="008067BD">
        <w:rPr>
          <w:rFonts w:ascii="Arial" w:eastAsia="TimesNewRomanPS-BoldMT" w:hAnsi="Arial" w:cs="Arial"/>
          <w:sz w:val="28"/>
          <w:szCs w:val="28"/>
        </w:rPr>
        <w:t xml:space="preserve"> utilizadas nos equipamentos e sinalizações de segurança, a redação atual da NR26 remete à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 xml:space="preserve">obrigatoriedade de tal utilização às normas técnicas oficiais. Dentre estas, destaco a norma ABNT NBR </w:t>
      </w:r>
      <w:r>
        <w:rPr>
          <w:rFonts w:ascii="Arial" w:eastAsia="TimesNewRomanPS-BoldMT" w:hAnsi="Arial" w:cs="Arial"/>
          <w:sz w:val="28"/>
          <w:szCs w:val="28"/>
        </w:rPr>
        <w:t xml:space="preserve">ISSO </w:t>
      </w:r>
      <w:r w:rsidRPr="008067BD">
        <w:rPr>
          <w:rFonts w:ascii="Arial" w:eastAsia="TimesNewRomanPS-BoldMT" w:hAnsi="Arial" w:cs="Arial"/>
          <w:sz w:val="28"/>
          <w:szCs w:val="28"/>
        </w:rPr>
        <w:t>3864-</w:t>
      </w:r>
      <w:proofErr w:type="gramStart"/>
      <w:r w:rsidRPr="008067BD">
        <w:rPr>
          <w:rFonts w:ascii="Arial" w:eastAsia="TimesNewRomanPS-BoldMT" w:hAnsi="Arial" w:cs="Arial"/>
          <w:sz w:val="28"/>
          <w:szCs w:val="28"/>
        </w:rPr>
        <w:t>1:2013</w:t>
      </w:r>
      <w:proofErr w:type="gramEnd"/>
      <w:r w:rsidRPr="008067BD">
        <w:rPr>
          <w:rFonts w:ascii="Arial" w:eastAsia="TimesNewRomanPS-BoldMT" w:hAnsi="Arial" w:cs="Arial"/>
          <w:sz w:val="28"/>
          <w:szCs w:val="28"/>
        </w:rPr>
        <w:t>: Símbolos gráficos – Cores e sinais de segurança.</w:t>
      </w:r>
    </w:p>
    <w:p w:rsidR="008067BD" w:rsidRP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</w:p>
    <w:p w:rsid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b/>
          <w:bCs/>
          <w:sz w:val="28"/>
          <w:szCs w:val="28"/>
        </w:rPr>
      </w:pPr>
      <w:r w:rsidRPr="008067BD">
        <w:rPr>
          <w:rFonts w:ascii="Arial" w:eastAsia="TimesNewRomanPS-BoldMT" w:hAnsi="Arial" w:cs="Arial"/>
          <w:b/>
          <w:bCs/>
          <w:sz w:val="28"/>
          <w:szCs w:val="28"/>
        </w:rPr>
        <w:t>SISTEMA GLOBALMENTE HARMONIZADO</w:t>
      </w:r>
    </w:p>
    <w:p w:rsidR="008067BD" w:rsidRP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b/>
          <w:bCs/>
          <w:sz w:val="28"/>
          <w:szCs w:val="28"/>
        </w:rPr>
      </w:pPr>
    </w:p>
    <w:p w:rsidR="008067BD" w:rsidRP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  <w:r>
        <w:rPr>
          <w:rFonts w:ascii="Arial" w:eastAsia="TimesNewRomanPS-BoldMT" w:hAnsi="Arial" w:cs="Arial"/>
          <w:sz w:val="28"/>
          <w:szCs w:val="28"/>
        </w:rPr>
        <w:t xml:space="preserve">   </w:t>
      </w:r>
      <w:r w:rsidRPr="008067BD">
        <w:rPr>
          <w:rFonts w:ascii="Arial" w:eastAsia="TimesNewRomanPS-BoldMT" w:hAnsi="Arial" w:cs="Arial"/>
          <w:sz w:val="28"/>
          <w:szCs w:val="28"/>
        </w:rPr>
        <w:t>O Sistema Globalmente Harmonizado para a Classificação e Rotulagem de Produtos Químicos (SGH),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>ou simplesmente Sistema Globalmente Harmonizado (</w:t>
      </w:r>
      <w:proofErr w:type="spellStart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>Globally</w:t>
      </w:r>
      <w:proofErr w:type="spellEnd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 xml:space="preserve"> </w:t>
      </w:r>
      <w:proofErr w:type="spellStart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>Harmonized</w:t>
      </w:r>
      <w:proofErr w:type="spellEnd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 xml:space="preserve"> System </w:t>
      </w:r>
      <w:proofErr w:type="spellStart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>of</w:t>
      </w:r>
      <w:proofErr w:type="spellEnd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 xml:space="preserve"> </w:t>
      </w:r>
      <w:proofErr w:type="spellStart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>Classification</w:t>
      </w:r>
      <w:proofErr w:type="spellEnd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 xml:space="preserve"> </w:t>
      </w:r>
      <w:proofErr w:type="spellStart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>and</w:t>
      </w:r>
      <w:proofErr w:type="spellEnd"/>
      <w:r>
        <w:rPr>
          <w:rFonts w:ascii="Arial" w:eastAsia="TimesNewRomanPS-BoldMT" w:hAnsi="Arial" w:cs="Arial"/>
          <w:sz w:val="28"/>
          <w:szCs w:val="28"/>
        </w:rPr>
        <w:t xml:space="preserve"> </w:t>
      </w:r>
      <w:proofErr w:type="spellStart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>Labelling</w:t>
      </w:r>
      <w:proofErr w:type="spellEnd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 xml:space="preserve"> </w:t>
      </w:r>
      <w:proofErr w:type="spellStart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>of</w:t>
      </w:r>
      <w:proofErr w:type="spellEnd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 xml:space="preserve"> </w:t>
      </w:r>
      <w:proofErr w:type="spellStart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>Chemicals</w:t>
      </w:r>
      <w:proofErr w:type="spellEnd"/>
      <w:r w:rsidRPr="008067BD">
        <w:rPr>
          <w:rFonts w:ascii="Arial" w:eastAsia="TimesNewRomanPS-BoldMT" w:hAnsi="Arial" w:cs="Arial"/>
          <w:i/>
          <w:iCs/>
          <w:sz w:val="28"/>
          <w:szCs w:val="28"/>
        </w:rPr>
        <w:t xml:space="preserve"> – GHS)</w:t>
      </w:r>
      <w:r w:rsidRPr="008067BD">
        <w:rPr>
          <w:rFonts w:ascii="Arial" w:eastAsia="TimesNewRomanPS-BoldMT" w:hAnsi="Arial" w:cs="Arial"/>
          <w:sz w:val="28"/>
          <w:szCs w:val="28"/>
        </w:rPr>
        <w:t xml:space="preserve">, é um sistema que tem por objetivo a padronização </w:t>
      </w:r>
      <w:r w:rsidRPr="008067BD">
        <w:rPr>
          <w:rFonts w:ascii="Arial" w:eastAsia="TimesNewRomanPS-BoldMT" w:hAnsi="Arial" w:cs="Arial"/>
          <w:b/>
          <w:bCs/>
          <w:sz w:val="28"/>
          <w:szCs w:val="28"/>
        </w:rPr>
        <w:t xml:space="preserve">mundial </w:t>
      </w:r>
      <w:r w:rsidRPr="008067BD">
        <w:rPr>
          <w:rFonts w:ascii="Arial" w:eastAsia="TimesNewRomanPS-BoldMT" w:hAnsi="Arial" w:cs="Arial"/>
          <w:sz w:val="28"/>
          <w:szCs w:val="28"/>
        </w:rPr>
        <w:t>para a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proofErr w:type="spellStart"/>
      <w:r w:rsidRPr="008067BD">
        <w:rPr>
          <w:rFonts w:ascii="Arial" w:eastAsia="TimesNewRomanPS-BoldMT" w:hAnsi="Arial" w:cs="Arial"/>
          <w:sz w:val="28"/>
          <w:szCs w:val="28"/>
        </w:rPr>
        <w:t>lassificaçã</w:t>
      </w:r>
      <w:r>
        <w:rPr>
          <w:rFonts w:ascii="Arial" w:eastAsia="TimesNewRomanPS-BoldMT" w:hAnsi="Arial" w:cs="Arial"/>
          <w:sz w:val="28"/>
          <w:szCs w:val="28"/>
        </w:rPr>
        <w:t>o</w:t>
      </w:r>
      <w:proofErr w:type="spellEnd"/>
      <w:r>
        <w:rPr>
          <w:rFonts w:ascii="Arial" w:eastAsia="TimesNewRomanPS-BoldMT" w:hAnsi="Arial" w:cs="Arial"/>
          <w:sz w:val="28"/>
          <w:szCs w:val="28"/>
        </w:rPr>
        <w:t xml:space="preserve">, rotulagem </w:t>
      </w:r>
      <w:r w:rsidRPr="008067BD">
        <w:rPr>
          <w:rFonts w:ascii="Arial" w:eastAsia="TimesNewRomanPS-BoldMT" w:hAnsi="Arial" w:cs="Arial"/>
          <w:sz w:val="28"/>
          <w:szCs w:val="28"/>
        </w:rPr>
        <w:t>e fichas de dados de segurança de produtos químicos com utilização de símbolos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 xml:space="preserve">facilmente compreensíveis. O sistema visa </w:t>
      </w:r>
      <w:proofErr w:type="gramStart"/>
      <w:r w:rsidRPr="008067BD">
        <w:rPr>
          <w:rFonts w:ascii="Arial" w:eastAsia="TimesNewRomanPS-BoldMT" w:hAnsi="Arial" w:cs="Arial"/>
          <w:sz w:val="28"/>
          <w:szCs w:val="28"/>
        </w:rPr>
        <w:t>a</w:t>
      </w:r>
      <w:proofErr w:type="gramEnd"/>
      <w:r w:rsidRPr="008067BD">
        <w:rPr>
          <w:rFonts w:ascii="Arial" w:eastAsia="TimesNewRomanPS-BoldMT" w:hAnsi="Arial" w:cs="Arial"/>
          <w:sz w:val="28"/>
          <w:szCs w:val="28"/>
        </w:rPr>
        <w:t xml:space="preserve"> gestão segura desses produtos, de forma a garantir maior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>proteção à saúde humana e ao meio ambiente durante o seu manuseio, transporte e uso final. A expressão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>“produto químico” é</w:t>
      </w:r>
      <w:r>
        <w:rPr>
          <w:rFonts w:ascii="Arial" w:eastAsia="TimesNewRomanPS-BoldMT" w:hAnsi="Arial" w:cs="Arial"/>
          <w:sz w:val="28"/>
          <w:szCs w:val="28"/>
        </w:rPr>
        <w:t xml:space="preserve"> usada </w:t>
      </w:r>
      <w:r w:rsidRPr="008067BD">
        <w:rPr>
          <w:rFonts w:ascii="Arial" w:eastAsia="TimesNewRomanPS-BoldMT" w:hAnsi="Arial" w:cs="Arial"/>
          <w:sz w:val="28"/>
          <w:szCs w:val="28"/>
        </w:rPr>
        <w:t>amplamente para designar substâncias, produtos, misturas, preparados ou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>quaisquer outros termos adotados nos sistemas existentes. A padronização do SGH alicerça-se em:</w:t>
      </w:r>
    </w:p>
    <w:p w:rsidR="008067BD" w:rsidRP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  <w:r w:rsidRPr="008067BD">
        <w:rPr>
          <w:rFonts w:ascii="Arial" w:eastAsia="TimesNewRomanPS-BoldMT" w:hAnsi="Arial" w:cs="Arial"/>
          <w:sz w:val="28"/>
          <w:szCs w:val="28"/>
        </w:rPr>
        <w:t>Definição dos perigos dos produtos químicos;</w:t>
      </w:r>
    </w:p>
    <w:p w:rsidR="008067BD" w:rsidRP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  <w:r w:rsidRPr="008067BD">
        <w:rPr>
          <w:rFonts w:ascii="Arial" w:eastAsia="TimesNewRomanPS-BoldMT" w:hAnsi="Arial" w:cs="Arial"/>
          <w:sz w:val="28"/>
          <w:szCs w:val="28"/>
        </w:rPr>
        <w:t>Criação de processos de classificação que usem os dados disponíveis sobre os produtos químicos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>que são comparados a critérios de perigo já definidos;</w:t>
      </w:r>
    </w:p>
    <w:p w:rsid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  <w:r w:rsidRPr="008067BD">
        <w:rPr>
          <w:rFonts w:ascii="Arial" w:eastAsia="TimesNewRomanPS-BoldMT" w:hAnsi="Arial" w:cs="Arial"/>
          <w:sz w:val="28"/>
          <w:szCs w:val="28"/>
        </w:rPr>
        <w:t>Comunicação da informação de perigo em rótulos e FISPQ (Fichas de Informação de Segurança para</w:t>
      </w:r>
      <w:r>
        <w:rPr>
          <w:rFonts w:ascii="Arial" w:eastAsia="TimesNewRomanPS-BoldMT" w:hAnsi="Arial" w:cs="Arial"/>
          <w:sz w:val="28"/>
          <w:szCs w:val="28"/>
        </w:rPr>
        <w:t xml:space="preserve"> </w:t>
      </w:r>
      <w:r w:rsidRPr="008067BD">
        <w:rPr>
          <w:rFonts w:ascii="Arial" w:eastAsia="TimesNewRomanPS-BoldMT" w:hAnsi="Arial" w:cs="Arial"/>
          <w:sz w:val="28"/>
          <w:szCs w:val="28"/>
        </w:rPr>
        <w:t>Produtos Químicos).</w:t>
      </w:r>
    </w:p>
    <w:p w:rsidR="008067BD" w:rsidRP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</w:p>
    <w:p w:rsidR="008067BD" w:rsidRDefault="008067BD" w:rsidP="008067BD">
      <w:pPr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  <w:r w:rsidRPr="008067BD">
        <w:rPr>
          <w:rFonts w:ascii="Arial" w:eastAsia="TimesNewRomanPS-BoldMT" w:hAnsi="Arial" w:cs="Arial"/>
          <w:sz w:val="28"/>
          <w:szCs w:val="28"/>
        </w:rPr>
        <w:t>A figura a seguir apresenta os três “pilares” do GHS:</w:t>
      </w:r>
    </w:p>
    <w:p w:rsidR="008067BD" w:rsidRDefault="008067BD" w:rsidP="008067BD">
      <w:pPr>
        <w:tabs>
          <w:tab w:val="right" w:pos="9639"/>
        </w:tabs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</w:pPr>
      <w:r>
        <w:rPr>
          <w:rFonts w:ascii="Arial" w:eastAsia="TimesNewRomanPS-BoldMT" w:hAnsi="Arial" w:cs="Arial"/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6115685" cy="393065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93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ab/>
      </w:r>
    </w:p>
    <w:p w:rsidR="008067BD" w:rsidRDefault="008067BD" w:rsidP="008067BD">
      <w:pPr>
        <w:tabs>
          <w:tab w:val="right" w:pos="9639"/>
        </w:tabs>
        <w:autoSpaceDE w:val="0"/>
        <w:autoSpaceDN w:val="0"/>
        <w:adjustRightInd w:val="0"/>
        <w:spacing w:after="0" w:line="240" w:lineRule="auto"/>
        <w:ind w:left="-993" w:hanging="141"/>
        <w:jc w:val="both"/>
        <w:rPr>
          <w:rFonts w:ascii="Arial" w:eastAsia="TimesNewRomanPS-BoldMT" w:hAnsi="Arial" w:cs="Arial"/>
          <w:sz w:val="28"/>
          <w:szCs w:val="28"/>
        </w:rPr>
      </w:pPr>
    </w:p>
    <w:p w:rsidR="008067BD" w:rsidRDefault="008067BD" w:rsidP="008067BD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color w:val="000000"/>
          <w:sz w:val="28"/>
          <w:szCs w:val="28"/>
        </w:rPr>
      </w:pPr>
      <w:r w:rsidRPr="008067BD">
        <w:rPr>
          <w:rFonts w:ascii="Arial" w:hAnsi="Arial" w:cs="Arial"/>
          <w:color w:val="000000"/>
          <w:sz w:val="28"/>
          <w:szCs w:val="28"/>
        </w:rPr>
        <w:t>Muitos países, órgãos e agências reguladoras já têm sistemas implantados para cumprir todos ou alguns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color w:val="000000"/>
          <w:sz w:val="28"/>
          <w:szCs w:val="28"/>
        </w:rPr>
        <w:t>dos objetivos estabelecidos pelo GHS. Esses sistemas, no entanto, nem sempre são compatíveis, o que obriga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color w:val="000000"/>
          <w:sz w:val="28"/>
          <w:szCs w:val="28"/>
        </w:rPr>
        <w:t>as empresas a manter vários esquemas para atender as exigências de diferentes agências reguladoras dos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color w:val="000000"/>
          <w:sz w:val="28"/>
          <w:szCs w:val="28"/>
        </w:rPr>
        <w:t>EUA e dos países para os quais exportam</w:t>
      </w:r>
      <w:r w:rsidRPr="008067BD">
        <w:rPr>
          <w:rFonts w:ascii="Arial" w:hAnsi="Arial" w:cs="Arial"/>
          <w:color w:val="505050"/>
          <w:sz w:val="28"/>
          <w:szCs w:val="28"/>
        </w:rPr>
        <w:t>1</w:t>
      </w:r>
      <w:r w:rsidRPr="008067BD">
        <w:rPr>
          <w:rFonts w:ascii="Arial" w:hAnsi="Arial" w:cs="Arial"/>
          <w:color w:val="000000"/>
          <w:sz w:val="28"/>
          <w:szCs w:val="28"/>
        </w:rPr>
        <w:t>. Apesar de as leis e regulamentações existentes serem similares,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color w:val="000000"/>
          <w:sz w:val="28"/>
          <w:szCs w:val="28"/>
        </w:rPr>
        <w:t xml:space="preserve">elas </w:t>
      </w:r>
      <w:proofErr w:type="gramStart"/>
      <w:r w:rsidRPr="008067BD">
        <w:rPr>
          <w:rFonts w:ascii="Arial" w:hAnsi="Arial" w:cs="Arial"/>
          <w:color w:val="000000"/>
          <w:sz w:val="28"/>
          <w:szCs w:val="28"/>
        </w:rPr>
        <w:t>podem ser</w:t>
      </w:r>
      <w:proofErr w:type="gramEnd"/>
      <w:r w:rsidRPr="008067BD">
        <w:rPr>
          <w:rFonts w:ascii="Arial" w:hAnsi="Arial" w:cs="Arial"/>
          <w:color w:val="000000"/>
          <w:sz w:val="28"/>
          <w:szCs w:val="28"/>
        </w:rPr>
        <w:t xml:space="preserve"> suficientemente diferentes para gerar a necessidade de múltiplos rótulos e identificações para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color w:val="000000"/>
          <w:sz w:val="28"/>
          <w:szCs w:val="28"/>
        </w:rPr>
        <w:t>um mesmo produto, tanto internamente como no comércio exterior. Várias agências regulatórias dos EUA e de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color w:val="000000"/>
          <w:sz w:val="28"/>
          <w:szCs w:val="28"/>
        </w:rPr>
        <w:t>outros países têm requisitos diferentes para definições de perigo, bem como para as informações a serem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color w:val="000000"/>
          <w:sz w:val="28"/>
          <w:szCs w:val="28"/>
        </w:rPr>
        <w:t>divulgadas nos rótulos ou nas fichas de dados de segurança. Por exemplo, um produto pode ser considerado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color w:val="000000"/>
          <w:sz w:val="28"/>
          <w:szCs w:val="28"/>
        </w:rPr>
        <w:t>inflamável ou tóxico por uma agência ou país, mas não por outro órgão ou país.</w:t>
      </w:r>
    </w:p>
    <w:p w:rsidR="008067BD" w:rsidRDefault="008067BD" w:rsidP="008067BD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color w:val="000000"/>
          <w:sz w:val="28"/>
          <w:szCs w:val="28"/>
        </w:rPr>
      </w:pPr>
    </w:p>
    <w:p w:rsidR="008067BD" w:rsidRDefault="008067BD" w:rsidP="008067BD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sz w:val="28"/>
          <w:szCs w:val="28"/>
        </w:rPr>
      </w:pPr>
      <w:r w:rsidRPr="008067BD">
        <w:rPr>
          <w:rFonts w:ascii="Arial" w:hAnsi="Arial" w:cs="Arial"/>
          <w:i/>
          <w:iCs/>
          <w:sz w:val="28"/>
          <w:szCs w:val="28"/>
        </w:rPr>
        <w:t>O SGH não é uma regulamentação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sz w:val="28"/>
          <w:szCs w:val="28"/>
        </w:rPr>
        <w:t>Importante destacar que o SGH não é uma regulamentação nem um conjunto de normas, portanto sua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sz w:val="28"/>
          <w:szCs w:val="28"/>
        </w:rPr>
        <w:t>observância não é obrigatória. No entanto, pela sua importância, várias de suas recomendações já foram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sz w:val="28"/>
          <w:szCs w:val="28"/>
        </w:rPr>
        <w:t>adotadas por inúmeros países, dentre eles o Brasil, ao incluir na redação da NR26 a obrigatoriedade de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sz w:val="28"/>
          <w:szCs w:val="28"/>
        </w:rPr>
        <w:t>utilização dos critérios do SGH como forma de identificação dos riscos à segurança e saúde dos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8067BD">
        <w:rPr>
          <w:rFonts w:ascii="Arial" w:hAnsi="Arial" w:cs="Arial"/>
          <w:sz w:val="28"/>
          <w:szCs w:val="28"/>
        </w:rPr>
        <w:t>trabalhadores.</w:t>
      </w:r>
    </w:p>
    <w:p w:rsidR="008067BD" w:rsidRDefault="008067BD" w:rsidP="008067BD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eastAsia="TimesNewRomanPS-BoldMT" w:hAnsi="Arial" w:cs="Arial"/>
          <w:b/>
          <w:bCs/>
          <w:sz w:val="28"/>
          <w:szCs w:val="28"/>
        </w:rPr>
      </w:pPr>
    </w:p>
    <w:p w:rsidR="008067BD" w:rsidRPr="00357A9D" w:rsidRDefault="008067BD" w:rsidP="008067BD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sz w:val="28"/>
          <w:szCs w:val="28"/>
        </w:rPr>
      </w:pPr>
      <w:r w:rsidRPr="00357A9D">
        <w:rPr>
          <w:rFonts w:ascii="Arial" w:eastAsia="TimesNewRomanPS-BoldMT" w:hAnsi="Arial" w:cs="Arial"/>
          <w:b/>
          <w:bCs/>
          <w:sz w:val="28"/>
          <w:szCs w:val="28"/>
        </w:rPr>
        <w:t>Classificação dos produtos químicos</w:t>
      </w:r>
    </w:p>
    <w:p w:rsidR="008067BD" w:rsidRPr="00357A9D" w:rsidRDefault="008067BD" w:rsidP="008067BD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sz w:val="28"/>
          <w:szCs w:val="28"/>
        </w:rPr>
      </w:pPr>
    </w:p>
    <w:p w:rsidR="00B879AB" w:rsidRDefault="008067BD" w:rsidP="00B879AB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sz w:val="28"/>
          <w:szCs w:val="28"/>
        </w:rPr>
      </w:pPr>
      <w:r w:rsidRPr="00357A9D">
        <w:rPr>
          <w:rFonts w:ascii="Arial" w:eastAsia="TimesNewRomanPS-BoldMT" w:hAnsi="Arial" w:cs="Arial"/>
          <w:sz w:val="28"/>
          <w:szCs w:val="28"/>
        </w:rPr>
        <w:lastRenderedPageBreak/>
        <w:t>Segundo a NR26, a classificação de substâncias perigosas deve ser baseada na lista de classificação harmonizada ou com a realização de ensaios exigidos pelo processo de classificação.</w:t>
      </w:r>
      <w:r w:rsidRPr="00357A9D">
        <w:rPr>
          <w:rFonts w:ascii="Arial" w:hAnsi="Arial" w:cs="Arial"/>
          <w:sz w:val="28"/>
          <w:szCs w:val="28"/>
        </w:rPr>
        <w:t xml:space="preserve"> </w:t>
      </w:r>
      <w:r w:rsidRPr="00357A9D">
        <w:rPr>
          <w:rFonts w:ascii="Arial" w:eastAsia="TimesNewRomanPS-BoldMT" w:hAnsi="Arial" w:cs="Arial"/>
          <w:sz w:val="28"/>
          <w:szCs w:val="28"/>
        </w:rPr>
        <w:t>Caso não haja classificação da substância perigosa na lista nacional de classificação harmonizada,</w:t>
      </w:r>
      <w:r w:rsidR="00357A9D" w:rsidRPr="00357A9D">
        <w:rPr>
          <w:rFonts w:ascii="Arial" w:hAnsi="Arial" w:cs="Arial"/>
          <w:sz w:val="28"/>
          <w:szCs w:val="28"/>
        </w:rPr>
        <w:t xml:space="preserve"> </w:t>
      </w:r>
      <w:r w:rsidRPr="00357A9D">
        <w:rPr>
          <w:rFonts w:ascii="Arial" w:eastAsia="TimesNewRomanPS-BoldMT" w:hAnsi="Arial" w:cs="Arial"/>
          <w:sz w:val="28"/>
          <w:szCs w:val="28"/>
        </w:rPr>
        <w:t>poderá ser utilizada a lista internacional.</w:t>
      </w: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sz w:val="28"/>
          <w:szCs w:val="28"/>
        </w:rPr>
      </w:pPr>
    </w:p>
    <w:p w:rsidR="00B879AB" w:rsidRDefault="00357A9D" w:rsidP="00B879AB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sz w:val="28"/>
          <w:szCs w:val="28"/>
        </w:rPr>
      </w:pP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>Rotulagem preventiva</w:t>
      </w: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sz w:val="28"/>
          <w:szCs w:val="28"/>
        </w:rPr>
      </w:pPr>
    </w:p>
    <w:p w:rsidR="00357A9D" w:rsidRPr="00B879AB" w:rsidRDefault="00357A9D" w:rsidP="00B879AB">
      <w:pPr>
        <w:autoSpaceDE w:val="0"/>
        <w:autoSpaceDN w:val="0"/>
        <w:adjustRightInd w:val="0"/>
        <w:spacing w:after="0" w:line="240" w:lineRule="auto"/>
        <w:ind w:left="-851"/>
        <w:jc w:val="both"/>
        <w:rPr>
          <w:rFonts w:ascii="Arial" w:hAnsi="Arial" w:cs="Arial"/>
          <w:sz w:val="28"/>
          <w:szCs w:val="28"/>
        </w:rPr>
      </w:pPr>
      <w:r w:rsidRPr="00B879AB">
        <w:rPr>
          <w:rFonts w:ascii="Arial" w:eastAsia="TimesNewRomanPS-BoldMT" w:hAnsi="Arial" w:cs="Arial"/>
          <w:sz w:val="28"/>
          <w:szCs w:val="28"/>
        </w:rPr>
        <w:t>A rotulagem preventiva é um conjunto de elementos com informações escritas, impressas ou gráficas,</w:t>
      </w:r>
      <w:r w:rsidR="00B879AB">
        <w:rPr>
          <w:rFonts w:ascii="Arial" w:hAnsi="Arial" w:cs="Arial"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sz w:val="28"/>
          <w:szCs w:val="28"/>
        </w:rPr>
        <w:t>relativas a um produto químico, que deve ser afixada, impressa ou anexada à embalagem que contém o</w:t>
      </w:r>
      <w:r w:rsidR="00B879AB">
        <w:rPr>
          <w:rFonts w:ascii="Arial" w:hAnsi="Arial" w:cs="Arial"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sz w:val="28"/>
          <w:szCs w:val="28"/>
        </w:rPr>
        <w:t>produto. A rotulagem não precisa necessariamente ser afixada ao produto, ela pode ser impressa ou anexada à</w:t>
      </w:r>
      <w:r w:rsidR="00B879AB">
        <w:rPr>
          <w:rFonts w:ascii="Arial" w:hAnsi="Arial" w:cs="Arial"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sz w:val="28"/>
          <w:szCs w:val="28"/>
        </w:rPr>
        <w:t>embalagem que contém o produto.</w:t>
      </w:r>
      <w:r w:rsidR="00B879AB">
        <w:rPr>
          <w:rFonts w:ascii="Arial" w:hAnsi="Arial" w:cs="Arial"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sz w:val="28"/>
          <w:szCs w:val="28"/>
        </w:rPr>
        <w:t>Segundo a NR26, a rotulagem preventiva deve conter os seguintes elementos:</w:t>
      </w:r>
    </w:p>
    <w:p w:rsidR="00357A9D" w:rsidRPr="00B879AB" w:rsidRDefault="00357A9D" w:rsidP="00B879A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proofErr w:type="gramStart"/>
      <w:r w:rsidRPr="00B879AB">
        <w:rPr>
          <w:rFonts w:ascii="Arial" w:eastAsia="TimesNewRomanPS-BoldMT" w:hAnsi="Arial" w:cs="Arial"/>
          <w:sz w:val="28"/>
          <w:szCs w:val="28"/>
        </w:rPr>
        <w:t>identificação</w:t>
      </w:r>
      <w:proofErr w:type="gramEnd"/>
      <w:r w:rsidRPr="00B879AB">
        <w:rPr>
          <w:rFonts w:ascii="Arial" w:eastAsia="TimesNewRomanPS-BoldMT" w:hAnsi="Arial" w:cs="Arial"/>
          <w:sz w:val="28"/>
          <w:szCs w:val="28"/>
        </w:rPr>
        <w:t xml:space="preserve"> e composição do produto químico;</w:t>
      </w:r>
    </w:p>
    <w:p w:rsidR="00357A9D" w:rsidRPr="00B879AB" w:rsidRDefault="00357A9D" w:rsidP="00B879A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proofErr w:type="gramStart"/>
      <w:r w:rsidRPr="00B879AB">
        <w:rPr>
          <w:rFonts w:ascii="Arial" w:eastAsia="TimesNewRomanPS-BoldMT" w:hAnsi="Arial" w:cs="Arial"/>
          <w:sz w:val="28"/>
          <w:szCs w:val="28"/>
        </w:rPr>
        <w:t>pictograma</w:t>
      </w:r>
      <w:proofErr w:type="gramEnd"/>
      <w:r w:rsidRPr="00B879AB">
        <w:rPr>
          <w:rFonts w:ascii="Arial" w:eastAsia="TimesNewRomanPS-BoldMT" w:hAnsi="Arial" w:cs="Arial"/>
          <w:sz w:val="28"/>
          <w:szCs w:val="28"/>
        </w:rPr>
        <w:t>(s) de perigo;</w:t>
      </w:r>
    </w:p>
    <w:p w:rsidR="00357A9D" w:rsidRPr="00B879AB" w:rsidRDefault="00357A9D" w:rsidP="00B879A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proofErr w:type="gramStart"/>
      <w:r w:rsidRPr="00B879AB">
        <w:rPr>
          <w:rFonts w:ascii="Arial" w:eastAsia="TimesNewRomanPS-BoldMT" w:hAnsi="Arial" w:cs="Arial"/>
          <w:sz w:val="28"/>
          <w:szCs w:val="28"/>
        </w:rPr>
        <w:t>palavra</w:t>
      </w:r>
      <w:proofErr w:type="gramEnd"/>
      <w:r w:rsidRPr="00B879AB">
        <w:rPr>
          <w:rFonts w:ascii="Arial" w:eastAsia="TimesNewRomanPS-BoldMT" w:hAnsi="Arial" w:cs="Arial"/>
          <w:sz w:val="28"/>
          <w:szCs w:val="28"/>
        </w:rPr>
        <w:t xml:space="preserve"> de </w:t>
      </w: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>advertência</w:t>
      </w:r>
      <w:r w:rsidRPr="00B879AB">
        <w:rPr>
          <w:rFonts w:ascii="Arial" w:eastAsia="TimesNewRomanPS-BoldMT" w:hAnsi="Arial" w:cs="Arial"/>
          <w:sz w:val="28"/>
          <w:szCs w:val="28"/>
        </w:rPr>
        <w:t>;</w:t>
      </w:r>
    </w:p>
    <w:p w:rsidR="00357A9D" w:rsidRPr="00B879AB" w:rsidRDefault="00357A9D" w:rsidP="00B879A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proofErr w:type="gramStart"/>
      <w:r w:rsidRPr="00B879AB">
        <w:rPr>
          <w:rFonts w:ascii="Arial" w:eastAsia="TimesNewRomanPS-BoldMT" w:hAnsi="Arial" w:cs="Arial"/>
          <w:sz w:val="28"/>
          <w:szCs w:val="28"/>
        </w:rPr>
        <w:t>frase</w:t>
      </w:r>
      <w:proofErr w:type="gramEnd"/>
      <w:r w:rsidRPr="00B879AB">
        <w:rPr>
          <w:rFonts w:ascii="Arial" w:eastAsia="TimesNewRomanPS-BoldMT" w:hAnsi="Arial" w:cs="Arial"/>
          <w:sz w:val="28"/>
          <w:szCs w:val="28"/>
        </w:rPr>
        <w:t xml:space="preserve">(s) de </w:t>
      </w: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>perigo</w:t>
      </w:r>
      <w:r w:rsidRPr="00B879AB">
        <w:rPr>
          <w:rFonts w:ascii="Arial" w:eastAsia="TimesNewRomanPS-BoldMT" w:hAnsi="Arial" w:cs="Arial"/>
          <w:sz w:val="28"/>
          <w:szCs w:val="28"/>
        </w:rPr>
        <w:t>;</w:t>
      </w:r>
    </w:p>
    <w:p w:rsidR="00357A9D" w:rsidRPr="00B879AB" w:rsidRDefault="00357A9D" w:rsidP="00B879A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proofErr w:type="gramStart"/>
      <w:r w:rsidRPr="00B879AB">
        <w:rPr>
          <w:rFonts w:ascii="Arial" w:eastAsia="TimesNewRomanPS-BoldMT" w:hAnsi="Arial" w:cs="Arial"/>
          <w:sz w:val="28"/>
          <w:szCs w:val="28"/>
        </w:rPr>
        <w:t>frase</w:t>
      </w:r>
      <w:proofErr w:type="gramEnd"/>
      <w:r w:rsidRPr="00B879AB">
        <w:rPr>
          <w:rFonts w:ascii="Arial" w:eastAsia="TimesNewRomanPS-BoldMT" w:hAnsi="Arial" w:cs="Arial"/>
          <w:sz w:val="28"/>
          <w:szCs w:val="28"/>
        </w:rPr>
        <w:t xml:space="preserve">(s) de </w:t>
      </w: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>precaução</w:t>
      </w:r>
      <w:r w:rsidRPr="00B879AB">
        <w:rPr>
          <w:rFonts w:ascii="Arial" w:eastAsia="TimesNewRomanPS-BoldMT" w:hAnsi="Arial" w:cs="Arial"/>
          <w:sz w:val="28"/>
          <w:szCs w:val="28"/>
        </w:rPr>
        <w:t>;</w:t>
      </w:r>
    </w:p>
    <w:p w:rsidR="00357A9D" w:rsidRDefault="00357A9D" w:rsidP="00B879A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proofErr w:type="gramStart"/>
      <w:r w:rsidRPr="00B879AB">
        <w:rPr>
          <w:rFonts w:ascii="Arial" w:eastAsia="TimesNewRomanPS-BoldMT" w:hAnsi="Arial" w:cs="Arial"/>
          <w:sz w:val="28"/>
          <w:szCs w:val="28"/>
        </w:rPr>
        <w:t>informações</w:t>
      </w:r>
      <w:proofErr w:type="gramEnd"/>
      <w:r w:rsidRPr="00B879AB">
        <w:rPr>
          <w:rFonts w:ascii="Arial" w:eastAsia="TimesNewRomanPS-BoldMT" w:hAnsi="Arial" w:cs="Arial"/>
          <w:sz w:val="28"/>
          <w:szCs w:val="28"/>
        </w:rPr>
        <w:t xml:space="preserve"> suplementares.</w:t>
      </w:r>
    </w:p>
    <w:p w:rsidR="00B879AB" w:rsidRP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357A9D" w:rsidRPr="00B879AB" w:rsidRDefault="00357A9D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r w:rsidRPr="00B879AB">
        <w:rPr>
          <w:rFonts w:ascii="Arial" w:eastAsia="TimesNewRomanPS-BoldMT" w:hAnsi="Arial" w:cs="Arial"/>
          <w:sz w:val="28"/>
          <w:szCs w:val="28"/>
        </w:rPr>
        <w:t>Caso o produto químico não seja classificado como perigoso para a segurança e saúde dos</w:t>
      </w:r>
      <w:r w:rsidR="00B879AB">
        <w:rPr>
          <w:rFonts w:ascii="Arial" w:eastAsia="TimesNewRomanPS-BoldMT" w:hAnsi="Arial" w:cs="Arial"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sz w:val="28"/>
          <w:szCs w:val="28"/>
        </w:rPr>
        <w:t xml:space="preserve">trabalhadores conforme o GHS, ele deverá dispor de </w:t>
      </w: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 xml:space="preserve">rotulagem preventiva simplificada </w:t>
      </w:r>
      <w:r w:rsidRPr="00B879AB">
        <w:rPr>
          <w:rFonts w:ascii="Arial" w:eastAsia="TimesNewRomanPS-BoldMT" w:hAnsi="Arial" w:cs="Arial"/>
          <w:sz w:val="28"/>
          <w:szCs w:val="28"/>
        </w:rPr>
        <w:t>que contenha, no</w:t>
      </w:r>
      <w:r w:rsidR="00B879AB">
        <w:rPr>
          <w:rFonts w:ascii="Arial" w:eastAsia="TimesNewRomanPS-BoldMT" w:hAnsi="Arial" w:cs="Arial"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sz w:val="28"/>
          <w:szCs w:val="28"/>
        </w:rPr>
        <w:t>mínimo:</w:t>
      </w:r>
    </w:p>
    <w:p w:rsidR="00357A9D" w:rsidRPr="00B879AB" w:rsidRDefault="00357A9D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r w:rsidRPr="00B879AB">
        <w:rPr>
          <w:rFonts w:ascii="Arial" w:eastAsia="TimesNewRomanPS-BoldMT" w:hAnsi="Arial" w:cs="Arial"/>
          <w:sz w:val="28"/>
          <w:szCs w:val="28"/>
        </w:rPr>
        <w:t>Indicação do nome</w:t>
      </w:r>
    </w:p>
    <w:p w:rsidR="00357A9D" w:rsidRPr="00B879AB" w:rsidRDefault="00357A9D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r w:rsidRPr="00B879AB">
        <w:rPr>
          <w:rFonts w:ascii="Arial" w:eastAsia="TimesNewRomanPS-BoldMT" w:hAnsi="Arial" w:cs="Arial"/>
          <w:sz w:val="28"/>
          <w:szCs w:val="28"/>
        </w:rPr>
        <w:t>Informação de que se trata de produto não classificado como perigoso</w:t>
      </w:r>
    </w:p>
    <w:p w:rsidR="00357A9D" w:rsidRPr="00B879AB" w:rsidRDefault="00357A9D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r w:rsidRPr="00B879AB">
        <w:rPr>
          <w:rFonts w:ascii="Arial" w:eastAsia="TimesNewRomanPS-BoldMT" w:hAnsi="Arial" w:cs="Arial"/>
          <w:sz w:val="28"/>
          <w:szCs w:val="28"/>
        </w:rPr>
        <w:t>Recomendações de precaução</w:t>
      </w:r>
    </w:p>
    <w:p w:rsidR="00357A9D" w:rsidRDefault="00357A9D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r w:rsidRPr="00B879AB">
        <w:rPr>
          <w:rFonts w:ascii="Arial" w:eastAsia="TimesNewRomanPS-BoldMT" w:hAnsi="Arial" w:cs="Arial"/>
          <w:sz w:val="28"/>
          <w:szCs w:val="28"/>
        </w:rPr>
        <w:t>Vejam a figura a seguir:</w:t>
      </w: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r>
        <w:rPr>
          <w:rFonts w:ascii="Arial" w:eastAsia="TimesNewRomanPS-BoldMT" w:hAnsi="Arial" w:cs="Arial"/>
          <w:noProof/>
          <w:sz w:val="28"/>
          <w:szCs w:val="28"/>
          <w:lang w:eastAsia="pt-BR"/>
        </w:rPr>
        <w:drawing>
          <wp:inline distT="0" distB="0" distL="0" distR="0">
            <wp:extent cx="6115685" cy="1840865"/>
            <wp:effectExtent l="1905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84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P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357A9D" w:rsidRDefault="00357A9D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  <w:r w:rsidRPr="00B879AB">
        <w:rPr>
          <w:rFonts w:ascii="Arial" w:eastAsia="TimesNewRomanPS-BoldMT" w:hAnsi="Arial" w:cs="Arial"/>
          <w:sz w:val="28"/>
          <w:szCs w:val="28"/>
        </w:rPr>
        <w:t>Observem que, no caso de produto não classificado como perigoso, as recomendações no rótulo são de</w:t>
      </w:r>
      <w:r w:rsidR="00B879AB">
        <w:rPr>
          <w:rFonts w:ascii="Arial" w:eastAsia="TimesNewRomanPS-BoldMT" w:hAnsi="Arial" w:cs="Arial"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>precaução</w:t>
      </w:r>
      <w:r w:rsidRPr="00B879AB">
        <w:rPr>
          <w:rFonts w:ascii="Arial" w:eastAsia="TimesNewRomanPS-BoldMT" w:hAnsi="Arial" w:cs="Arial"/>
          <w:sz w:val="28"/>
          <w:szCs w:val="28"/>
        </w:rPr>
        <w:t>, e não de perigo nem de advertência.</w:t>
      </w: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357A9D" w:rsidP="00B879AB">
      <w:pPr>
        <w:autoSpaceDE w:val="0"/>
        <w:autoSpaceDN w:val="0"/>
        <w:adjustRightInd w:val="0"/>
        <w:spacing w:after="0" w:line="240" w:lineRule="auto"/>
        <w:ind w:left="-284" w:hanging="142"/>
        <w:jc w:val="both"/>
        <w:rPr>
          <w:rFonts w:ascii="Arial" w:eastAsia="TimesNewRomanPS-BoldMT" w:hAnsi="Arial" w:cs="Arial"/>
          <w:b/>
          <w:bCs/>
          <w:sz w:val="28"/>
          <w:szCs w:val="28"/>
        </w:rPr>
      </w:pP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>Ficha com dados de segurança</w:t>
      </w: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ind w:left="-284" w:hanging="142"/>
        <w:jc w:val="both"/>
        <w:rPr>
          <w:rFonts w:ascii="Arial" w:eastAsia="TimesNewRomanPS-BoldMT" w:hAnsi="Arial" w:cs="Arial"/>
          <w:b/>
          <w:bCs/>
          <w:sz w:val="28"/>
          <w:szCs w:val="28"/>
        </w:rPr>
      </w:pPr>
    </w:p>
    <w:p w:rsidR="00B879AB" w:rsidRDefault="00357A9D" w:rsidP="00B879AB">
      <w:pPr>
        <w:autoSpaceDE w:val="0"/>
        <w:autoSpaceDN w:val="0"/>
        <w:adjustRightInd w:val="0"/>
        <w:spacing w:after="0" w:line="240" w:lineRule="auto"/>
        <w:ind w:left="-284" w:hanging="142"/>
        <w:jc w:val="both"/>
        <w:rPr>
          <w:rFonts w:ascii="Arial" w:eastAsia="TimesNewRomanPS-BoldMT" w:hAnsi="Arial" w:cs="Arial"/>
          <w:sz w:val="28"/>
          <w:szCs w:val="28"/>
        </w:rPr>
      </w:pPr>
      <w:r w:rsidRPr="00B879AB">
        <w:rPr>
          <w:rFonts w:ascii="Arial" w:eastAsia="TimesNewRomanPS-BoldMT" w:hAnsi="Arial" w:cs="Arial"/>
          <w:sz w:val="28"/>
          <w:szCs w:val="28"/>
        </w:rPr>
        <w:t>A ficha com dados de segurança é conhecida como Ficha de Informações de Segurança de Produtos</w:t>
      </w:r>
      <w:r w:rsidR="00B879AB">
        <w:rPr>
          <w:rFonts w:ascii="Arial" w:eastAsia="TimesNewRomanPS-BoldMT" w:hAnsi="Arial" w:cs="Arial"/>
          <w:b/>
          <w:bCs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sz w:val="28"/>
          <w:szCs w:val="28"/>
        </w:rPr>
        <w:t>Químicos (FISPQ). Essa ficha deve ser elaborada para todos os produtos químicos classificados como</w:t>
      </w:r>
      <w:r w:rsidR="00B879AB">
        <w:rPr>
          <w:rFonts w:ascii="Arial" w:eastAsia="TimesNewRomanPS-BoldMT" w:hAnsi="Arial" w:cs="Arial"/>
          <w:b/>
          <w:bCs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sz w:val="28"/>
          <w:szCs w:val="28"/>
        </w:rPr>
        <w:t>perigosos e para produtos químicos não classificados como perigosos, mas cujos usos previstos ou</w:t>
      </w:r>
      <w:r w:rsidR="00B879AB">
        <w:rPr>
          <w:rFonts w:ascii="Arial" w:eastAsia="TimesNewRomanPS-BoldMT" w:hAnsi="Arial" w:cs="Arial"/>
          <w:b/>
          <w:bCs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sz w:val="28"/>
          <w:szCs w:val="28"/>
        </w:rPr>
        <w:t>recomendados possam originar riscos a segurança e saúde dos trabalhadores.</w:t>
      </w: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ind w:left="-284" w:hanging="142"/>
        <w:jc w:val="both"/>
        <w:rPr>
          <w:rFonts w:ascii="Arial" w:eastAsia="TimesNewRomanPS-BoldMT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ind w:left="-284" w:hanging="142"/>
        <w:jc w:val="both"/>
        <w:rPr>
          <w:rFonts w:ascii="Arial" w:hAnsi="Arial" w:cs="Arial"/>
          <w:b/>
          <w:i/>
          <w:iCs/>
          <w:sz w:val="28"/>
          <w:szCs w:val="28"/>
        </w:rPr>
      </w:pPr>
      <w:r w:rsidRPr="00B879AB">
        <w:rPr>
          <w:rFonts w:ascii="Arial" w:hAnsi="Arial" w:cs="Arial"/>
          <w:b/>
          <w:i/>
          <w:iCs/>
          <w:sz w:val="28"/>
          <w:szCs w:val="28"/>
        </w:rPr>
        <w:t>Responsabilidade pela elaboração</w:t>
      </w: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ind w:left="-284" w:hanging="142"/>
        <w:jc w:val="both"/>
        <w:rPr>
          <w:rFonts w:ascii="Arial" w:hAnsi="Arial" w:cs="Arial"/>
          <w:b/>
          <w:i/>
          <w:iCs/>
          <w:sz w:val="28"/>
          <w:szCs w:val="28"/>
        </w:rPr>
      </w:pPr>
    </w:p>
    <w:p w:rsidR="00B879AB" w:rsidRPr="00B879AB" w:rsidRDefault="00B879AB" w:rsidP="00B879AB">
      <w:pPr>
        <w:autoSpaceDE w:val="0"/>
        <w:autoSpaceDN w:val="0"/>
        <w:adjustRightInd w:val="0"/>
        <w:spacing w:after="0" w:line="240" w:lineRule="auto"/>
        <w:ind w:left="-284" w:hanging="142"/>
        <w:jc w:val="both"/>
        <w:rPr>
          <w:rFonts w:ascii="Arial" w:hAnsi="Arial" w:cs="Arial"/>
          <w:b/>
          <w:i/>
          <w:iCs/>
          <w:sz w:val="28"/>
          <w:szCs w:val="28"/>
        </w:rPr>
      </w:pPr>
      <w:r w:rsidRPr="00B879AB">
        <w:rPr>
          <w:rFonts w:ascii="Arial" w:hAnsi="Arial" w:cs="Arial"/>
          <w:sz w:val="28"/>
          <w:szCs w:val="28"/>
        </w:rPr>
        <w:t xml:space="preserve">A responsabilidade pela elaboração da Ficha com dados de Segurança é do </w:t>
      </w: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>fabricante ou, no caso de</w:t>
      </w:r>
      <w:r>
        <w:rPr>
          <w:rFonts w:ascii="Arial" w:hAnsi="Arial" w:cs="Arial"/>
          <w:b/>
          <w:i/>
          <w:iCs/>
          <w:sz w:val="28"/>
          <w:szCs w:val="28"/>
        </w:rPr>
        <w:t xml:space="preserve"> </w:t>
      </w: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 xml:space="preserve">importação, do fornecedor nacional </w:t>
      </w:r>
      <w:r w:rsidRPr="00B879AB">
        <w:rPr>
          <w:rFonts w:ascii="Arial" w:hAnsi="Arial" w:cs="Arial"/>
          <w:sz w:val="28"/>
          <w:szCs w:val="28"/>
        </w:rPr>
        <w:t>do produto químico.</w:t>
      </w:r>
    </w:p>
    <w:p w:rsidR="00B879AB" w:rsidRP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/>
          <w:iCs/>
          <w:sz w:val="28"/>
          <w:szCs w:val="28"/>
        </w:rPr>
      </w:pPr>
      <w:r w:rsidRPr="00B879AB">
        <w:rPr>
          <w:rFonts w:ascii="Arial" w:hAnsi="Arial" w:cs="Arial"/>
          <w:b/>
          <w:i/>
          <w:iCs/>
          <w:sz w:val="28"/>
          <w:szCs w:val="28"/>
        </w:rPr>
        <w:t>Misturas</w:t>
      </w: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879AB">
        <w:rPr>
          <w:rFonts w:ascii="Arial" w:hAnsi="Arial" w:cs="Arial"/>
          <w:sz w:val="28"/>
          <w:szCs w:val="28"/>
        </w:rPr>
        <w:t xml:space="preserve">A Ficha com dados de segurança de </w:t>
      </w: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 xml:space="preserve">misturas </w:t>
      </w:r>
      <w:r w:rsidRPr="00B879AB">
        <w:rPr>
          <w:rFonts w:ascii="Arial" w:hAnsi="Arial" w:cs="Arial"/>
          <w:sz w:val="28"/>
          <w:szCs w:val="28"/>
        </w:rPr>
        <w:t>deve conter o nome e a concentração, ou faixa de</w:t>
      </w:r>
      <w:r>
        <w:rPr>
          <w:rFonts w:ascii="Arial" w:hAnsi="Arial" w:cs="Arial"/>
          <w:sz w:val="28"/>
          <w:szCs w:val="28"/>
        </w:rPr>
        <w:t xml:space="preserve"> </w:t>
      </w:r>
      <w:r w:rsidRPr="00B879AB">
        <w:rPr>
          <w:rFonts w:ascii="Arial" w:hAnsi="Arial" w:cs="Arial"/>
          <w:sz w:val="28"/>
          <w:szCs w:val="28"/>
        </w:rPr>
        <w:t>concentração, das substâncias que:</w:t>
      </w:r>
      <w:r>
        <w:rPr>
          <w:rFonts w:ascii="Arial" w:hAnsi="Arial" w:cs="Arial"/>
          <w:sz w:val="28"/>
          <w:szCs w:val="28"/>
        </w:rPr>
        <w:t xml:space="preserve"> </w:t>
      </w:r>
      <w:r w:rsidRPr="00B879AB">
        <w:rPr>
          <w:rFonts w:ascii="Arial" w:hAnsi="Arial" w:cs="Arial"/>
          <w:sz w:val="28"/>
          <w:szCs w:val="28"/>
        </w:rPr>
        <w:t>representam perigo para a saúde dos trabalhadores, se estiverem presentes em concentração igual ou</w:t>
      </w:r>
      <w:r>
        <w:rPr>
          <w:rFonts w:ascii="Arial" w:hAnsi="Arial" w:cs="Arial"/>
          <w:sz w:val="28"/>
          <w:szCs w:val="28"/>
        </w:rPr>
        <w:t xml:space="preserve"> </w:t>
      </w:r>
      <w:r w:rsidRPr="00B879AB">
        <w:rPr>
          <w:rFonts w:ascii="Arial" w:hAnsi="Arial" w:cs="Arial"/>
          <w:sz w:val="28"/>
          <w:szCs w:val="28"/>
        </w:rPr>
        <w:t>superior aos valores de corte/limites de concentração estabelecidos pelo GHS para cada</w:t>
      </w:r>
      <w:r>
        <w:rPr>
          <w:rFonts w:ascii="Arial" w:hAnsi="Arial" w:cs="Arial"/>
          <w:sz w:val="28"/>
          <w:szCs w:val="28"/>
        </w:rPr>
        <w:t xml:space="preserve"> </w:t>
      </w:r>
      <w:r w:rsidRPr="00B879AB">
        <w:rPr>
          <w:rFonts w:ascii="Arial" w:hAnsi="Arial" w:cs="Arial"/>
          <w:sz w:val="28"/>
          <w:szCs w:val="28"/>
        </w:rPr>
        <w:t>classe/categoria de perigo;</w:t>
      </w:r>
      <w:r>
        <w:rPr>
          <w:rFonts w:ascii="Arial" w:hAnsi="Arial" w:cs="Arial"/>
          <w:sz w:val="28"/>
          <w:szCs w:val="28"/>
        </w:rPr>
        <w:t xml:space="preserve"> </w:t>
      </w:r>
      <w:r w:rsidRPr="00B879AB">
        <w:rPr>
          <w:rFonts w:ascii="Arial" w:hAnsi="Arial" w:cs="Arial"/>
          <w:sz w:val="28"/>
          <w:szCs w:val="28"/>
        </w:rPr>
        <w:t xml:space="preserve">possuam </w:t>
      </w:r>
      <w:r w:rsidRPr="00B879AB">
        <w:rPr>
          <w:rFonts w:ascii="Arial" w:eastAsia="TimesNewRomanPS-BoldMT" w:hAnsi="Arial" w:cs="Arial"/>
          <w:b/>
          <w:bCs/>
          <w:sz w:val="28"/>
          <w:szCs w:val="28"/>
        </w:rPr>
        <w:t xml:space="preserve">limite de exposição </w:t>
      </w:r>
      <w:r w:rsidRPr="00B879AB">
        <w:rPr>
          <w:rFonts w:ascii="Arial" w:hAnsi="Arial" w:cs="Arial"/>
          <w:sz w:val="28"/>
          <w:szCs w:val="28"/>
        </w:rPr>
        <w:t>ocupacional estabelecidos.</w:t>
      </w:r>
    </w:p>
    <w:p w:rsidR="00B879AB" w:rsidRP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/>
          <w:iCs/>
          <w:sz w:val="28"/>
          <w:szCs w:val="28"/>
        </w:rPr>
      </w:pPr>
      <w:r w:rsidRPr="00B879AB">
        <w:rPr>
          <w:rFonts w:ascii="Arial" w:hAnsi="Arial" w:cs="Arial"/>
          <w:b/>
          <w:i/>
          <w:iCs/>
          <w:sz w:val="28"/>
          <w:szCs w:val="28"/>
        </w:rPr>
        <w:t>Treinamento</w:t>
      </w:r>
    </w:p>
    <w:p w:rsidR="00B879AB" w:rsidRP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i/>
          <w:iCs/>
          <w:sz w:val="28"/>
          <w:szCs w:val="28"/>
        </w:rPr>
      </w:pPr>
    </w:p>
    <w:p w:rsidR="00B879AB" w:rsidRDefault="00B879AB" w:rsidP="00B879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879AB">
        <w:rPr>
          <w:rFonts w:ascii="Arial" w:hAnsi="Arial" w:cs="Arial"/>
          <w:sz w:val="28"/>
          <w:szCs w:val="28"/>
        </w:rPr>
        <w:t>Os trabalhadores devem receber treinamento:</w:t>
      </w:r>
    </w:p>
    <w:p w:rsidR="00B879AB" w:rsidRPr="00E22F17" w:rsidRDefault="00B879AB" w:rsidP="00E22F1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E22F17">
        <w:rPr>
          <w:rFonts w:ascii="Arial" w:hAnsi="Arial" w:cs="Arial"/>
          <w:sz w:val="28"/>
          <w:szCs w:val="28"/>
        </w:rPr>
        <w:t>para</w:t>
      </w:r>
      <w:proofErr w:type="gramEnd"/>
      <w:r w:rsidRPr="00E22F17">
        <w:rPr>
          <w:rFonts w:ascii="Arial" w:hAnsi="Arial" w:cs="Arial"/>
          <w:sz w:val="28"/>
          <w:szCs w:val="28"/>
        </w:rPr>
        <w:t xml:space="preserve"> </w:t>
      </w:r>
      <w:r w:rsidRPr="00E22F17">
        <w:rPr>
          <w:rFonts w:ascii="Arial" w:eastAsia="TimesNewRomanPS-BoldMT" w:hAnsi="Arial" w:cs="Arial"/>
          <w:b/>
          <w:bCs/>
          <w:sz w:val="28"/>
          <w:szCs w:val="28"/>
        </w:rPr>
        <w:t xml:space="preserve">compreender </w:t>
      </w:r>
      <w:r w:rsidRPr="00E22F17">
        <w:rPr>
          <w:rFonts w:ascii="Arial" w:hAnsi="Arial" w:cs="Arial"/>
          <w:sz w:val="28"/>
          <w:szCs w:val="28"/>
        </w:rPr>
        <w:t>a rotulagem preventiva e a ficha com dados de segurança do produto químico.</w:t>
      </w:r>
    </w:p>
    <w:p w:rsidR="00B879AB" w:rsidRPr="00E22F17" w:rsidRDefault="00B879AB" w:rsidP="00E22F1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proofErr w:type="gramStart"/>
      <w:r w:rsidRPr="00E22F17">
        <w:rPr>
          <w:rFonts w:ascii="Arial" w:hAnsi="Arial" w:cs="Arial"/>
          <w:sz w:val="28"/>
          <w:szCs w:val="28"/>
        </w:rPr>
        <w:t>sobre</w:t>
      </w:r>
      <w:proofErr w:type="gramEnd"/>
      <w:r w:rsidRPr="00E22F17">
        <w:rPr>
          <w:rFonts w:ascii="Arial" w:hAnsi="Arial" w:cs="Arial"/>
          <w:sz w:val="28"/>
          <w:szCs w:val="28"/>
        </w:rPr>
        <w:t xml:space="preserve"> os perigos, riscos, medidas preventivas para o </w:t>
      </w:r>
      <w:r w:rsidRPr="00E22F17">
        <w:rPr>
          <w:rFonts w:ascii="Arial" w:eastAsia="TimesNewRomanPS-BoldMT" w:hAnsi="Arial" w:cs="Arial"/>
          <w:b/>
          <w:bCs/>
          <w:sz w:val="28"/>
          <w:szCs w:val="28"/>
        </w:rPr>
        <w:t xml:space="preserve">uso seguro </w:t>
      </w:r>
      <w:r w:rsidRPr="00E22F17">
        <w:rPr>
          <w:rFonts w:ascii="Arial" w:hAnsi="Arial" w:cs="Arial"/>
          <w:sz w:val="28"/>
          <w:szCs w:val="28"/>
        </w:rPr>
        <w:t>e procedimentos para atuação em</w:t>
      </w:r>
      <w:r w:rsidR="00E22F17" w:rsidRPr="00E22F17">
        <w:rPr>
          <w:rFonts w:ascii="Arial" w:hAnsi="Arial" w:cs="Arial"/>
          <w:sz w:val="28"/>
          <w:szCs w:val="28"/>
        </w:rPr>
        <w:t xml:space="preserve"> </w:t>
      </w:r>
      <w:r w:rsidRPr="00E22F17">
        <w:rPr>
          <w:rFonts w:ascii="Arial" w:eastAsia="TimesNewRomanPS-BoldMT" w:hAnsi="Arial" w:cs="Arial"/>
          <w:b/>
          <w:bCs/>
          <w:sz w:val="28"/>
          <w:szCs w:val="28"/>
        </w:rPr>
        <w:t xml:space="preserve">situações de emergência </w:t>
      </w:r>
      <w:r w:rsidRPr="00E22F17">
        <w:rPr>
          <w:rFonts w:ascii="Arial" w:hAnsi="Arial" w:cs="Arial"/>
          <w:sz w:val="28"/>
          <w:szCs w:val="28"/>
        </w:rPr>
        <w:t>com o produto químico</w:t>
      </w:r>
    </w:p>
    <w:sectPr w:rsidR="00B879AB" w:rsidRPr="00E22F17" w:rsidSect="008067BD"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00"/>
    <w:family w:val="swiss"/>
    <w:notTrueType/>
    <w:pitch w:val="default"/>
    <w:sig w:usb0="00000001" w:usb1="08070000" w:usb2="00000010" w:usb3="00000000" w:csb0="00020001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B0C0A"/>
    <w:multiLevelType w:val="hybridMultilevel"/>
    <w:tmpl w:val="122C87E6"/>
    <w:lvl w:ilvl="0" w:tplc="264E08A8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AF7F81"/>
    <w:multiLevelType w:val="hybridMultilevel"/>
    <w:tmpl w:val="60202D14"/>
    <w:lvl w:ilvl="0" w:tplc="264E08A8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08"/>
  <w:hyphenationZone w:val="425"/>
  <w:characterSpacingControl w:val="doNotCompress"/>
  <w:compat/>
  <w:rsids>
    <w:rsidRoot w:val="008067BD"/>
    <w:rsid w:val="00357A9D"/>
    <w:rsid w:val="008067BD"/>
    <w:rsid w:val="009F0DA9"/>
    <w:rsid w:val="00B62252"/>
    <w:rsid w:val="00B879AB"/>
    <w:rsid w:val="00BC75C5"/>
    <w:rsid w:val="00E22F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067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67B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879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960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2020-06-02T23:38:00Z</dcterms:created>
  <dcterms:modified xsi:type="dcterms:W3CDTF">2020-06-02T23:38:00Z</dcterms:modified>
</cp:coreProperties>
</file>