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DA9" w:rsidRDefault="00B400F6" w:rsidP="00B400F6">
      <w:pPr>
        <w:jc w:val="center"/>
        <w:rPr>
          <w:rFonts w:ascii="Bookman Old Style" w:hAnsi="Bookman Old Style"/>
          <w:b/>
          <w:sz w:val="48"/>
          <w:szCs w:val="48"/>
        </w:rPr>
      </w:pPr>
      <w:r w:rsidRPr="00B400F6">
        <w:rPr>
          <w:rFonts w:ascii="Bookman Old Style" w:hAnsi="Bookman Old Style"/>
          <w:b/>
          <w:sz w:val="48"/>
          <w:szCs w:val="48"/>
        </w:rPr>
        <w:t>NR17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1-</w:t>
      </w:r>
      <w:r w:rsidRPr="00B400F6">
        <w:rPr>
          <w:rFonts w:cstheme="minorHAnsi"/>
          <w:b/>
          <w:bCs/>
          <w:sz w:val="28"/>
          <w:szCs w:val="28"/>
        </w:rPr>
        <w:t xml:space="preserve">QUESTÃO 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Quanto aos aspectos ergonômicos que devem ser observados no ambiente de trabalho e que sã</w:t>
      </w:r>
      <w:r>
        <w:rPr>
          <w:rFonts w:eastAsia="ArialMT" w:cstheme="minorHAnsi"/>
          <w:sz w:val="28"/>
          <w:szCs w:val="28"/>
        </w:rPr>
        <w:t>o tratados na NR17, analise e justifique</w:t>
      </w:r>
      <w:proofErr w:type="gramStart"/>
      <w:r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 xml:space="preserve"> </w:t>
      </w:r>
      <w:proofErr w:type="gramEnd"/>
      <w:r w:rsidRPr="00B400F6">
        <w:rPr>
          <w:rFonts w:eastAsia="ArialMT" w:cstheme="minorHAnsi"/>
          <w:sz w:val="28"/>
          <w:szCs w:val="28"/>
        </w:rPr>
        <w:t>os itens</w:t>
      </w:r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eastAsia="ArialMT" w:cstheme="minorHAnsi"/>
          <w:sz w:val="28"/>
          <w:szCs w:val="28"/>
        </w:rPr>
        <w:t>abaixo</w:t>
      </w:r>
      <w:r w:rsidRPr="00B400F6">
        <w:rPr>
          <w:rFonts w:eastAsia="ArialMT" w:cstheme="minorHAnsi"/>
          <w:sz w:val="28"/>
          <w:szCs w:val="28"/>
        </w:rPr>
        <w:t>s</w:t>
      </w:r>
      <w:proofErr w:type="spellEnd"/>
      <w:r>
        <w:rPr>
          <w:rFonts w:eastAsia="ArialMT" w:cstheme="minorHAnsi"/>
          <w:sz w:val="28"/>
          <w:szCs w:val="28"/>
        </w:rPr>
        <w:t>:</w:t>
      </w:r>
    </w:p>
    <w:p w:rsidR="00B400F6" w:rsidRDefault="00B400F6" w:rsidP="00B400F6">
      <w:pPr>
        <w:pStyle w:val="PargrafodaLista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b/>
          <w:bCs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eastAsia="ArialMT" w:cstheme="minorHAnsi"/>
          <w:sz w:val="28"/>
          <w:szCs w:val="28"/>
        </w:rPr>
      </w:pPr>
      <w:r>
        <w:rPr>
          <w:rFonts w:eastAsia="ArialMT" w:cstheme="minorHAnsi"/>
          <w:sz w:val="28"/>
          <w:szCs w:val="28"/>
        </w:rPr>
        <w:t>1-</w:t>
      </w:r>
      <w:r w:rsidRPr="00B400F6">
        <w:rPr>
          <w:rFonts w:eastAsia="ArialMT" w:cstheme="minorHAnsi"/>
          <w:sz w:val="28"/>
          <w:szCs w:val="28"/>
        </w:rPr>
        <w:t>Para trabalhos que demandem do trabalhador atividade intelectual e atenção constantes, como os realizados em laboratórios, os índices de temperatura efetiva são de, no máximo, de 18ºC.</w:t>
      </w: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ind w:left="-993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2. Cabe ao empregado realizar uma análise ergonômica das condições do trabalho a ser realizado para avaliar a sua adaptação a</w:t>
      </w:r>
      <w:r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essas condições.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ind w:left="-993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ind w:left="-993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ind w:left="-993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3. Para avaliar a correta adequação do trabalhador às condições ambientais do trabalho é suficiente uma avaliação das suas</w:t>
      </w:r>
      <w:r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 xml:space="preserve">características </w:t>
      </w:r>
      <w:proofErr w:type="spellStart"/>
      <w:r w:rsidRPr="00B400F6">
        <w:rPr>
          <w:rFonts w:eastAsia="ArialMT" w:cstheme="minorHAnsi"/>
          <w:sz w:val="28"/>
          <w:szCs w:val="28"/>
        </w:rPr>
        <w:t>psicofisiológicas</w:t>
      </w:r>
      <w:proofErr w:type="spellEnd"/>
      <w:r w:rsidRPr="00B400F6">
        <w:rPr>
          <w:rFonts w:eastAsia="ArialMT" w:cstheme="minorHAnsi"/>
          <w:sz w:val="28"/>
          <w:szCs w:val="28"/>
        </w:rPr>
        <w:t>.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ind w:left="-993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ind w:left="-993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ind w:left="-993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4. A iluminação geral no local de trabalho deve ser distribuída de forma uniforme e difusa.</w:t>
      </w:r>
    </w:p>
    <w:p w:rsidR="00B400F6" w:rsidRPr="00B400F6" w:rsidRDefault="00B400F6" w:rsidP="00B400F6">
      <w:pPr>
        <w:ind w:left="-993"/>
        <w:jc w:val="both"/>
        <w:rPr>
          <w:rFonts w:eastAsia="ArialMT" w:cstheme="minorHAnsi"/>
          <w:b/>
          <w:sz w:val="28"/>
          <w:szCs w:val="28"/>
        </w:rPr>
      </w:pPr>
    </w:p>
    <w:p w:rsidR="00B400F6" w:rsidRDefault="00B400F6" w:rsidP="00B400F6">
      <w:pPr>
        <w:ind w:left="-993"/>
        <w:jc w:val="both"/>
        <w:rPr>
          <w:rFonts w:eastAsia="ArialMT" w:cstheme="minorHAnsi"/>
          <w:b/>
          <w:sz w:val="28"/>
          <w:szCs w:val="28"/>
        </w:rPr>
      </w:pPr>
      <w:r w:rsidRPr="00B400F6">
        <w:rPr>
          <w:rFonts w:eastAsia="ArialMT" w:cstheme="minorHAnsi"/>
          <w:b/>
          <w:sz w:val="28"/>
          <w:szCs w:val="28"/>
        </w:rPr>
        <w:t xml:space="preserve">                  2- QUESTÃO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ind w:left="-851" w:firstLine="851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Em relação à análise ergonôm</w:t>
      </w:r>
      <w:r>
        <w:rPr>
          <w:rFonts w:eastAsia="ArialMT" w:cstheme="minorHAnsi"/>
          <w:sz w:val="28"/>
          <w:szCs w:val="28"/>
        </w:rPr>
        <w:t>ica do trabalho e a NR17, analise</w:t>
      </w:r>
      <w:r w:rsidRPr="00B400F6">
        <w:rPr>
          <w:rFonts w:eastAsia="ArialMT" w:cstheme="minorHAnsi"/>
          <w:sz w:val="28"/>
          <w:szCs w:val="28"/>
        </w:rPr>
        <w:t xml:space="preserve"> os itens a seguir.</w:t>
      </w: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ind w:left="-851" w:firstLine="851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Nos locais em que as atividades são realizadas com os trabalhadores em pé, devem ser colocados assentos para descanso que possam ser utilizados pelos trabalhadores durante as pausas.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 xml:space="preserve"> Quando mulheres e trabalhadores jovens forem designados para o transporte manual de cargas, o peso máximo dessas cargas</w:t>
      </w:r>
      <w:r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deverá ser de até 50% do peso corpóreo do trabalhador, independentemente do peso admitido para os homens.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Os assentos utilizados nos postos de trabalho devem atender a requisitos mínimos de conforto, como possuir a borda frontal</w:t>
      </w:r>
      <w:r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arredondada.</w:t>
      </w: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A ergonomia organizacional trata dos processos mentais, tais como percepção, memória, raciocínio e resposta motora, que</w:t>
      </w:r>
      <w:r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afetam as interações entre seres humanos e outros elementos de um sistema.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b/>
          <w:sz w:val="28"/>
          <w:szCs w:val="28"/>
        </w:rPr>
      </w:pPr>
      <w:r>
        <w:rPr>
          <w:rFonts w:eastAsia="ArialMT" w:cstheme="minorHAnsi"/>
          <w:sz w:val="28"/>
          <w:szCs w:val="28"/>
        </w:rPr>
        <w:t xml:space="preserve">3- </w:t>
      </w:r>
      <w:r w:rsidRPr="00B400F6">
        <w:rPr>
          <w:rFonts w:eastAsia="ArialMT" w:cstheme="minorHAnsi"/>
          <w:b/>
          <w:sz w:val="28"/>
          <w:szCs w:val="28"/>
        </w:rPr>
        <w:t>QUESTÃO</w:t>
      </w:r>
    </w:p>
    <w:p w:rsidR="00B400F6" w:rsidRDefault="00B400F6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b/>
          <w:sz w:val="28"/>
          <w:szCs w:val="28"/>
        </w:rPr>
      </w:pPr>
    </w:p>
    <w:p w:rsidR="009F66DF" w:rsidRDefault="009F66DF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 xml:space="preserve">Com base nas disposições da NR17 e Anexos (Ergonomia), assinale o item </w:t>
      </w:r>
      <w:r w:rsidRPr="009F66DF">
        <w:rPr>
          <w:rFonts w:eastAsia="ArialMT" w:cstheme="minorHAnsi"/>
          <w:b/>
          <w:bCs/>
          <w:sz w:val="28"/>
          <w:szCs w:val="28"/>
        </w:rPr>
        <w:t>incorreto</w:t>
      </w:r>
      <w:r w:rsidRPr="009F66DF">
        <w:rPr>
          <w:rFonts w:eastAsia="ArialMT" w:cstheme="minorHAnsi"/>
          <w:sz w:val="28"/>
          <w:szCs w:val="28"/>
        </w:rPr>
        <w:t>.</w:t>
      </w:r>
    </w:p>
    <w:p w:rsidR="009F66DF" w:rsidRPr="009F66DF" w:rsidRDefault="009F66DF" w:rsidP="00B400F6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b/>
          <w:sz w:val="28"/>
          <w:szCs w:val="28"/>
        </w:rPr>
      </w:pPr>
    </w:p>
    <w:p w:rsidR="00B400F6" w:rsidRP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 xml:space="preserve">(A) Os ambientes de trabalho que não atenderem aos parâmetros de nível de ruído de aceitável, de até 65 </w:t>
      </w:r>
      <w:proofErr w:type="gramStart"/>
      <w:r w:rsidRPr="00B400F6">
        <w:rPr>
          <w:rFonts w:eastAsia="ArialMT" w:cstheme="minorHAnsi"/>
          <w:sz w:val="28"/>
          <w:szCs w:val="28"/>
        </w:rPr>
        <w:t>dB(</w:t>
      </w:r>
      <w:proofErr w:type="gramEnd"/>
      <w:r w:rsidRPr="00B400F6">
        <w:rPr>
          <w:rFonts w:eastAsia="ArialMT" w:cstheme="minorHAnsi"/>
          <w:sz w:val="28"/>
          <w:szCs w:val="28"/>
        </w:rPr>
        <w:t>A); í</w:t>
      </w:r>
      <w:r w:rsidR="009F66DF">
        <w:rPr>
          <w:rFonts w:eastAsia="ArialMT" w:cstheme="minorHAnsi"/>
          <w:sz w:val="28"/>
          <w:szCs w:val="28"/>
        </w:rPr>
        <w:t xml:space="preserve">ndice de </w:t>
      </w:r>
      <w:r w:rsidRPr="00B400F6">
        <w:rPr>
          <w:rFonts w:eastAsia="ArialMT" w:cstheme="minorHAnsi"/>
          <w:sz w:val="28"/>
          <w:szCs w:val="28"/>
        </w:rPr>
        <w:t>temperatura efetiva entre 20º e 23ºC; velocidade do ar não superior a 0,75 m/s e umidade relativa do ar não inferior a 40% (quarenta</w:t>
      </w:r>
    </w:p>
    <w:p w:rsid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proofErr w:type="gramStart"/>
      <w:r w:rsidRPr="00B400F6">
        <w:rPr>
          <w:rFonts w:eastAsia="ArialMT" w:cstheme="minorHAnsi"/>
          <w:sz w:val="28"/>
          <w:szCs w:val="28"/>
        </w:rPr>
        <w:t>por</w:t>
      </w:r>
      <w:proofErr w:type="gramEnd"/>
      <w:r w:rsidRPr="00B400F6">
        <w:rPr>
          <w:rFonts w:eastAsia="ArialMT" w:cstheme="minorHAnsi"/>
          <w:sz w:val="28"/>
          <w:szCs w:val="28"/>
        </w:rPr>
        <w:t xml:space="preserve"> cento) suscitam pagamento de insalubridade.</w:t>
      </w:r>
    </w:p>
    <w:p w:rsidR="009F66DF" w:rsidRPr="00B400F6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(B) Denominam-se “síndrome do edifício doente” as situações prediais, segundo as quais não são atendidos os programas e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regulamentos sobre “Qualidade do Ar de Interiores em Ambientes Climatizados”, bem como os “Padrões Referenciais de Qualidade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do Ar Interior” em ambientes climatizados artificialmente de uso público e coletivo.</w:t>
      </w:r>
    </w:p>
    <w:p w:rsidR="009F66DF" w:rsidRPr="00B400F6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>(C) Em busca do ponto ótimo entre produtividade e salubridade, a empresa e os trabalhadores podem pactuar a implantaçã</w:t>
      </w:r>
      <w:r w:rsidR="009F66DF">
        <w:rPr>
          <w:rFonts w:eastAsia="ArialMT" w:cstheme="minorHAnsi"/>
          <w:sz w:val="28"/>
          <w:szCs w:val="28"/>
        </w:rPr>
        <w:t xml:space="preserve">o de um </w:t>
      </w:r>
      <w:r w:rsidRPr="00B400F6">
        <w:rPr>
          <w:rFonts w:eastAsia="ArialMT" w:cstheme="minorHAnsi"/>
          <w:sz w:val="28"/>
          <w:szCs w:val="28"/>
        </w:rPr>
        <w:t>sistema de avaliação dos trabalhadores envolvidos nas atividades de digitação, baseado no número individual de toques sobre o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teclado, inclusive o automatizado, para efeito de remuneração e outras vantagens.</w:t>
      </w:r>
    </w:p>
    <w:p w:rsidR="009F66DF" w:rsidRPr="00B400F6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B400F6" w:rsidRP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t xml:space="preserve">(D) Estabelecer parâmetros que permitam a adaptação das condições de trabalho às características </w:t>
      </w:r>
      <w:proofErr w:type="spellStart"/>
      <w:r w:rsidRPr="00B400F6">
        <w:rPr>
          <w:rFonts w:eastAsia="ArialMT" w:cstheme="minorHAnsi"/>
          <w:sz w:val="28"/>
          <w:szCs w:val="28"/>
        </w:rPr>
        <w:t>psicofisiológicas</w:t>
      </w:r>
      <w:proofErr w:type="spellEnd"/>
      <w:r w:rsidRPr="00B400F6">
        <w:rPr>
          <w:rFonts w:eastAsia="ArialMT" w:cstheme="minorHAnsi"/>
          <w:sz w:val="28"/>
          <w:szCs w:val="28"/>
        </w:rPr>
        <w:t xml:space="preserve"> dos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trabalhadores, de modo a proporcionar um máximo de conforto, segurança e desempenho eficiente às condições de trabalho que</w:t>
      </w:r>
    </w:p>
    <w:p w:rsidR="00B400F6" w:rsidRP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proofErr w:type="gramStart"/>
      <w:r w:rsidRPr="00B400F6">
        <w:rPr>
          <w:rFonts w:eastAsia="ArialMT" w:cstheme="minorHAnsi"/>
          <w:sz w:val="28"/>
          <w:szCs w:val="28"/>
        </w:rPr>
        <w:t>incluem</w:t>
      </w:r>
      <w:proofErr w:type="gramEnd"/>
      <w:r w:rsidRPr="00B400F6">
        <w:rPr>
          <w:rFonts w:eastAsia="ArialMT" w:cstheme="minorHAnsi"/>
          <w:sz w:val="28"/>
          <w:szCs w:val="28"/>
        </w:rPr>
        <w:t xml:space="preserve"> aspectos relacionados ao levantamento, transporte e descarga de materiais, ao mobiliário, aos equipamentos e às condições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ambientais do posto de trabalho e à própria organização do trabalho são o mote dos normativos trabalhistas em matéria ergonômica.</w:t>
      </w:r>
    </w:p>
    <w:p w:rsidR="00B400F6" w:rsidRP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TimesNewRomanPSMT" w:cstheme="minorHAnsi"/>
          <w:sz w:val="28"/>
          <w:szCs w:val="28"/>
        </w:rPr>
      </w:pPr>
    </w:p>
    <w:p w:rsidR="00B400F6" w:rsidRDefault="00B400F6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 w:rsidRPr="00B400F6">
        <w:rPr>
          <w:rFonts w:eastAsia="ArialMT" w:cstheme="minorHAnsi"/>
          <w:sz w:val="28"/>
          <w:szCs w:val="28"/>
        </w:rPr>
        <w:lastRenderedPageBreak/>
        <w:t>(E) A Análise Ergonômica do Trabalho, a cargo exclusivamente do empregador, é peça chave para avaliar a adaptação das condições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 xml:space="preserve">de trabalho às características </w:t>
      </w:r>
      <w:proofErr w:type="spellStart"/>
      <w:r w:rsidRPr="00B400F6">
        <w:rPr>
          <w:rFonts w:eastAsia="ArialMT" w:cstheme="minorHAnsi"/>
          <w:sz w:val="28"/>
          <w:szCs w:val="28"/>
        </w:rPr>
        <w:t>psicofisiológicas</w:t>
      </w:r>
      <w:proofErr w:type="spellEnd"/>
      <w:r w:rsidRPr="00B400F6">
        <w:rPr>
          <w:rFonts w:eastAsia="ArialMT" w:cstheme="minorHAnsi"/>
          <w:sz w:val="28"/>
          <w:szCs w:val="28"/>
        </w:rPr>
        <w:t xml:space="preserve"> dos trabalhadores; para definir o mobiliário e os equipamentos dos postos de trabalho;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para estabelecer princípios, limites e recomendações, notadamente quanto à organização do trabalho, e para definir parâmetros às</w:t>
      </w:r>
      <w:r w:rsidR="009F66DF">
        <w:rPr>
          <w:rFonts w:eastAsia="ArialMT" w:cstheme="minorHAnsi"/>
          <w:sz w:val="28"/>
          <w:szCs w:val="28"/>
        </w:rPr>
        <w:t xml:space="preserve"> </w:t>
      </w:r>
      <w:r w:rsidRPr="00B400F6">
        <w:rPr>
          <w:rFonts w:eastAsia="ArialMT" w:cstheme="minorHAnsi"/>
          <w:sz w:val="28"/>
          <w:szCs w:val="28"/>
        </w:rPr>
        <w:t>atividades que exijam sobrecarga muscular estática ou dinâmica do pescoço, ombros, dorso e membros superiores e inferiores.</w:t>
      </w: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b/>
          <w:sz w:val="28"/>
          <w:szCs w:val="28"/>
        </w:rPr>
      </w:pPr>
      <w:r>
        <w:rPr>
          <w:rFonts w:eastAsia="ArialMT" w:cstheme="minorHAnsi"/>
          <w:sz w:val="28"/>
          <w:szCs w:val="28"/>
        </w:rPr>
        <w:t xml:space="preserve">         4- </w:t>
      </w:r>
      <w:r w:rsidRPr="00B400F6">
        <w:rPr>
          <w:rFonts w:eastAsia="ArialMT" w:cstheme="minorHAnsi"/>
          <w:b/>
          <w:sz w:val="28"/>
          <w:szCs w:val="28"/>
        </w:rPr>
        <w:t>QUESTÃO</w:t>
      </w: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>Diversas são as desvantagens apontadas pela ergonomia na manutenção da postura em pé, particularmente em situações de pouca</w:t>
      </w:r>
      <w:r>
        <w:rPr>
          <w:rFonts w:eastAsia="ArialMT" w:cstheme="minorHAnsi"/>
          <w:sz w:val="28"/>
          <w:szCs w:val="28"/>
        </w:rPr>
        <w:t xml:space="preserve"> </w:t>
      </w:r>
      <w:r w:rsidRPr="009F66DF">
        <w:rPr>
          <w:rFonts w:eastAsia="ArialMT" w:cstheme="minorHAnsi"/>
          <w:sz w:val="28"/>
          <w:szCs w:val="28"/>
        </w:rPr>
        <w:t>mobilidade. No entanto, se reconhece que em algumas situações tal postura se justifica, exceto:</w:t>
      </w:r>
    </w:p>
    <w:p w:rsidR="009F66DF" w:rsidRPr="009F66DF" w:rsidRDefault="009F66DF" w:rsidP="009F66D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9F66DF" w:rsidRPr="009F66DF" w:rsidRDefault="009F66DF" w:rsidP="009F66DF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 xml:space="preserve">Na </w:t>
      </w:r>
      <w:proofErr w:type="spellStart"/>
      <w:r w:rsidRPr="009F66DF">
        <w:rPr>
          <w:rFonts w:eastAsia="ArialMT" w:cstheme="minorHAnsi"/>
          <w:sz w:val="28"/>
          <w:szCs w:val="28"/>
        </w:rPr>
        <w:t>manipulação-de</w:t>
      </w:r>
      <w:proofErr w:type="spellEnd"/>
      <w:r w:rsidRPr="009F66DF">
        <w:rPr>
          <w:rFonts w:eastAsia="ArialMT" w:cstheme="minorHAnsi"/>
          <w:sz w:val="28"/>
          <w:szCs w:val="28"/>
        </w:rPr>
        <w:t xml:space="preserve"> cargas com peso igual ou superior a 4,5 kg.</w:t>
      </w:r>
    </w:p>
    <w:p w:rsidR="009F66DF" w:rsidRPr="009F66DF" w:rsidRDefault="009F66DF" w:rsidP="009F66D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9F66DF" w:rsidRPr="009F66DF" w:rsidRDefault="009F66DF" w:rsidP="009F66DF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>Quando a tarefa exige a aplicação de força para baixo, como em empacotamento.</w:t>
      </w:r>
    </w:p>
    <w:p w:rsidR="009F66DF" w:rsidRPr="009F66DF" w:rsidRDefault="009F66DF" w:rsidP="009F66DF">
      <w:pPr>
        <w:pStyle w:val="PargrafodaLista"/>
        <w:rPr>
          <w:rFonts w:eastAsia="ArialMT" w:cstheme="minorHAnsi"/>
          <w:sz w:val="28"/>
          <w:szCs w:val="28"/>
        </w:rPr>
      </w:pPr>
    </w:p>
    <w:p w:rsidR="009F66DF" w:rsidRDefault="009F66DF" w:rsidP="009F66DF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 xml:space="preserve"> Quando a tarefa exige elevado grau de concentração e destreza.</w:t>
      </w:r>
    </w:p>
    <w:p w:rsidR="009F66DF" w:rsidRPr="009F66DF" w:rsidRDefault="009F66DF" w:rsidP="009F66D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9F66DF" w:rsidRPr="009F66DF" w:rsidRDefault="009F66DF" w:rsidP="009F66DF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 xml:space="preserve">Quando a tarefa exige operações </w:t>
      </w:r>
      <w:proofErr w:type="spellStart"/>
      <w:r w:rsidRPr="009F66DF">
        <w:rPr>
          <w:rFonts w:eastAsia="ArialMT" w:cstheme="minorHAnsi"/>
          <w:sz w:val="28"/>
          <w:szCs w:val="28"/>
        </w:rPr>
        <w:t>frequentes</w:t>
      </w:r>
      <w:proofErr w:type="spellEnd"/>
      <w:r w:rsidRPr="009F66DF">
        <w:rPr>
          <w:rFonts w:eastAsia="ArialMT" w:cstheme="minorHAnsi"/>
          <w:sz w:val="28"/>
          <w:szCs w:val="28"/>
        </w:rPr>
        <w:t xml:space="preserve"> em vários locais de trabalho, fisicamente separados.</w:t>
      </w:r>
    </w:p>
    <w:p w:rsidR="009F66DF" w:rsidRPr="009F66DF" w:rsidRDefault="009F66DF" w:rsidP="009F66D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 w:rsidRPr="009F66DF">
        <w:rPr>
          <w:rFonts w:eastAsia="ArialMT" w:cstheme="minorHAnsi"/>
          <w:sz w:val="28"/>
          <w:szCs w:val="28"/>
        </w:rPr>
        <w:t xml:space="preserve">(E) Quando a tarefa exige movimentos </w:t>
      </w:r>
      <w:proofErr w:type="spellStart"/>
      <w:r w:rsidRPr="009F66DF">
        <w:rPr>
          <w:rFonts w:eastAsia="ArialMT" w:cstheme="minorHAnsi"/>
          <w:sz w:val="28"/>
          <w:szCs w:val="28"/>
        </w:rPr>
        <w:t>frequentes</w:t>
      </w:r>
      <w:proofErr w:type="spellEnd"/>
      <w:r w:rsidRPr="009F66DF">
        <w:rPr>
          <w:rFonts w:eastAsia="ArialMT" w:cstheme="minorHAnsi"/>
          <w:sz w:val="28"/>
          <w:szCs w:val="28"/>
        </w:rPr>
        <w:t xml:space="preserve"> para cima e para baixo.</w:t>
      </w:r>
    </w:p>
    <w:p w:rsidR="009F66DF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</w:p>
    <w:p w:rsidR="009F66DF" w:rsidRPr="009F66DF" w:rsidRDefault="009F66DF" w:rsidP="009F66D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8"/>
          <w:szCs w:val="28"/>
        </w:rPr>
      </w:pPr>
    </w:p>
    <w:p w:rsidR="009F66DF" w:rsidRPr="00B400F6" w:rsidRDefault="009F66DF" w:rsidP="009F66DF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eastAsia="ArialMT" w:cstheme="minorHAnsi"/>
          <w:sz w:val="28"/>
          <w:szCs w:val="28"/>
        </w:rPr>
      </w:pPr>
      <w:r>
        <w:rPr>
          <w:rFonts w:ascii="Arial-BoldMT" w:eastAsia="ArialMT" w:hAnsi="Arial-BoldMT" w:cs="Arial-BoldMT"/>
          <w:b/>
          <w:bCs/>
          <w:sz w:val="18"/>
          <w:szCs w:val="18"/>
        </w:rPr>
        <w:t>QUESTÃO</w:t>
      </w:r>
    </w:p>
    <w:sectPr w:rsidR="009F66DF" w:rsidRPr="00B400F6" w:rsidSect="00B400F6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A5C6C"/>
    <w:multiLevelType w:val="hybridMultilevel"/>
    <w:tmpl w:val="79AADE8A"/>
    <w:lvl w:ilvl="0" w:tplc="36D4D03E">
      <w:start w:val="1"/>
      <w:numFmt w:val="decimal"/>
      <w:lvlText w:val="%1"/>
      <w:lvlJc w:val="left"/>
      <w:pPr>
        <w:ind w:left="720" w:hanging="360"/>
      </w:pPr>
      <w:rPr>
        <w:rFonts w:eastAsiaTheme="minorHAns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74514E"/>
    <w:multiLevelType w:val="hybridMultilevel"/>
    <w:tmpl w:val="6C6CEC5C"/>
    <w:lvl w:ilvl="0" w:tplc="BA18C3D6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55E632FB"/>
    <w:multiLevelType w:val="hybridMultilevel"/>
    <w:tmpl w:val="5F7450FC"/>
    <w:lvl w:ilvl="0" w:tplc="23A61F90">
      <w:start w:val="1"/>
      <w:numFmt w:val="upperLetter"/>
      <w:lvlText w:val="(%1)"/>
      <w:lvlJc w:val="left"/>
      <w:pPr>
        <w:ind w:left="-162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6B84692A"/>
    <w:multiLevelType w:val="hybridMultilevel"/>
    <w:tmpl w:val="89F02632"/>
    <w:lvl w:ilvl="0" w:tplc="EE4EE3E6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14119D"/>
    <w:multiLevelType w:val="hybridMultilevel"/>
    <w:tmpl w:val="3C3A1080"/>
    <w:lvl w:ilvl="0" w:tplc="6B66A136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B400F6"/>
    <w:rsid w:val="007E5B6B"/>
    <w:rsid w:val="009F0DA9"/>
    <w:rsid w:val="009F66DF"/>
    <w:rsid w:val="00B400F6"/>
    <w:rsid w:val="00B62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00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676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2020-06-05T20:15:00Z</dcterms:created>
  <dcterms:modified xsi:type="dcterms:W3CDTF">2020-06-05T20:32:00Z</dcterms:modified>
</cp:coreProperties>
</file>