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07B9" w:rsidRDefault="001B07B9" w:rsidP="001B07B9">
      <w:pPr>
        <w:pStyle w:val="NormalWeb"/>
        <w:spacing w:before="0" w:beforeAutospacing="0" w:after="0" w:afterAutospacing="0"/>
        <w:rPr>
          <w:rFonts w:ascii="Arial" w:hAnsi="Arial" w:cs="Arial"/>
          <w:color w:val="222222"/>
          <w:sz w:val="32"/>
          <w:szCs w:val="32"/>
        </w:rPr>
      </w:pPr>
      <w:r>
        <w:rPr>
          <w:rFonts w:ascii="Arial" w:hAnsi="Arial" w:cs="Arial"/>
          <w:b/>
          <w:bCs/>
          <w:color w:val="222222"/>
          <w:sz w:val="32"/>
          <w:szCs w:val="32"/>
        </w:rPr>
        <w:br/>
      </w:r>
      <w:r>
        <w:rPr>
          <w:rStyle w:val="Forte"/>
          <w:rFonts w:ascii="Arial" w:hAnsi="Arial" w:cs="Arial"/>
          <w:color w:val="222222"/>
          <w:sz w:val="32"/>
          <w:szCs w:val="32"/>
        </w:rPr>
        <w:t>Conteúdo programático</w:t>
      </w:r>
      <w:r>
        <w:rPr>
          <w:rFonts w:ascii="Arial" w:hAnsi="Arial" w:cs="Arial"/>
          <w:color w:val="222222"/>
          <w:sz w:val="32"/>
          <w:szCs w:val="32"/>
        </w:rPr>
        <w:t>:</w:t>
      </w:r>
    </w:p>
    <w:p w:rsidR="001B07B9" w:rsidRDefault="001B07B9" w:rsidP="001B07B9">
      <w:pPr>
        <w:pStyle w:val="NormalWeb"/>
        <w:spacing w:before="0" w:beforeAutospacing="0" w:after="0" w:afterAutospacing="0"/>
        <w:rPr>
          <w:rFonts w:ascii="Arial" w:hAnsi="Arial" w:cs="Arial"/>
          <w:color w:val="222222"/>
          <w:sz w:val="32"/>
          <w:szCs w:val="32"/>
        </w:rPr>
      </w:pPr>
      <w:r>
        <w:rPr>
          <w:rFonts w:ascii="Arial" w:hAnsi="Arial" w:cs="Arial"/>
          <w:color w:val="222222"/>
          <w:sz w:val="32"/>
          <w:szCs w:val="32"/>
        </w:rPr>
        <w:t> </w:t>
      </w:r>
    </w:p>
    <w:p w:rsidR="001B07B9" w:rsidRDefault="001B07B9" w:rsidP="001B07B9">
      <w:pPr>
        <w:pStyle w:val="NormalWeb"/>
        <w:spacing w:before="0" w:beforeAutospacing="0" w:after="0" w:afterAutospacing="0"/>
        <w:rPr>
          <w:rFonts w:ascii="Arial" w:hAnsi="Arial" w:cs="Arial"/>
          <w:color w:val="222222"/>
          <w:sz w:val="32"/>
          <w:szCs w:val="32"/>
        </w:rPr>
      </w:pPr>
      <w:r>
        <w:rPr>
          <w:rFonts w:ascii="Arial" w:hAnsi="Arial" w:cs="Arial"/>
          <w:color w:val="222222"/>
          <w:sz w:val="32"/>
          <w:szCs w:val="32"/>
        </w:rPr>
        <w:t>Introdução</w:t>
      </w:r>
    </w:p>
    <w:p w:rsidR="001B07B9" w:rsidRDefault="001B07B9" w:rsidP="001B07B9">
      <w:pPr>
        <w:pStyle w:val="NormalWeb"/>
        <w:spacing w:before="0" w:beforeAutospacing="0" w:after="0" w:afterAutospacing="0"/>
        <w:rPr>
          <w:rFonts w:ascii="Arial" w:hAnsi="Arial" w:cs="Arial"/>
          <w:color w:val="222222"/>
          <w:sz w:val="32"/>
          <w:szCs w:val="32"/>
        </w:rPr>
      </w:pPr>
      <w:r>
        <w:rPr>
          <w:rFonts w:ascii="Arial" w:hAnsi="Arial" w:cs="Arial"/>
          <w:color w:val="222222"/>
          <w:sz w:val="32"/>
          <w:szCs w:val="32"/>
        </w:rPr>
        <w:br/>
        <w:t xml:space="preserve">Legislação Relacionada </w:t>
      </w:r>
      <w:proofErr w:type="gramStart"/>
      <w:r>
        <w:rPr>
          <w:rFonts w:ascii="Arial" w:hAnsi="Arial" w:cs="Arial"/>
          <w:color w:val="222222"/>
          <w:sz w:val="32"/>
          <w:szCs w:val="32"/>
        </w:rPr>
        <w:t>a</w:t>
      </w:r>
      <w:proofErr w:type="gramEnd"/>
      <w:r>
        <w:rPr>
          <w:rFonts w:ascii="Arial" w:hAnsi="Arial" w:cs="Arial"/>
          <w:color w:val="222222"/>
          <w:sz w:val="32"/>
          <w:szCs w:val="32"/>
        </w:rPr>
        <w:t xml:space="preserve"> Norma</w:t>
      </w:r>
    </w:p>
    <w:p w:rsidR="001B07B9" w:rsidRDefault="001B07B9" w:rsidP="001B07B9">
      <w:pPr>
        <w:pStyle w:val="NormalWeb"/>
        <w:spacing w:before="0" w:beforeAutospacing="0" w:after="0" w:afterAutospacing="0"/>
        <w:rPr>
          <w:rFonts w:ascii="Arial" w:hAnsi="Arial" w:cs="Arial"/>
          <w:color w:val="222222"/>
          <w:sz w:val="32"/>
          <w:szCs w:val="32"/>
        </w:rPr>
      </w:pPr>
      <w:r>
        <w:rPr>
          <w:rFonts w:ascii="Arial" w:hAnsi="Arial" w:cs="Arial"/>
          <w:color w:val="222222"/>
          <w:sz w:val="32"/>
          <w:szCs w:val="32"/>
        </w:rPr>
        <w:t>O que é Periculosidade?</w:t>
      </w:r>
    </w:p>
    <w:p w:rsidR="001B07B9" w:rsidRDefault="001B07B9" w:rsidP="001B07B9">
      <w:pPr>
        <w:pStyle w:val="NormalWeb"/>
        <w:spacing w:before="0" w:beforeAutospacing="0" w:after="0" w:afterAutospacing="0"/>
        <w:rPr>
          <w:rFonts w:ascii="Arial" w:hAnsi="Arial" w:cs="Arial"/>
          <w:color w:val="222222"/>
          <w:sz w:val="32"/>
          <w:szCs w:val="32"/>
        </w:rPr>
      </w:pPr>
      <w:r>
        <w:rPr>
          <w:rFonts w:ascii="Arial" w:hAnsi="Arial" w:cs="Arial"/>
          <w:color w:val="222222"/>
          <w:sz w:val="32"/>
          <w:szCs w:val="32"/>
        </w:rPr>
        <w:t>Demais Esclarecimentos sobre o Adicional de Periculosidade</w:t>
      </w:r>
    </w:p>
    <w:p w:rsidR="001B07B9" w:rsidRDefault="001B07B9" w:rsidP="001B07B9">
      <w:pPr>
        <w:pStyle w:val="NormalWeb"/>
        <w:spacing w:before="0" w:beforeAutospacing="0" w:after="0" w:afterAutospacing="0"/>
        <w:rPr>
          <w:rFonts w:ascii="Arial" w:hAnsi="Arial" w:cs="Arial"/>
          <w:color w:val="222222"/>
          <w:sz w:val="32"/>
          <w:szCs w:val="32"/>
        </w:rPr>
      </w:pPr>
      <w:r>
        <w:rPr>
          <w:rFonts w:ascii="Arial" w:hAnsi="Arial" w:cs="Arial"/>
          <w:color w:val="222222"/>
          <w:sz w:val="32"/>
          <w:szCs w:val="32"/>
        </w:rPr>
        <w:t>Agentes de Periculosidade Classificados na Norma</w:t>
      </w:r>
    </w:p>
    <w:p w:rsidR="001B07B9" w:rsidRDefault="001B07B9" w:rsidP="001B07B9">
      <w:pPr>
        <w:pStyle w:val="NormalWeb"/>
        <w:spacing w:before="0" w:beforeAutospacing="0" w:after="0" w:afterAutospacing="0"/>
        <w:rPr>
          <w:rFonts w:ascii="Arial" w:hAnsi="Arial" w:cs="Arial"/>
          <w:color w:val="222222"/>
          <w:sz w:val="32"/>
          <w:szCs w:val="32"/>
        </w:rPr>
      </w:pPr>
      <w:r>
        <w:rPr>
          <w:rFonts w:ascii="Arial" w:hAnsi="Arial" w:cs="Arial"/>
          <w:color w:val="222222"/>
          <w:sz w:val="32"/>
          <w:szCs w:val="32"/>
        </w:rPr>
        <w:t>O que seria Embalagem Certificada para esta norma?</w:t>
      </w:r>
    </w:p>
    <w:p w:rsidR="001B07B9" w:rsidRDefault="001B07B9" w:rsidP="001B07B9">
      <w:pPr>
        <w:pStyle w:val="NormalWeb"/>
        <w:spacing w:before="0" w:beforeAutospacing="0" w:after="0" w:afterAutospacing="0"/>
        <w:rPr>
          <w:rFonts w:ascii="Arial" w:hAnsi="Arial" w:cs="Arial"/>
          <w:color w:val="222222"/>
          <w:sz w:val="32"/>
          <w:szCs w:val="32"/>
        </w:rPr>
      </w:pPr>
      <w:r>
        <w:rPr>
          <w:rFonts w:ascii="Arial" w:hAnsi="Arial" w:cs="Arial"/>
          <w:color w:val="222222"/>
          <w:sz w:val="32"/>
          <w:szCs w:val="32"/>
        </w:rPr>
        <w:t>Enquadramento da Eletricidade como Agente de Periculosidade</w:t>
      </w:r>
    </w:p>
    <w:p w:rsidR="001B07B9" w:rsidRDefault="001B07B9" w:rsidP="001B07B9">
      <w:pPr>
        <w:pStyle w:val="NormalWeb"/>
        <w:spacing w:before="0" w:beforeAutospacing="0" w:after="0" w:afterAutospacing="0"/>
        <w:rPr>
          <w:rFonts w:ascii="Arial" w:hAnsi="Arial" w:cs="Arial"/>
          <w:color w:val="222222"/>
          <w:sz w:val="32"/>
          <w:szCs w:val="32"/>
        </w:rPr>
      </w:pPr>
      <w:r>
        <w:rPr>
          <w:rFonts w:ascii="Arial" w:hAnsi="Arial" w:cs="Arial"/>
          <w:color w:val="222222"/>
          <w:sz w:val="32"/>
          <w:szCs w:val="32"/>
        </w:rPr>
        <w:t>Atividades Enquadradas com Periculosidade nas Radiações Ionizantes </w:t>
      </w:r>
    </w:p>
    <w:p w:rsidR="001B07B9" w:rsidRDefault="001B07B9" w:rsidP="001B07B9">
      <w:pPr>
        <w:pStyle w:val="NormalWeb"/>
        <w:spacing w:before="0" w:beforeAutospacing="0" w:after="0" w:afterAutospacing="0"/>
        <w:rPr>
          <w:rFonts w:ascii="Arial" w:hAnsi="Arial" w:cs="Arial"/>
          <w:color w:val="222222"/>
          <w:sz w:val="32"/>
          <w:szCs w:val="32"/>
        </w:rPr>
      </w:pPr>
      <w:r>
        <w:rPr>
          <w:rFonts w:ascii="Arial" w:hAnsi="Arial" w:cs="Arial"/>
          <w:color w:val="222222"/>
          <w:sz w:val="32"/>
          <w:szCs w:val="32"/>
        </w:rPr>
        <w:t>A Norma NR 16</w:t>
      </w:r>
    </w:p>
    <w:p w:rsidR="001B07B9" w:rsidRDefault="001B07B9" w:rsidP="001B07B9">
      <w:pPr>
        <w:pStyle w:val="NormalWeb"/>
        <w:spacing w:before="0" w:beforeAutospacing="0" w:after="0" w:afterAutospacing="0"/>
        <w:rPr>
          <w:rFonts w:ascii="Arial" w:hAnsi="Arial" w:cs="Arial"/>
          <w:color w:val="222222"/>
          <w:sz w:val="32"/>
          <w:szCs w:val="32"/>
        </w:rPr>
      </w:pPr>
      <w:r>
        <w:rPr>
          <w:rFonts w:ascii="Arial" w:hAnsi="Arial" w:cs="Arial"/>
          <w:color w:val="222222"/>
          <w:sz w:val="32"/>
          <w:szCs w:val="32"/>
        </w:rPr>
        <w:t>Atividades e Operações Perigosas Com Explosivos</w:t>
      </w:r>
    </w:p>
    <w:p w:rsidR="001B07B9" w:rsidRDefault="001B07B9" w:rsidP="001B07B9">
      <w:pPr>
        <w:pStyle w:val="NormalWeb"/>
        <w:spacing w:before="0" w:beforeAutospacing="0" w:after="0" w:afterAutospacing="0"/>
        <w:rPr>
          <w:rFonts w:ascii="Arial" w:hAnsi="Arial" w:cs="Arial"/>
          <w:color w:val="222222"/>
          <w:sz w:val="32"/>
          <w:szCs w:val="32"/>
        </w:rPr>
      </w:pPr>
      <w:r>
        <w:rPr>
          <w:rFonts w:ascii="Arial" w:hAnsi="Arial" w:cs="Arial"/>
          <w:color w:val="222222"/>
          <w:sz w:val="32"/>
          <w:szCs w:val="32"/>
        </w:rPr>
        <w:t>Atividades e Operações Perigosas Com Inflamáveis</w:t>
      </w:r>
    </w:p>
    <w:p w:rsidR="001B07B9" w:rsidRDefault="001B07B9" w:rsidP="001B07B9">
      <w:pPr>
        <w:pStyle w:val="NormalWeb"/>
        <w:spacing w:before="0" w:beforeAutospacing="0" w:after="0" w:afterAutospacing="0"/>
        <w:rPr>
          <w:rFonts w:ascii="Arial" w:hAnsi="Arial" w:cs="Arial"/>
          <w:color w:val="222222"/>
          <w:sz w:val="32"/>
          <w:szCs w:val="32"/>
        </w:rPr>
      </w:pPr>
      <w:r>
        <w:rPr>
          <w:rFonts w:ascii="Arial" w:hAnsi="Arial" w:cs="Arial"/>
          <w:color w:val="222222"/>
          <w:sz w:val="32"/>
          <w:szCs w:val="32"/>
        </w:rPr>
        <w:t>Atividades Profissionais de Segurança Pessoal ou Patrimonial</w:t>
      </w:r>
    </w:p>
    <w:p w:rsidR="001B07B9" w:rsidRDefault="001B07B9" w:rsidP="001B07B9">
      <w:pPr>
        <w:pStyle w:val="NormalWeb"/>
        <w:spacing w:before="0" w:beforeAutospacing="0" w:after="0" w:afterAutospacing="0"/>
        <w:rPr>
          <w:rFonts w:ascii="Arial" w:hAnsi="Arial" w:cs="Arial"/>
          <w:color w:val="222222"/>
          <w:sz w:val="32"/>
          <w:szCs w:val="32"/>
        </w:rPr>
      </w:pPr>
      <w:r>
        <w:rPr>
          <w:rFonts w:ascii="Arial" w:hAnsi="Arial" w:cs="Arial"/>
          <w:color w:val="222222"/>
          <w:sz w:val="32"/>
          <w:szCs w:val="32"/>
        </w:rPr>
        <w:br/>
        <w:t>Atividades e Operações Perigosas com Energia Elétrica</w:t>
      </w:r>
    </w:p>
    <w:p w:rsidR="001B07B9" w:rsidRDefault="001B07B9" w:rsidP="001B07B9">
      <w:pPr>
        <w:pStyle w:val="NormalWeb"/>
        <w:spacing w:before="0" w:beforeAutospacing="0" w:after="0" w:afterAutospacing="0"/>
        <w:rPr>
          <w:rFonts w:ascii="Arial" w:hAnsi="Arial" w:cs="Arial"/>
          <w:color w:val="222222"/>
          <w:sz w:val="32"/>
          <w:szCs w:val="32"/>
        </w:rPr>
      </w:pPr>
      <w:r>
        <w:rPr>
          <w:rFonts w:ascii="Arial" w:hAnsi="Arial" w:cs="Arial"/>
          <w:color w:val="222222"/>
          <w:sz w:val="32"/>
          <w:szCs w:val="32"/>
        </w:rPr>
        <w:br/>
        <w:t>Atividades Perigosas em Motocicleta</w:t>
      </w:r>
    </w:p>
    <w:p w:rsidR="001B07B9" w:rsidRDefault="001B07B9" w:rsidP="001B07B9">
      <w:pPr>
        <w:pStyle w:val="NormalWeb"/>
        <w:spacing w:before="0" w:beforeAutospacing="0" w:after="0" w:afterAutospacing="0"/>
        <w:rPr>
          <w:rFonts w:ascii="Arial" w:hAnsi="Arial" w:cs="Arial"/>
          <w:color w:val="222222"/>
          <w:sz w:val="32"/>
          <w:szCs w:val="32"/>
        </w:rPr>
      </w:pPr>
      <w:r>
        <w:rPr>
          <w:rFonts w:ascii="Arial" w:hAnsi="Arial" w:cs="Arial"/>
          <w:color w:val="222222"/>
          <w:sz w:val="32"/>
          <w:szCs w:val="32"/>
        </w:rPr>
        <w:t>Atividades e Operações  Perigosas com Radiações Ionizantes ou Substâncias Radioativas</w:t>
      </w:r>
    </w:p>
    <w:p w:rsidR="009F0DA9" w:rsidRDefault="009F0DA9"/>
    <w:p w:rsidR="001B07B9" w:rsidRDefault="00765AC3" w:rsidP="00C13A2C">
      <w:pPr>
        <w:jc w:val="both"/>
      </w:pPr>
      <w:r>
        <w:rPr>
          <w:rStyle w:val="Forte"/>
          <w:rFonts w:ascii="Arial" w:hAnsi="Arial" w:cs="Arial"/>
          <w:color w:val="333333"/>
          <w:sz w:val="20"/>
          <w:szCs w:val="20"/>
          <w:bdr w:val="none" w:sz="0" w:space="0" w:color="auto" w:frame="1"/>
          <w:shd w:val="clear" w:color="auto" w:fill="EDEDED"/>
        </w:rPr>
        <w:t>Objetivos:</w:t>
      </w:r>
      <w:r>
        <w:rPr>
          <w:rStyle w:val="apple-converted-space"/>
          <w:rFonts w:ascii="Arial" w:hAnsi="Arial" w:cs="Arial"/>
          <w:color w:val="333333"/>
          <w:sz w:val="20"/>
          <w:szCs w:val="20"/>
          <w:shd w:val="clear" w:color="auto" w:fill="EDEDED"/>
        </w:rPr>
        <w:t> </w:t>
      </w:r>
      <w:r>
        <w:rPr>
          <w:rFonts w:ascii="Arial" w:hAnsi="Arial" w:cs="Arial"/>
          <w:color w:val="333333"/>
          <w:sz w:val="20"/>
          <w:szCs w:val="20"/>
          <w:shd w:val="clear" w:color="auto" w:fill="EDEDED"/>
        </w:rPr>
        <w:t xml:space="preserve">curso livre para Qualificação Profissional, onde o aluno aprenderá os conceitos básicos da NR 16; legislação relacionada </w:t>
      </w:r>
      <w:proofErr w:type="gramStart"/>
      <w:r>
        <w:rPr>
          <w:rFonts w:ascii="Arial" w:hAnsi="Arial" w:cs="Arial"/>
          <w:color w:val="333333"/>
          <w:sz w:val="20"/>
          <w:szCs w:val="20"/>
          <w:shd w:val="clear" w:color="auto" w:fill="EDEDED"/>
        </w:rPr>
        <w:t>a</w:t>
      </w:r>
      <w:proofErr w:type="gramEnd"/>
      <w:r>
        <w:rPr>
          <w:rFonts w:ascii="Arial" w:hAnsi="Arial" w:cs="Arial"/>
          <w:color w:val="333333"/>
          <w:sz w:val="20"/>
          <w:szCs w:val="20"/>
          <w:shd w:val="clear" w:color="auto" w:fill="EDEDED"/>
        </w:rPr>
        <w:t xml:space="preserve"> norma; o que é periculosidade; demais esclarecimentos sobre o adicional de periculosidade; agentes de periculosidade classificados na norma; embalagem certificada para esta norma; enquadramento da eletricidade como agente de periculosidade; atividades enquadradas com periculosidade nas radiações ionizantes; a norma </w:t>
      </w:r>
      <w:proofErr w:type="spellStart"/>
      <w:r>
        <w:rPr>
          <w:rFonts w:ascii="Arial" w:hAnsi="Arial" w:cs="Arial"/>
          <w:color w:val="333333"/>
          <w:sz w:val="20"/>
          <w:szCs w:val="20"/>
          <w:shd w:val="clear" w:color="auto" w:fill="EDEDED"/>
        </w:rPr>
        <w:t>nr</w:t>
      </w:r>
      <w:proofErr w:type="spellEnd"/>
      <w:r>
        <w:rPr>
          <w:rFonts w:ascii="Arial" w:hAnsi="Arial" w:cs="Arial"/>
          <w:color w:val="333333"/>
          <w:sz w:val="20"/>
          <w:szCs w:val="20"/>
          <w:shd w:val="clear" w:color="auto" w:fill="EDEDED"/>
        </w:rPr>
        <w:t xml:space="preserve"> 16; anexos, vídeos.</w:t>
      </w:r>
    </w:p>
    <w:p w:rsidR="001B07B9" w:rsidRDefault="001B07B9"/>
    <w:p w:rsidR="001B07B9" w:rsidRDefault="001B07B9"/>
    <w:p w:rsidR="001B07B9" w:rsidRDefault="001B07B9"/>
    <w:p w:rsidR="001B07B9" w:rsidRDefault="001B07B9"/>
    <w:p w:rsidR="001B07B9" w:rsidRDefault="001B07B9"/>
    <w:p w:rsidR="001B07B9" w:rsidRDefault="001B07B9"/>
    <w:p w:rsidR="001B07B9" w:rsidRDefault="001B07B9"/>
    <w:p w:rsidR="001B07B9" w:rsidRDefault="001B07B9"/>
    <w:p w:rsidR="001B07B9" w:rsidRPr="001B07B9" w:rsidRDefault="001B07B9" w:rsidP="001B07B9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444444"/>
          <w:sz w:val="32"/>
          <w:szCs w:val="32"/>
          <w:lang w:eastAsia="pt-BR"/>
        </w:rPr>
      </w:pPr>
      <w:r w:rsidRPr="001B07B9">
        <w:rPr>
          <w:rFonts w:ascii="Arial" w:eastAsia="Times New Roman" w:hAnsi="Arial" w:cs="Arial"/>
          <w:color w:val="444444"/>
          <w:sz w:val="32"/>
          <w:szCs w:val="32"/>
          <w:lang w:eastAsia="pt-BR"/>
        </w:rPr>
        <w:t>NR 16.1 São consideradas atividades e operações perigosas as constantes dos Anexos desta Norma Regulamentadora –</w:t>
      </w:r>
      <w:r w:rsidRPr="001B07B9">
        <w:rPr>
          <w:rFonts w:ascii="Arial" w:eastAsia="Times New Roman" w:hAnsi="Arial" w:cs="Arial"/>
          <w:color w:val="444444"/>
          <w:sz w:val="32"/>
          <w:szCs w:val="32"/>
          <w:lang w:eastAsia="pt-BR"/>
        </w:rPr>
        <w:br/>
      </w:r>
    </w:p>
    <w:p w:rsidR="001B07B9" w:rsidRDefault="001B07B9"/>
    <w:p w:rsidR="001B07B9" w:rsidRDefault="001B07B9"/>
    <w:p w:rsidR="001B07B9" w:rsidRDefault="001B07B9"/>
    <w:p w:rsidR="00000000" w:rsidRPr="001B07B9" w:rsidRDefault="00C13A2C" w:rsidP="001B07B9">
      <w:pPr>
        <w:numPr>
          <w:ilvl w:val="0"/>
          <w:numId w:val="1"/>
        </w:numPr>
      </w:pPr>
      <w:r w:rsidRPr="001B07B9">
        <w:rPr>
          <w:b/>
          <w:bCs/>
        </w:rPr>
        <w:t>NR16 - ATIVIDADES E OPERAÇÕES PERIGOSAS</w:t>
      </w:r>
      <w:r w:rsidRPr="001B07B9">
        <w:t xml:space="preserve"> </w:t>
      </w:r>
    </w:p>
    <w:p w:rsidR="00000000" w:rsidRPr="001B07B9" w:rsidRDefault="00C13A2C" w:rsidP="001B07B9">
      <w:pPr>
        <w:numPr>
          <w:ilvl w:val="0"/>
          <w:numId w:val="1"/>
        </w:numPr>
      </w:pPr>
      <w:r w:rsidRPr="001B07B9">
        <w:t>​</w:t>
      </w:r>
    </w:p>
    <w:p w:rsidR="00000000" w:rsidRPr="001B07B9" w:rsidRDefault="00C13A2C" w:rsidP="001B07B9">
      <w:pPr>
        <w:numPr>
          <w:ilvl w:val="0"/>
          <w:numId w:val="1"/>
        </w:numPr>
      </w:pPr>
      <w:proofErr w:type="gramStart"/>
      <w:r w:rsidRPr="001B07B9">
        <w:t>A Norma Regulamentadora 16, cujo título é Atividades e Operações Perigosas, define</w:t>
      </w:r>
      <w:proofErr w:type="gramEnd"/>
      <w:r w:rsidRPr="001B07B9">
        <w:t xml:space="preserve"> os critérios técnicos e legais para avaliar e caracterizar as atividades e operações perigosas e o adicional de periculosidade.</w:t>
      </w:r>
    </w:p>
    <w:p w:rsidR="00000000" w:rsidRPr="001B07B9" w:rsidRDefault="00C13A2C" w:rsidP="001B07B9">
      <w:pPr>
        <w:numPr>
          <w:ilvl w:val="0"/>
          <w:numId w:val="1"/>
        </w:numPr>
      </w:pPr>
      <w:r w:rsidRPr="001B07B9">
        <w:t>​</w:t>
      </w:r>
    </w:p>
    <w:p w:rsidR="00000000" w:rsidRPr="001B07B9" w:rsidRDefault="00C13A2C" w:rsidP="001B07B9">
      <w:pPr>
        <w:numPr>
          <w:ilvl w:val="0"/>
          <w:numId w:val="1"/>
        </w:numPr>
      </w:pPr>
      <w:r w:rsidRPr="001B07B9">
        <w:t>Saiba mais sobre Atividades e Operações Perigosas:</w:t>
      </w:r>
      <w:r w:rsidRPr="001B07B9">
        <w:br/>
        <w:t>NR 16 item 16.1 São consideradas atividades e operações perigosas as constantes dos Anexos desta Norma Regulamentadora – NR.</w:t>
      </w:r>
      <w:r w:rsidRPr="001B07B9">
        <w:br/>
        <w:t>16.2 O exercício de trabalho em condições de periculosidade assegura ao trab</w:t>
      </w:r>
      <w:r w:rsidRPr="001B07B9">
        <w:t>alhador a percepção de adicional de 30% (trinta por cento), incidente sobre o salário, sem os acréscimos resultantes de gratificações, prêmios ou participação nos lucros da empresa.</w:t>
      </w:r>
      <w:r w:rsidRPr="001B07B9">
        <w:br/>
        <w:t>16.2.1 O empregado poderá optar pelo adicional de insalubridade que porven</w:t>
      </w:r>
      <w:r w:rsidRPr="001B07B9">
        <w:t>tura lhe seja devido.</w:t>
      </w:r>
      <w:r w:rsidRPr="001B07B9">
        <w:br/>
        <w:t>16.3 É responsabilidade do empregador a caracterização ou a descaracterização da</w:t>
      </w:r>
      <w:proofErr w:type="gramStart"/>
      <w:r w:rsidRPr="001B07B9">
        <w:t xml:space="preserve">  </w:t>
      </w:r>
      <w:proofErr w:type="gramEnd"/>
      <w:r w:rsidRPr="001B07B9">
        <w:t>periculosidade, mediante laudo técnico</w:t>
      </w:r>
      <w:r w:rsidRPr="001B07B9">
        <w:br/>
        <w:t>elaborado por Médico do Trabalho ou Engenheiro de Segurança do Trabalho, nos termos do artigo 195 da CLT.</w:t>
      </w:r>
      <w:r w:rsidRPr="001B07B9">
        <w:br/>
        <w:t xml:space="preserve">16.4 O </w:t>
      </w:r>
      <w:r w:rsidRPr="001B07B9">
        <w:t xml:space="preserve">disposto no item 16.3 não prejudica a ação fiscalizadora do Ministério do Trabalho nem a realização </w:t>
      </w:r>
      <w:proofErr w:type="spellStart"/>
      <w:r w:rsidRPr="001B07B9">
        <w:t>ex-officio</w:t>
      </w:r>
      <w:proofErr w:type="spellEnd"/>
      <w:r w:rsidRPr="001B07B9">
        <w:t xml:space="preserve"> da perícia.</w:t>
      </w:r>
      <w:r w:rsidRPr="001B07B9">
        <w:br/>
        <w:t>16.5 Para os fins desta Norma Regulamentadora – NR são consideradas atividades ou operações perigosas as executadas com explosivos su</w:t>
      </w:r>
      <w:r w:rsidRPr="001B07B9">
        <w:t>jeitos a:</w:t>
      </w:r>
      <w:r w:rsidRPr="001B07B9">
        <w:br/>
        <w:t xml:space="preserve">a) degradação química ou </w:t>
      </w:r>
      <w:proofErr w:type="spellStart"/>
      <w:r w:rsidRPr="001B07B9">
        <w:t>autocatalítica</w:t>
      </w:r>
      <w:proofErr w:type="spellEnd"/>
      <w:r w:rsidRPr="001B07B9">
        <w:t>;</w:t>
      </w:r>
      <w:r w:rsidRPr="001B07B9">
        <w:br/>
        <w:t xml:space="preserve">b) ação de agentes exteriores, tais como, calor, umidade, faíscas, fogo, fenômenos </w:t>
      </w:r>
      <w:r w:rsidRPr="001B07B9">
        <w:lastRenderedPageBreak/>
        <w:t>sísmicos, choque e atritos.</w:t>
      </w:r>
      <w:r w:rsidRPr="001B07B9">
        <w:br/>
        <w:t>16.6 As operações de transporte de inflamáveis líquidos ou gasosos liquefeitos, em quaisquer v</w:t>
      </w:r>
      <w:r w:rsidRPr="001B07B9">
        <w:t xml:space="preserve">asilhames e a granel, são consideradas em condições de periculosidade, exclusão para o transporte em pequenas quantidades, até o limite de 200 (duzentos) litros para os inflamáveis líquidos e 135 (cento e trinta e cinco) quilos para os inflamáveis gasosos </w:t>
      </w:r>
      <w:r w:rsidRPr="001B07B9">
        <w:t>liquefeitos.</w:t>
      </w:r>
      <w:r w:rsidRPr="001B07B9">
        <w:br/>
        <w:t>16.6.1 As quantidades de inflamáveis, contidas nos tanques de consumo próprio dos veículos, não serão consideradas para efeito desta Norma.</w:t>
      </w:r>
      <w:r w:rsidRPr="001B07B9">
        <w:br/>
        <w:t>16.7 Para efeito desta Norma Regulamentadora considera-se líquido combustível todo aquele que possua po</w:t>
      </w:r>
      <w:r w:rsidRPr="001B07B9">
        <w:t>nto de fulgor maior que 60ºC (sessenta graus Celsius) e inferior ou igual a 93ºC (noventa e três graus Celsius).</w:t>
      </w:r>
      <w:r w:rsidRPr="001B07B9">
        <w:br/>
        <w:t>(Alterado pela Portaria SIT n.º 312, de 23 de março de 2012)</w:t>
      </w:r>
      <w:r w:rsidRPr="001B07B9">
        <w:br/>
        <w:t xml:space="preserve">16.8 Todas as áreas de risco previstas </w:t>
      </w:r>
      <w:proofErr w:type="gramStart"/>
      <w:r w:rsidRPr="001B07B9">
        <w:t>nesta</w:t>
      </w:r>
      <w:proofErr w:type="gramEnd"/>
      <w:r w:rsidRPr="001B07B9">
        <w:t xml:space="preserve"> NR devem ser delimitadas, sob respons</w:t>
      </w:r>
      <w:r w:rsidRPr="001B07B9">
        <w:t>abilidade do empregador.</w:t>
      </w:r>
      <w:r w:rsidRPr="001B07B9">
        <w:br/>
        <w:t>(Incluído pela Portaria SSST n.º 25, de 29 de dezembro de 1994)</w:t>
      </w:r>
    </w:p>
    <w:p w:rsidR="00000000" w:rsidRPr="001B07B9" w:rsidRDefault="00C13A2C" w:rsidP="001B07B9">
      <w:pPr>
        <w:numPr>
          <w:ilvl w:val="0"/>
          <w:numId w:val="1"/>
        </w:numPr>
      </w:pPr>
      <w:r w:rsidRPr="001B07B9">
        <w:t>​</w:t>
      </w:r>
    </w:p>
    <w:p w:rsidR="00000000" w:rsidRPr="001B07B9" w:rsidRDefault="00C13A2C" w:rsidP="001B07B9">
      <w:pPr>
        <w:numPr>
          <w:ilvl w:val="0"/>
          <w:numId w:val="1"/>
        </w:numPr>
        <w:rPr>
          <w:color w:val="FF0000"/>
          <w:sz w:val="32"/>
          <w:szCs w:val="32"/>
        </w:rPr>
      </w:pPr>
      <w:r w:rsidRPr="001B07B9">
        <w:rPr>
          <w:color w:val="FF0000"/>
          <w:sz w:val="32"/>
          <w:szCs w:val="32"/>
        </w:rPr>
        <w:t>Com o seguinte conteúdo programático:</w:t>
      </w:r>
    </w:p>
    <w:p w:rsidR="00000000" w:rsidRPr="001B07B9" w:rsidRDefault="00C13A2C" w:rsidP="001B07B9">
      <w:pPr>
        <w:numPr>
          <w:ilvl w:val="0"/>
          <w:numId w:val="1"/>
        </w:numPr>
        <w:rPr>
          <w:color w:val="FF0000"/>
          <w:sz w:val="32"/>
          <w:szCs w:val="32"/>
        </w:rPr>
      </w:pPr>
      <w:r w:rsidRPr="001B07B9">
        <w:rPr>
          <w:color w:val="FF0000"/>
          <w:sz w:val="32"/>
          <w:szCs w:val="32"/>
        </w:rPr>
        <w:t>Introdução</w:t>
      </w:r>
      <w:r w:rsidRPr="001B07B9">
        <w:rPr>
          <w:color w:val="FF0000"/>
          <w:sz w:val="32"/>
          <w:szCs w:val="32"/>
        </w:rPr>
        <w:br/>
        <w:t xml:space="preserve">Legislação Relacionada </w:t>
      </w:r>
      <w:proofErr w:type="gramStart"/>
      <w:r w:rsidRPr="001B07B9">
        <w:rPr>
          <w:color w:val="FF0000"/>
          <w:sz w:val="32"/>
          <w:szCs w:val="32"/>
        </w:rPr>
        <w:t>a</w:t>
      </w:r>
      <w:proofErr w:type="gramEnd"/>
      <w:r w:rsidRPr="001B07B9">
        <w:rPr>
          <w:color w:val="FF0000"/>
          <w:sz w:val="32"/>
          <w:szCs w:val="32"/>
        </w:rPr>
        <w:t xml:space="preserve"> Norma</w:t>
      </w:r>
      <w:r w:rsidRPr="001B07B9">
        <w:rPr>
          <w:color w:val="FF0000"/>
          <w:sz w:val="32"/>
          <w:szCs w:val="32"/>
        </w:rPr>
        <w:br/>
        <w:t>O que é Periculosidade?</w:t>
      </w:r>
      <w:r w:rsidRPr="001B07B9">
        <w:rPr>
          <w:color w:val="FF0000"/>
          <w:sz w:val="32"/>
          <w:szCs w:val="32"/>
        </w:rPr>
        <w:br/>
        <w:t>Demais Esclarecimentos sobre o Adicional de Periculosidade</w:t>
      </w:r>
      <w:r w:rsidRPr="001B07B9">
        <w:rPr>
          <w:color w:val="FF0000"/>
          <w:sz w:val="32"/>
          <w:szCs w:val="32"/>
        </w:rPr>
        <w:br/>
        <w:t>Agentes de Periculosidade Classificados na Norma</w:t>
      </w:r>
      <w:r w:rsidRPr="001B07B9">
        <w:rPr>
          <w:color w:val="FF0000"/>
          <w:sz w:val="32"/>
          <w:szCs w:val="32"/>
        </w:rPr>
        <w:br/>
        <w:t>O que seria Embalagem Certificada para esta norma?</w:t>
      </w:r>
      <w:r w:rsidRPr="001B07B9">
        <w:rPr>
          <w:color w:val="FF0000"/>
          <w:sz w:val="32"/>
          <w:szCs w:val="32"/>
        </w:rPr>
        <w:br/>
        <w:t>Enquadramento da Eletricidade como Agente de Periculosidade</w:t>
      </w:r>
      <w:r w:rsidRPr="001B07B9">
        <w:rPr>
          <w:color w:val="FF0000"/>
          <w:sz w:val="32"/>
          <w:szCs w:val="32"/>
        </w:rPr>
        <w:br/>
        <w:t>Atividades Enquadradas com Periculosidade nas Radiações Ionizantes</w:t>
      </w:r>
      <w:r w:rsidRPr="001B07B9">
        <w:rPr>
          <w:color w:val="FF0000"/>
          <w:sz w:val="32"/>
          <w:szCs w:val="32"/>
        </w:rPr>
        <w:br/>
        <w:t>A Norma NR 16</w:t>
      </w:r>
      <w:r w:rsidRPr="001B07B9">
        <w:rPr>
          <w:color w:val="FF0000"/>
          <w:sz w:val="32"/>
          <w:szCs w:val="32"/>
        </w:rPr>
        <w:br/>
        <w:t>Anexo 1 - Ativ</w:t>
      </w:r>
      <w:r w:rsidRPr="001B07B9">
        <w:rPr>
          <w:color w:val="FF0000"/>
          <w:sz w:val="32"/>
          <w:szCs w:val="32"/>
        </w:rPr>
        <w:t>idades e Operações Perigosas Com Explosivos</w:t>
      </w:r>
      <w:r w:rsidRPr="001B07B9">
        <w:rPr>
          <w:color w:val="FF0000"/>
          <w:sz w:val="32"/>
          <w:szCs w:val="32"/>
        </w:rPr>
        <w:br/>
        <w:t>Anexo 2 - Atividades e Operações Perigosas Com Inflamáveis</w:t>
      </w:r>
      <w:r w:rsidRPr="001B07B9">
        <w:rPr>
          <w:color w:val="FF0000"/>
          <w:sz w:val="32"/>
          <w:szCs w:val="32"/>
        </w:rPr>
        <w:br/>
        <w:t>Anexo 3 - Atividades Profissionais de Segurança Pessoal ou Patrimonial</w:t>
      </w:r>
      <w:r w:rsidRPr="001B07B9">
        <w:rPr>
          <w:color w:val="FF0000"/>
          <w:sz w:val="32"/>
          <w:szCs w:val="32"/>
        </w:rPr>
        <w:br/>
      </w:r>
      <w:r w:rsidRPr="001B07B9">
        <w:rPr>
          <w:color w:val="FF0000"/>
          <w:sz w:val="32"/>
          <w:szCs w:val="32"/>
        </w:rPr>
        <w:lastRenderedPageBreak/>
        <w:t>Anexo 4 - Atividades e Operações Perigosas com Energia Elétrica</w:t>
      </w:r>
      <w:r w:rsidRPr="001B07B9">
        <w:rPr>
          <w:color w:val="FF0000"/>
          <w:sz w:val="32"/>
          <w:szCs w:val="32"/>
        </w:rPr>
        <w:br/>
        <w:t>Anexo 5 - Atividad</w:t>
      </w:r>
      <w:r w:rsidRPr="001B07B9">
        <w:rPr>
          <w:color w:val="FF0000"/>
          <w:sz w:val="32"/>
          <w:szCs w:val="32"/>
        </w:rPr>
        <w:t>es Perigosas em Motocicleta</w:t>
      </w:r>
      <w:r w:rsidRPr="001B07B9">
        <w:rPr>
          <w:color w:val="FF0000"/>
          <w:sz w:val="32"/>
          <w:szCs w:val="32"/>
        </w:rPr>
        <w:br/>
        <w:t xml:space="preserve">Anexo (*) - </w:t>
      </w:r>
      <w:proofErr w:type="spellStart"/>
      <w:r w:rsidRPr="001B07B9">
        <w:rPr>
          <w:color w:val="FF0000"/>
          <w:sz w:val="32"/>
          <w:szCs w:val="32"/>
        </w:rPr>
        <w:t>Ativ</w:t>
      </w:r>
      <w:proofErr w:type="spellEnd"/>
      <w:r w:rsidRPr="001B07B9">
        <w:rPr>
          <w:color w:val="FF0000"/>
          <w:sz w:val="32"/>
          <w:szCs w:val="32"/>
        </w:rPr>
        <w:t xml:space="preserve">. </w:t>
      </w:r>
      <w:proofErr w:type="gramStart"/>
      <w:r w:rsidRPr="001B07B9">
        <w:rPr>
          <w:color w:val="FF0000"/>
          <w:sz w:val="32"/>
          <w:szCs w:val="32"/>
        </w:rPr>
        <w:t>e</w:t>
      </w:r>
      <w:proofErr w:type="gramEnd"/>
      <w:r w:rsidRPr="001B07B9">
        <w:rPr>
          <w:color w:val="FF0000"/>
          <w:sz w:val="32"/>
          <w:szCs w:val="32"/>
        </w:rPr>
        <w:t xml:space="preserve"> </w:t>
      </w:r>
      <w:proofErr w:type="spellStart"/>
      <w:r w:rsidRPr="001B07B9">
        <w:rPr>
          <w:color w:val="FF0000"/>
          <w:sz w:val="32"/>
          <w:szCs w:val="32"/>
        </w:rPr>
        <w:t>Oper</w:t>
      </w:r>
      <w:proofErr w:type="spellEnd"/>
      <w:r w:rsidRPr="001B07B9">
        <w:rPr>
          <w:color w:val="FF0000"/>
          <w:sz w:val="32"/>
          <w:szCs w:val="32"/>
        </w:rPr>
        <w:t>. Perigosas com Radiações Ionizantes ou Substâncias Radioativas</w:t>
      </w:r>
    </w:p>
    <w:p w:rsidR="00D05543" w:rsidRDefault="00D05543" w:rsidP="00D05543">
      <w:pPr>
        <w:pStyle w:val="NormalWeb"/>
        <w:shd w:val="clear" w:color="auto" w:fill="F0F3F3"/>
        <w:spacing w:before="0" w:beforeAutospacing="0" w:after="375" w:afterAutospacing="0" w:line="300" w:lineRule="atLeast"/>
        <w:rPr>
          <w:rFonts w:ascii="Arial" w:hAnsi="Arial" w:cs="Arial"/>
          <w:color w:val="333333"/>
          <w:sz w:val="20"/>
          <w:szCs w:val="20"/>
        </w:rPr>
      </w:pPr>
    </w:p>
    <w:p w:rsidR="00D05543" w:rsidRDefault="00D05543" w:rsidP="00D05543">
      <w:pPr>
        <w:pStyle w:val="NormalWeb"/>
        <w:shd w:val="clear" w:color="auto" w:fill="F0F3F3"/>
        <w:spacing w:before="0" w:beforeAutospacing="0" w:after="375" w:afterAutospacing="0" w:line="300" w:lineRule="atLeast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b/>
          <w:bCs/>
          <w:color w:val="333333"/>
          <w:sz w:val="20"/>
          <w:szCs w:val="20"/>
        </w:rPr>
        <w:t>...</w:t>
      </w:r>
    </w:p>
    <w:p w:rsidR="00D05543" w:rsidRDefault="00D05543" w:rsidP="00D05543">
      <w:pPr>
        <w:pStyle w:val="NormalWeb"/>
        <w:numPr>
          <w:ilvl w:val="0"/>
          <w:numId w:val="5"/>
        </w:numPr>
        <w:shd w:val="clear" w:color="auto" w:fill="F0F3F3"/>
        <w:spacing w:before="0" w:beforeAutospacing="0" w:after="375" w:afterAutospacing="0" w:line="300" w:lineRule="atLeast"/>
        <w:ind w:left="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As áreas de risco devem ser delimitadas pelos empregadores e seus acessos limitam-se somente a pessoas autorizadas.</w:t>
      </w:r>
    </w:p>
    <w:p w:rsidR="00D05543" w:rsidRDefault="00D05543" w:rsidP="00D05543">
      <w:pPr>
        <w:pStyle w:val="NormalWeb"/>
        <w:shd w:val="clear" w:color="auto" w:fill="F0F3F3"/>
        <w:spacing w:before="0" w:beforeAutospacing="0" w:after="375" w:afterAutospacing="0" w:line="300" w:lineRule="atLeast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Locais de armazenagem de pólvoras químicas, artifícios pirotécnicos e produtos químicos usados na fabricação de misturas explosivas ou de fogos de artifício compreendidos nesta tabela</w:t>
      </w:r>
    </w:p>
    <w:p w:rsidR="00D05543" w:rsidRDefault="00D05543" w:rsidP="00D05543">
      <w:pPr>
        <w:pStyle w:val="NormalWeb"/>
        <w:numPr>
          <w:ilvl w:val="0"/>
          <w:numId w:val="6"/>
        </w:numPr>
        <w:shd w:val="clear" w:color="auto" w:fill="F0F3F3"/>
        <w:spacing w:before="0" w:beforeAutospacing="0" w:after="375" w:afterAutospacing="0" w:line="300" w:lineRule="atLeast"/>
        <w:ind w:left="0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Locais de armazenagem de pólvoras químicas, artifícios pirotécnicos e produtos químicos usados na fabricação de misturas explosivas ou de fogos de artifício compreendidos nesta tabela</w:t>
      </w:r>
    </w:p>
    <w:p w:rsidR="001B07B9" w:rsidRPr="001B07B9" w:rsidRDefault="001B07B9">
      <w:pPr>
        <w:rPr>
          <w:color w:val="FF0000"/>
          <w:sz w:val="32"/>
          <w:szCs w:val="32"/>
        </w:rPr>
      </w:pPr>
    </w:p>
    <w:sectPr w:rsidR="001B07B9" w:rsidRPr="001B07B9" w:rsidSect="009F0D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3A4579C"/>
    <w:multiLevelType w:val="multilevel"/>
    <w:tmpl w:val="797CF74E"/>
    <w:lvl w:ilvl="0">
      <w:start w:val="1"/>
      <w:numFmt w:val="decimal"/>
      <w:lvlText w:val="%1."/>
      <w:lvlJc w:val="left"/>
      <w:pPr>
        <w:tabs>
          <w:tab w:val="num" w:pos="5180"/>
        </w:tabs>
        <w:ind w:left="5180" w:hanging="360"/>
      </w:pPr>
    </w:lvl>
    <w:lvl w:ilvl="1" w:tentative="1">
      <w:start w:val="1"/>
      <w:numFmt w:val="decimal"/>
      <w:lvlText w:val="%2."/>
      <w:lvlJc w:val="left"/>
      <w:pPr>
        <w:tabs>
          <w:tab w:val="num" w:pos="5900"/>
        </w:tabs>
        <w:ind w:left="5900" w:hanging="360"/>
      </w:pPr>
    </w:lvl>
    <w:lvl w:ilvl="2" w:tentative="1">
      <w:start w:val="1"/>
      <w:numFmt w:val="decimal"/>
      <w:lvlText w:val="%3."/>
      <w:lvlJc w:val="left"/>
      <w:pPr>
        <w:tabs>
          <w:tab w:val="num" w:pos="6620"/>
        </w:tabs>
        <w:ind w:left="6620" w:hanging="360"/>
      </w:pPr>
    </w:lvl>
    <w:lvl w:ilvl="3" w:tentative="1">
      <w:start w:val="1"/>
      <w:numFmt w:val="decimal"/>
      <w:lvlText w:val="%4."/>
      <w:lvlJc w:val="left"/>
      <w:pPr>
        <w:tabs>
          <w:tab w:val="num" w:pos="7340"/>
        </w:tabs>
        <w:ind w:left="7340" w:hanging="360"/>
      </w:pPr>
    </w:lvl>
    <w:lvl w:ilvl="4" w:tentative="1">
      <w:start w:val="1"/>
      <w:numFmt w:val="decimal"/>
      <w:lvlText w:val="%5."/>
      <w:lvlJc w:val="left"/>
      <w:pPr>
        <w:tabs>
          <w:tab w:val="num" w:pos="8060"/>
        </w:tabs>
        <w:ind w:left="8060" w:hanging="360"/>
      </w:pPr>
    </w:lvl>
    <w:lvl w:ilvl="5" w:tentative="1">
      <w:start w:val="1"/>
      <w:numFmt w:val="decimal"/>
      <w:lvlText w:val="%6."/>
      <w:lvlJc w:val="left"/>
      <w:pPr>
        <w:tabs>
          <w:tab w:val="num" w:pos="8780"/>
        </w:tabs>
        <w:ind w:left="8780" w:hanging="360"/>
      </w:pPr>
    </w:lvl>
    <w:lvl w:ilvl="6" w:tentative="1">
      <w:start w:val="1"/>
      <w:numFmt w:val="decimal"/>
      <w:lvlText w:val="%7."/>
      <w:lvlJc w:val="left"/>
      <w:pPr>
        <w:tabs>
          <w:tab w:val="num" w:pos="9500"/>
        </w:tabs>
        <w:ind w:left="9500" w:hanging="360"/>
      </w:pPr>
    </w:lvl>
    <w:lvl w:ilvl="7" w:tentative="1">
      <w:start w:val="1"/>
      <w:numFmt w:val="decimal"/>
      <w:lvlText w:val="%8."/>
      <w:lvlJc w:val="left"/>
      <w:pPr>
        <w:tabs>
          <w:tab w:val="num" w:pos="10220"/>
        </w:tabs>
        <w:ind w:left="10220" w:hanging="360"/>
      </w:pPr>
    </w:lvl>
    <w:lvl w:ilvl="8" w:tentative="1">
      <w:start w:val="1"/>
      <w:numFmt w:val="decimal"/>
      <w:lvlText w:val="%9."/>
      <w:lvlJc w:val="left"/>
      <w:pPr>
        <w:tabs>
          <w:tab w:val="num" w:pos="10940"/>
        </w:tabs>
        <w:ind w:left="10940" w:hanging="360"/>
      </w:pPr>
    </w:lvl>
  </w:abstractNum>
  <w:abstractNum w:abstractNumId="1">
    <w:nsid w:val="376F68EB"/>
    <w:multiLevelType w:val="multilevel"/>
    <w:tmpl w:val="9EEC6F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>
    <w:nsid w:val="66D70E4F"/>
    <w:multiLevelType w:val="multilevel"/>
    <w:tmpl w:val="4BE2B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2416AB7"/>
    <w:multiLevelType w:val="multilevel"/>
    <w:tmpl w:val="8822E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4150D46"/>
    <w:multiLevelType w:val="hybridMultilevel"/>
    <w:tmpl w:val="E202F528"/>
    <w:lvl w:ilvl="0" w:tplc="C310BC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976586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26248B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BEC32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E064E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D828A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29A28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022B0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ACA23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>
    <w:nsid w:val="7C3D7679"/>
    <w:multiLevelType w:val="multilevel"/>
    <w:tmpl w:val="810E7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5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08"/>
  <w:hyphenationZone w:val="425"/>
  <w:characterSpacingControl w:val="doNotCompress"/>
  <w:compat/>
  <w:rsids>
    <w:rsidRoot w:val="001B07B9"/>
    <w:rsid w:val="001B07B9"/>
    <w:rsid w:val="003378D5"/>
    <w:rsid w:val="00765AC3"/>
    <w:rsid w:val="00940599"/>
    <w:rsid w:val="009F0DA9"/>
    <w:rsid w:val="00B04DB7"/>
    <w:rsid w:val="00C13A2C"/>
    <w:rsid w:val="00D055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0DA9"/>
  </w:style>
  <w:style w:type="paragraph" w:styleId="Ttulo2">
    <w:name w:val="heading 2"/>
    <w:basedOn w:val="Normal"/>
    <w:link w:val="Ttulo2Char"/>
    <w:uiPriority w:val="9"/>
    <w:qFormat/>
    <w:rsid w:val="001B07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B07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1B07B9"/>
    <w:rPr>
      <w:b/>
      <w:bCs/>
    </w:rPr>
  </w:style>
  <w:style w:type="character" w:customStyle="1" w:styleId="Ttulo2Char">
    <w:name w:val="Título 2 Char"/>
    <w:basedOn w:val="Fontepargpadro"/>
    <w:link w:val="Ttulo2"/>
    <w:uiPriority w:val="9"/>
    <w:rsid w:val="001B07B9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apple-converted-space">
    <w:name w:val="apple-converted-space"/>
    <w:basedOn w:val="Fontepargpadro"/>
    <w:rsid w:val="00D0554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9347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17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9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9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261285">
          <w:marLeft w:val="547"/>
          <w:marRight w:val="0"/>
          <w:marTop w:val="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51284">
          <w:marLeft w:val="547"/>
          <w:marRight w:val="0"/>
          <w:marTop w:val="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6327">
          <w:marLeft w:val="547"/>
          <w:marRight w:val="0"/>
          <w:marTop w:val="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748455">
          <w:marLeft w:val="547"/>
          <w:marRight w:val="0"/>
          <w:marTop w:val="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992389">
          <w:marLeft w:val="547"/>
          <w:marRight w:val="0"/>
          <w:marTop w:val="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809287">
          <w:marLeft w:val="547"/>
          <w:marRight w:val="0"/>
          <w:marTop w:val="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767651">
          <w:marLeft w:val="547"/>
          <w:marRight w:val="0"/>
          <w:marTop w:val="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366756">
          <w:marLeft w:val="547"/>
          <w:marRight w:val="0"/>
          <w:marTop w:val="3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4</Pages>
  <Words>781</Words>
  <Characters>4220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2017-04-19T21:23:00Z</dcterms:created>
  <dcterms:modified xsi:type="dcterms:W3CDTF">2017-04-19T23:29:00Z</dcterms:modified>
</cp:coreProperties>
</file>