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both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14300" distT="114300" distL="114300" distR="114300">
            <wp:extent cx="5943600" cy="63500"/>
            <wp:effectExtent b="0" l="0" r="0" t="0"/>
            <wp:docPr descr="linha horizontal" id="2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666666"/>
          <w:sz w:val="44"/>
          <w:szCs w:val="44"/>
          <w:shd w:fill="auto" w:val="clear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Prova 4 - Conceitual e Prática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1233488" cy="158744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587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Heading2"/>
        <w:pageBreakBefore w:val="0"/>
        <w:jc w:val="both"/>
        <w:rPr>
          <w:shd w:fill="auto" w:val="clear"/>
        </w:rPr>
      </w:pPr>
      <w:bookmarkStart w:colFirst="0" w:colLast="0" w:name="_iycn5b9146ba" w:id="1"/>
      <w:bookmarkEnd w:id="1"/>
      <w:r w:rsidDel="00000000" w:rsidR="00000000" w:rsidRPr="00000000">
        <w:rPr>
          <w:shd w:fill="auto" w:val="clear"/>
          <w:rtl w:val="0"/>
        </w:rPr>
        <w:t xml:space="preserve">Discentes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0" w:line="240" w:lineRule="auto"/>
        <w:jc w:val="both"/>
        <w:rPr>
          <w:color w:val="666666"/>
        </w:rPr>
      </w:pPr>
      <w:r w:rsidDel="00000000" w:rsidR="00000000" w:rsidRPr="00000000">
        <w:rPr>
          <w:color w:val="666666"/>
          <w:sz w:val="24"/>
          <w:szCs w:val="24"/>
          <w:shd w:fill="auto" w:val="clear"/>
          <w:rtl w:val="0"/>
        </w:rPr>
        <w:t xml:space="preserve">Igor Lima Rocha</w:t>
      </w:r>
      <w:r w:rsidDel="00000000" w:rsidR="00000000" w:rsidRPr="00000000">
        <w:rPr>
          <w:color w:val="666666"/>
          <w:rtl w:val="0"/>
        </w:rPr>
        <w:tab/>
        <w:tab/>
        <w:tab/>
        <w:t xml:space="preserve">201910282</w:t>
      </w:r>
    </w:p>
    <w:p w:rsidR="00000000" w:rsidDel="00000000" w:rsidP="00000000" w:rsidRDefault="00000000" w:rsidRPr="00000000" w14:paraId="00000005">
      <w:pPr>
        <w:pageBreakBefore w:val="0"/>
        <w:spacing w:before="0" w:line="240" w:lineRule="auto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Isaac Nascimento</w:t>
        <w:tab/>
        <w:tab/>
        <w:tab/>
        <w:t xml:space="preserve">201910284</w:t>
      </w:r>
    </w:p>
    <w:p w:rsidR="00000000" w:rsidDel="00000000" w:rsidP="00000000" w:rsidRDefault="00000000" w:rsidRPr="00000000" w14:paraId="00000006">
      <w:pPr>
        <w:pageBreakBefore w:val="0"/>
        <w:spacing w:before="0" w:line="240" w:lineRule="auto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Valcírio Francisco</w:t>
        <w:tab/>
        <w:tab/>
        <w:tab/>
        <w:t xml:space="preserve">201910287</w:t>
      </w:r>
    </w:p>
    <w:p w:rsidR="00000000" w:rsidDel="00000000" w:rsidP="00000000" w:rsidRDefault="00000000" w:rsidRPr="00000000" w14:paraId="00000007">
      <w:pPr>
        <w:pageBreakBefore w:val="0"/>
        <w:spacing w:before="0" w:line="240" w:lineRule="auto"/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ob0knhvlg74y" w:id="2"/>
      <w:bookmarkEnd w:id="2"/>
      <w:r w:rsidDel="00000000" w:rsidR="00000000" w:rsidRPr="00000000">
        <w:rPr>
          <w:rtl w:val="0"/>
        </w:rPr>
        <w:t xml:space="preserve">1 – </w:t>
      </w:r>
      <w:r w:rsidDel="00000000" w:rsidR="00000000" w:rsidRPr="00000000">
        <w:rPr>
          <w:rtl w:val="0"/>
        </w:rPr>
        <w:t xml:space="preserve">P, VAD</w:t>
      </w:r>
      <w:r w:rsidDel="00000000" w:rsidR="00000000" w:rsidRPr="00000000">
        <w:rPr>
          <w:rtl w:val="0"/>
        </w:rPr>
        <w:t xml:space="preserve"> e VAC (5.0)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wyg74aahddpz" w:id="3"/>
      <w:bookmarkEnd w:id="3"/>
      <w:r w:rsidDel="00000000" w:rsidR="00000000" w:rsidRPr="00000000">
        <w:rPr>
          <w:rtl w:val="0"/>
        </w:rPr>
        <w:t xml:space="preserve">1.1 – </w:t>
      </w:r>
      <w:r w:rsidDel="00000000" w:rsidR="00000000" w:rsidRPr="00000000">
        <w:rPr>
          <w:rtl w:val="0"/>
        </w:rPr>
        <w:t xml:space="preserve">P (2.0)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zdbwf7rdd7r8" w:id="4"/>
      <w:bookmarkEnd w:id="4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São 35 resultados possíveis.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pk8dfbf4o48d" w:id="5"/>
      <w:bookmarkEnd w:id="5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Os resultados possíveis são as seguintes combinações:</w:t>
      </w:r>
    </w:p>
    <w:p w:rsidR="00000000" w:rsidDel="00000000" w:rsidP="00000000" w:rsidRDefault="00000000" w:rsidRPr="00000000" w14:paraId="0000000E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AAAABBB, AAABABB, AAABBAB, AAABBBA, AABAABB, AABABAB, AABABBA, AABBAAB, AABBABA, AABBBAA, ABAAABB, ABAABAB, ABAABBA, ABABAAB, ABABABA, ABABBAA, ABBAAAB, ABBAABA, ABBABAA, ABBBAAA, BAAAABB, BAAABAB, BAAABBA, BAABAAB, BAABABA, BAABBAA, BABAAAB, BABAABA, BABABAA, BABBAAA, BBAAAAB, BBAAABA, BBAABAA, BBABAAA, BBBAAAA, AAAABBB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tq5j07r64jr9" w:id="6"/>
      <w:bookmarkEnd w:id="6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probabilidade é de </w:t>
      </w:r>
      <m:oMath>
        <m:f>
          <m:fPr>
            <m:ctrlPr>
              <w:rPr/>
            </m:ctrlPr>
          </m:fPr>
          <m:num>
            <m:r>
              <w:rPr/>
              <m:t xml:space="preserve">5</m:t>
            </m:r>
          </m:num>
          <m:den>
            <m:r>
              <w:rPr/>
              <m:t xml:space="preserve">35</m:t>
            </m:r>
          </m:den>
        </m:f>
      </m:oMath>
      <w:r w:rsidDel="00000000" w:rsidR="00000000" w:rsidRPr="00000000">
        <w:rPr>
          <w:rtl w:val="0"/>
        </w:rPr>
        <w:t xml:space="preserve">, ou seja, 0.14, ou 14%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c8ify1kzn5o1" w:id="7"/>
      <w:bookmarkEnd w:id="7"/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Nos seguintes casos: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AAAABBB,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AAABABB,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AAABBAB, AABAABB,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AABABAB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ec9z8nsyhey1" w:id="8"/>
      <w:bookmarkEnd w:id="8"/>
      <w:r w:rsidDel="00000000" w:rsidR="00000000" w:rsidRPr="00000000">
        <w:rPr>
          <w:rtl w:val="0"/>
        </w:rPr>
        <w:t xml:space="preserve">1.2 – VAD (1.0)</w:t>
      </w:r>
    </w:p>
    <w:p w:rsidR="00000000" w:rsidDel="00000000" w:rsidP="00000000" w:rsidRDefault="00000000" w:rsidRPr="00000000" w14:paraId="00000016">
      <w:pPr>
        <w:pStyle w:val="Heading3"/>
        <w:spacing w:before="200" w:lineRule="auto"/>
        <w:rPr/>
      </w:pPr>
      <w:bookmarkStart w:colFirst="0" w:colLast="0" w:name="_zbudo2bspbdm" w:id="9"/>
      <w:bookmarkEnd w:id="9"/>
      <w:r w:rsidDel="00000000" w:rsidR="00000000" w:rsidRPr="00000000">
        <w:rPr>
          <w:rtl w:val="0"/>
        </w:rPr>
        <w:t xml:space="preserve">1.2.1 – Bernoulli (0.33)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Resposta: </w:t>
        <w:br w:type="textWrapping"/>
        <w:t xml:space="preserve">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rtuftigcsddv" w:id="10"/>
      <w:bookmarkEnd w:id="10"/>
      <w:r w:rsidDel="00000000" w:rsidR="00000000" w:rsidRPr="00000000">
        <w:rPr>
          <w:rtl w:val="0"/>
        </w:rPr>
        <w:t xml:space="preserve">1.2.2 – Binomial (0.33)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Resposta: </w:t>
        <w:br w:type="textWrapping"/>
        <w:t xml:space="preserve">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7.46%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mjrm973yn71e" w:id="11"/>
      <w:bookmarkEnd w:id="11"/>
      <w:r w:rsidDel="00000000" w:rsidR="00000000" w:rsidRPr="00000000">
        <w:rPr>
          <w:rtl w:val="0"/>
        </w:rPr>
        <w:t xml:space="preserve">1.2.3 – Poisson (0.33)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Resposta: </w:t>
        <w:br w:type="textWrapping"/>
        <w:t xml:space="preserve">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19.47%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left="0" w:firstLine="0"/>
        <w:rPr/>
      </w:pPr>
      <w:bookmarkStart w:colFirst="0" w:colLast="0" w:name="_d8pg42efzpxk" w:id="12"/>
      <w:bookmarkEnd w:id="12"/>
      <w:r w:rsidDel="00000000" w:rsidR="00000000" w:rsidRPr="00000000">
        <w:rPr>
          <w:rtl w:val="0"/>
        </w:rPr>
        <w:t xml:space="preserve">1.3 – VAC (2.0)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iou4aa9jtke4" w:id="13"/>
      <w:bookmarkEnd w:id="13"/>
      <w:r w:rsidDel="00000000" w:rsidR="00000000" w:rsidRPr="00000000">
        <w:rPr>
          <w:rtl w:val="0"/>
        </w:rPr>
        <w:t xml:space="preserve">1.3.1 – Normal (0.5)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Resposta: </w:t>
        <w:br w:type="textWrapping"/>
        <w:t xml:space="preserve">e) 27.82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dc0hs21alfxp" w:id="14"/>
      <w:bookmarkEnd w:id="14"/>
      <w:r w:rsidDel="00000000" w:rsidR="00000000" w:rsidRPr="00000000">
        <w:rPr>
          <w:rtl w:val="0"/>
        </w:rPr>
        <w:t xml:space="preserve">1.3.2 – t (0.5)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Resposta: </w:t>
        <w:br w:type="textWrapping"/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v5jcvxqypexu" w:id="15"/>
      <w:bookmarkEnd w:id="15"/>
      <w:r w:rsidDel="00000000" w:rsidR="00000000" w:rsidRPr="00000000">
        <w:rPr>
          <w:rtl w:val="0"/>
        </w:rPr>
        <w:t xml:space="preserve">1.3.3 – Qui-quadrado (0.5)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Resposta: </w:t>
        <w:br w:type="textWrapping"/>
        <w:t xml:space="preserve">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10.88%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mroupsuoihye" w:id="16"/>
      <w:bookmarkEnd w:id="16"/>
      <w:r w:rsidDel="00000000" w:rsidR="00000000" w:rsidRPr="00000000">
        <w:rPr>
          <w:rtl w:val="0"/>
        </w:rPr>
        <w:t xml:space="preserve">1.3.4 – F (0.5)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Resposta: </w:t>
        <w:br w:type="textWrapping"/>
        <w:t xml:space="preserve">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3.11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lyu7l7c4p0d9" w:id="17"/>
      <w:bookmarkEnd w:id="17"/>
      <w:r w:rsidDel="00000000" w:rsidR="00000000" w:rsidRPr="00000000">
        <w:rPr>
          <w:rtl w:val="0"/>
        </w:rPr>
        <w:t xml:space="preserve">2 – Inferência estatística básica (IEB) (5.0)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ehn9xvnb6419" w:id="18"/>
      <w:bookmarkEnd w:id="18"/>
      <w:r w:rsidDel="00000000" w:rsidR="00000000" w:rsidRPr="00000000">
        <w:rPr>
          <w:rtl w:val="0"/>
        </w:rPr>
        <w:t xml:space="preserve">2.1 – Distribuição amostral da média (1.0)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nu21759ka2q9" w:id="19"/>
      <w:bookmarkEnd w:id="19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29">
      <w:pPr>
        <w:rPr/>
      </w:pPr>
      <m:oMath>
        <m:r>
          <w:rPr/>
          <m:t xml:space="preserve">E(m) = 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mm2m2htoky6h" w:id="20"/>
      <w:bookmarkEnd w:id="20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B">
      <w:pPr>
        <w:rPr/>
      </w:pPr>
      <m:oMath>
        <m:r>
          <w:rPr/>
          <m:t xml:space="preserve">V(m) = 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9</m:t>
            </m:r>
          </m:den>
        </m:f>
        <m:r>
          <w:rPr/>
          <m:t xml:space="preserve"> =0.</m:t>
        </m:r>
        <m:bar>
          <m:barPr>
            <m:pos/>
            <m:ctrlPr>
              <w:rPr/>
            </m:ctrlPr>
          </m:barPr>
          <m:e>
            <m:r>
              <w:rPr/>
              <m:t xml:space="preserve">44</m:t>
            </m:r>
          </m:e>
        </m:ba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ghu16d5wz5pv" w:id="21"/>
      <w:bookmarkEnd w:id="21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2D">
      <w:pPr>
        <w:rPr/>
      </w:pPr>
      <m:oMath>
        <m:r>
          <w:rPr/>
          <m:t xml:space="preserve">m ∼ N(µ =10 , </m:t>
        </m:r>
        <m:sSup>
          <m:sSupPr>
            <m:ctrlPr>
              <w:rPr/>
            </m:ctrlPr>
          </m:sSupPr>
          <m:e>
            <m:r>
              <w:rPr/>
              <m:t xml:space="preserve">σ</m:t>
            </m:r>
          </m:e>
          <m:sup>
            <m:r>
              <w:rPr/>
              <m:t xml:space="preserve">2</m:t>
            </m:r>
          </m:sup>
        </m:sSup>
        <m:r>
          <w:rPr/>
          <m:t xml:space="preserve"> =0.</m:t>
        </m:r>
        <m:bar>
          <m:barPr>
            <m:pos/>
            <m:ctrlPr>
              <w:rPr/>
            </m:ctrlPr>
          </m:barPr>
          <m:e>
            <m:r>
              <w:rPr/>
              <m:t xml:space="preserve">44</m:t>
            </m:r>
          </m:e>
        </m:bar>
        <m:r>
          <w:rPr/>
          <m:t xml:space="preserve">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6426ejcbvj5p" w:id="22"/>
      <w:bookmarkEnd w:id="22"/>
      <w:r w:rsidDel="00000000" w:rsidR="00000000" w:rsidRPr="00000000">
        <w:rPr>
          <w:rtl w:val="0"/>
        </w:rPr>
        <w:t xml:space="preserve">2.2 Teste de hipóteses (2.0)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d938de982tgn" w:id="23"/>
      <w:bookmarkEnd w:id="23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ccb7e92xv635" w:id="24"/>
      <w:bookmarkEnd w:id="24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Sim, processos têm a mesma precisão, pois quando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for aceita e a variância for igual, consequentemente a precisão também será igual.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m6q3l2yboj50" w:id="25"/>
      <w:bookmarkEnd w:id="25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 descarte de um componente do processo A não inviabiliza as conclusões, pois o teste de hipótese é feito exclusivamente para amostras independentes e, com isso, o valor removido não é acessível (representado na linguagem R como NA).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tx7glzioklt1" w:id="26"/>
      <w:bookmarkEnd w:id="26"/>
      <w:r w:rsidDel="00000000" w:rsidR="00000000" w:rsidRPr="00000000">
        <w:rPr>
          <w:rtl w:val="0"/>
        </w:rPr>
        <w:t xml:space="preserve">2.3 Intervalo de confiança para média (2.0)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px5w93ra89io" w:id="27"/>
      <w:bookmarkEnd w:id="27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36">
      <w:pPr>
        <w:rPr/>
      </w:pPr>
      <m:oMath>
        <m:r>
          <w:rPr/>
          <m:t xml:space="preserve">0.29 </m:t>
        </m:r>
        <m:r>
          <w:rPr/>
          <m:t>≤</m:t>
        </m:r>
        <m:r>
          <w:rPr/>
          <m:t xml:space="preserve"> µ </m:t>
        </m:r>
        <m:r>
          <w:rPr/>
          <m:t>≤</m:t>
        </m:r>
        <m:r>
          <w:rPr/>
          <m:t xml:space="preserve"> 3.32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3tgcuprklxkq" w:id="28"/>
      <w:bookmarkEnd w:id="28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 descarte de um componente do processo A não inviabiliza as conclusões, pois após removido o processo atípico, os valores do intervalo de confiança permanecem os mesmo, porém o valor removido não é acessível (representado na linguagem R como NA).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212529"/>
        <w:sz w:val="24"/>
        <w:szCs w:val="24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00" w:before="480" w:line="240" w:lineRule="auto"/>
      <w:jc w:val="both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200" w:before="320" w:line="240" w:lineRule="auto"/>
      <w:jc w:val="both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200" w:lineRule="auto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