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drawing>
          <wp:inline distT="0" distB="0" distL="0" distR="0">
            <wp:extent cx="6096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F3B57"/>
          <w:sz w:val="72"/>
          <w:szCs w:val="72"/>
        </w:rPr>
        <w:t xml:space="preserve">OLIST</w:t>
      </w:r>
    </w:p>
    <w:p>
      <w:pPr>
        <w:spacing w:before="160"/>
        <w:jc w:val="center"/>
      </w:pPr>
      <w:r>
        <w:rPr>
          <w:rFonts w:ascii="Calibri" w:cs="Calibri" w:eastAsia="Calibri" w:hAnsi="Calibri"/>
          <w:b/>
          <w:bCs/>
          <w:color w:val="2F6FA8"/>
          <w:sz w:val="36"/>
          <w:szCs w:val="36"/>
        </w:rPr>
        <w:t xml:space="preserve">RELATÓRIO EXECUTIVO DE INDICADORES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Crescimento  •  Receita  •  Logística  •  Satisfação</w:t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E07B39"/>
          <w:sz w:val="22"/>
          <w:szCs w:val="22"/>
        </w:rPr>
        <w:t xml:space="preserve">PERÍODO: JANEIRO/2017 A AGOSTO/2018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Elaborado a partir do Relatório Executivo OLIST (KPIs)</w:t>
      </w:r>
    </w:p>
    <w:p>
      <w:pPr>
        <w:sectPr>
          <w:pgSz w:w="12240" w:h="15840" w:orient="portrait"/>
          <w:pgMar w:top="900" w:right="1440" w:bottom="90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F6FA8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Mensagem da Liderança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2F6FA8" w:sz="24"/>
            </w:tcBorders>
            <w:shd w:fill="EAF1F8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F3B57"/>
                <w:sz w:val="24"/>
                <w:szCs w:val="24"/>
              </w:rPr>
              <w:t xml:space="preserve">“Reduzir o atraso é responsabilidade de cada elo da cadeia — do vendedor à última milha.”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F6FA8"/>
                <w:sz w:val="19"/>
                <w:szCs w:val="19"/>
              </w:rPr>
              <w:t xml:space="preserve">Equipe de Operações e Logística Olist</w:t>
            </w:r>
          </w:p>
        </w:tc>
      </w:tr>
    </w:tbl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Este relatório consolida os indicadores de crescimento, receita, logística e satisfação da operação no período analisado, com o objetivo de orientar a priorização de ações que reduzam atrasos, protejam a experiência do cliente e limitem a exposição financeira associada a entregas fora do prazo.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Nota editorial: depoimentos e descrições de perfil apresentados neste documento têm finalidade ilustrativa de formatação. Os indicadores numéricos citados refletem os dados originais do Relatório Executivo OLIST (KPIs).</w:t>
      </w:r>
    </w:p>
    <w:p>
      <w:pPr>
        <w:pStyle w:val="Heading1"/>
        <w:pBdr>
          <w:bottom w:val="single" w:color="2F6FA8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Sumário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Projeto  ...................................................................... 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Metodologia  ..............................................................  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Regiões e Rotas Críticas  ..........................................  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Indicadores  ................................................................  11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5. Impactos Financeiros  ...............................................  15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6. Considerações  ...........................................................  17</w:t>
      </w:r>
    </w:p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5905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4B2E7A"/>
          <w:sz w:val="24"/>
          <w:szCs w:val="24"/>
        </w:rPr>
        <w:t xml:space="preserve">Sobre este relatório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Este documento organiza os indicadores de desempenho da operação Olist no formato de um painel executivo, estruturado em torno de quatro frentes: crescimento e receita, logística, satisfação do cliente e exposição financeira decorrente de atrasos.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abordagem privilegia a leitura rápida por meio de cartões de indicadores e gráficos, seguida de recomendações objetivas de priorização, no mesmo espírito de painéis de gestão usados para acompanhar operações complexas e multirregionais.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4B2E7A"/>
          <w:sz w:val="24"/>
          <w:szCs w:val="24"/>
        </w:rPr>
        <w:t xml:space="preserve">Objetivos do painel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Consolidar em um único documento os principais indicadores de crescimento, receita, logística e satisfação.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Evidenciar a concentração de receita por região, categoria e seller.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Quantificar o impacto do atraso logístico sobre a satisfação e a receita.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Apoiar a priorização de ações corretivas nas rotas mais críticas.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4B2E7A" w:sz="24"/>
            </w:tcBorders>
            <w:shd w:fill="EAF1F8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F3B57"/>
                <w:sz w:val="24"/>
                <w:szCs w:val="24"/>
              </w:rPr>
              <w:t xml:space="preserve">“Um bom painel de indicadores não substitui a decisão — ele apenas evita que ela seja tomada tarde.”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4B2E7A"/>
                <w:sz w:val="19"/>
                <w:szCs w:val="19"/>
              </w:rPr>
              <w:t xml:space="preserve">Equipe de Growth Olist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5905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CA6A4"/>
          <w:sz w:val="24"/>
          <w:szCs w:val="24"/>
        </w:rPr>
        <w:t xml:space="preserve">Definição dos indicadores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Os indicadores apresentados neste relatório seguem as definições originais do painel executivo da Olist, descritas a seguir.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Receita total: soma do valor (price) dos pedidos entregues no período; não inclui frete.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Crescimento médio MoM: variação percentual média da receita mês a mês, entre jan/2017 e ago/2018.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Pedidos no prazo: proporção de pedidos entregues até a data estimada, sobre o total de pedidos entregues únicos.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Nota média: média das avaliações (1 a 5) atribuídas pelos clientes, extraída diretamente da base de reviews.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Taxa de recompra: proporção de clientes com mais de um pedido no período analisado.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Receita em risco: proxy financeira obtida pela receita de pedidos atrasados ponderada pela queda relativa da nota associada ao atraso — não representa perda contábil realizada.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CA6A4"/>
          <w:sz w:val="24"/>
          <w:szCs w:val="24"/>
        </w:rPr>
        <w:t xml:space="preserve">Leitura por rota (UF)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Para a leitura logística, os pedidos foram agrupados por unidade federativa (UF) de destino, permitindo identificar as rotas com maior lead time médio de entrega — o principal fator associado à queda de satisfação observada nesta análise.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7DEE5" w:sz="4"/>
              <w:left w:val="single" w:color="D7DEE5" w:sz="4"/>
              <w:bottom w:val="single" w:color="D7DEE5" w:sz="4"/>
              <w:right w:val="single" w:color="D7DEE5" w:sz="4"/>
            </w:tcBorders>
            <w:shd w:fill="F7F9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CA6A4"/>
                <w:sz w:val="21"/>
                <w:szCs w:val="21"/>
              </w:rPr>
              <w:t xml:space="preserve">Informações gerais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Período analisado: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jan/2017 a ago/2018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Unidade de análise: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pedido único (logística e satisfação)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Base de receita: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price, sem frete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5905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F6FA8"/>
          <w:sz w:val="24"/>
          <w:szCs w:val="24"/>
        </w:rPr>
        <w:t xml:space="preserve">Rotas com maior lead time médio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 cinco rotas a seguir concentram os maiores tempos médios de entrega da operação e, por isso, concentram também a maior parte da receita em risco identificada neste relatório. Nas páginas seguintes, cada rota é apresentada com uma leitura de contexto e a recomendação de priorização.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300"/>
      </w:tblGrid>
      <w:tr>
        <w:trPr>
          <w:tblHeader/>
        </w:trPr>
        <w:tc>
          <w:tcPr>
            <w:tcW w:type="dxa" w:w="10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UF</w:t>
            </w:r>
          </w:p>
        </w:tc>
        <w:tc>
          <w:tcPr>
            <w:tcW w:type="dxa" w:w="18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Lead time médio</w:t>
            </w:r>
          </w:p>
        </w:tc>
        <w:tc>
          <w:tcPr>
            <w:tcW w:type="dxa" w:w="63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Leitura de gestão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29,0 dias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Priorizar análise de rota, transportadora e prazo prometido.</w:t>
            </w:r>
          </w:p>
        </w:tc>
      </w:tr>
      <w:tr>
        <w:tc>
          <w:tcPr>
            <w:tcW w:type="dxa" w:w="10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26,7 dias</w:t>
            </w:r>
          </w:p>
        </w:tc>
        <w:tc>
          <w:tcPr>
            <w:tcW w:type="dxa" w:w="63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Priorizar análise de rota, transportadora e prazo prometido.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AM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26,0 dias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Priorizar análise de rota, transportadora e prazo prometido.</w:t>
            </w:r>
          </w:p>
        </w:tc>
      </w:tr>
      <w:tr>
        <w:tc>
          <w:tcPr>
            <w:tcW w:type="dxa" w:w="10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24,0 dias</w:t>
            </w:r>
          </w:p>
        </w:tc>
        <w:tc>
          <w:tcPr>
            <w:tcW w:type="dxa" w:w="63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Priorizar análise de rota, transportadora e prazo prometido.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23,3 dias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Priorizar análise de rota, transportadora e prazo prometido.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300"/>
      </w:tblGrid>
      <w:tr>
        <w:tc>
          <w:tcPr>
            <w:tcW w:type="dxa" w:w="8200"/>
            <w:vAlign w:val="center"/>
          </w:tcPr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8"/>
                <w:szCs w:val="28"/>
              </w:rPr>
              <w:t xml:space="preserve">Rota RR — Roraima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900"/>
      </w:tblGrid>
      <w:tr>
        <w:tc>
          <w:tcPr>
            <w:tcW w:type="dxa" w:w="5600"/>
            <w:tcMar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Perfil da rota</w:t>
            </w:r>
          </w:p>
          <w:p>
            <w:pPr>
              <w:spacing w:after="150" w:line="30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Rota mais extrema da rede em tempo médio de entrega. A combinação de longas distâncias e malha de transporte mais restrita eleva o lead time acima da média geral da operação, tornando-a prioritária para revisão de transportadora e prazo prometido ao cliente.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left w:val="single" w:color="C0392B" w:sz="24"/>
                  </w:tcBorders>
                  <w:shd w:fill="EAF1F8" w:val="clear"/>
                  <w:tcMar>
                    <w:top w:type="dxa" w:w="220"/>
                    <w:left w:type="dxa" w:w="280"/>
                    <w:bottom w:type="dxa" w:w="220"/>
                    <w:right w:type="dxa" w:w="28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color w:val="1F3B57"/>
                      <w:sz w:val="24"/>
                      <w:szCs w:val="24"/>
                    </w:rPr>
                    <w:t xml:space="preserve">“Ajustar o prazo prometido ao perfil real da rota evita a maior parte das avaliações negativas que vemos hoje em RR.”</w:t>
                  </w:r>
                </w:p>
                <w:p>
                  <w:pPr>
                    <w:spacing w:before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19"/>
                      <w:szCs w:val="19"/>
                    </w:rPr>
                    <w:t xml:space="preserve">Equipe de Logística Regional — Norte</w:t>
                  </w:r>
                </w:p>
              </w:tc>
            </w:tr>
          </w:tbl>
          <w:p/>
        </w:tc>
        <w:tc>
          <w:tcPr>
            <w:tcW w:type="dxa" w:w="3900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D7DEE5" w:sz="4"/>
                    <w:left w:val="single" w:color="D7DEE5" w:sz="4"/>
                    <w:bottom w:val="single" w:color="D7DEE5" w:sz="4"/>
                    <w:right w:val="single" w:color="D7DEE5" w:sz="4"/>
                  </w:tcBorders>
                  <w:shd w:fill="F7F9FB" w:val="clear"/>
                  <w:tcMar>
                    <w:top w:type="dxa" w:w="200"/>
                    <w:left w:type="dxa" w:w="250"/>
                    <w:bottom w:type="dxa" w:w="200"/>
                    <w:right w:type="dxa" w:w="25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21"/>
                      <w:szCs w:val="21"/>
                    </w:rPr>
                    <w:t xml:space="preserve">Informações gerais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29,0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 geral (rede):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12,1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Leitura de gestão: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Priorizar análise de rota, transportadora e prazo prometido.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300"/>
      </w:tblGrid>
      <w:tr>
        <w:tc>
          <w:tcPr>
            <w:tcW w:type="dxa" w:w="8200"/>
            <w:vAlign w:val="center"/>
          </w:tcPr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8"/>
                <w:szCs w:val="28"/>
              </w:rPr>
              <w:t xml:space="preserve">Rota AP — Amapá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900"/>
      </w:tblGrid>
      <w:tr>
        <w:tc>
          <w:tcPr>
            <w:tcW w:type="dxa" w:w="5600"/>
            <w:tcMar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21"/>
                <w:szCs w:val="21"/>
              </w:rPr>
              <w:t xml:space="preserve">Perfil da rota</w:t>
            </w:r>
          </w:p>
          <w:p>
            <w:pPr>
              <w:spacing w:after="150" w:line="30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Segunda rota mais crítica em lead time médio. A operação nesta região depende fortemente de conexões intermunicipais, o que amplia a variabilidade do tempo de entrega e o risco de descumprimento da data estimada.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left w:val="single" w:color="E07B39" w:sz="24"/>
                  </w:tcBorders>
                  <w:shd w:fill="EAF1F8" w:val="clear"/>
                  <w:tcMar>
                    <w:top w:type="dxa" w:w="220"/>
                    <w:left w:type="dxa" w:w="280"/>
                    <w:bottom w:type="dxa" w:w="220"/>
                    <w:right w:type="dxa" w:w="28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color w:val="1F3B57"/>
                      <w:sz w:val="24"/>
                      <w:szCs w:val="24"/>
                    </w:rPr>
                    <w:t xml:space="preserve">“Ganhos pequenos na etapa de coleta já se refletem em menos dias de atraso na ponta final.”</w:t>
                  </w:r>
                </w:p>
                <w:p>
                  <w:pPr>
                    <w:spacing w:before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07B39"/>
                      <w:sz w:val="19"/>
                      <w:szCs w:val="19"/>
                    </w:rPr>
                    <w:t xml:space="preserve">Equipe de Logística Regional — Norte</w:t>
                  </w:r>
                </w:p>
              </w:tc>
            </w:tr>
          </w:tbl>
          <w:p/>
        </w:tc>
        <w:tc>
          <w:tcPr>
            <w:tcW w:type="dxa" w:w="3900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D7DEE5" w:sz="4"/>
                    <w:left w:val="single" w:color="D7DEE5" w:sz="4"/>
                    <w:bottom w:val="single" w:color="D7DEE5" w:sz="4"/>
                    <w:right w:val="single" w:color="D7DEE5" w:sz="4"/>
                  </w:tcBorders>
                  <w:shd w:fill="F7F9FB" w:val="clear"/>
                  <w:tcMar>
                    <w:top w:type="dxa" w:w="200"/>
                    <w:left w:type="dxa" w:w="250"/>
                    <w:bottom w:type="dxa" w:w="200"/>
                    <w:right w:type="dxa" w:w="25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07B39"/>
                      <w:sz w:val="21"/>
                      <w:szCs w:val="21"/>
                    </w:rPr>
                    <w:t xml:space="preserve">Informações gerais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26,7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 geral (rede):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12,1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Leitura de gestão: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Priorizar análise de rota, transportadora e prazo prometido.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300"/>
      </w:tblGrid>
      <w:tr>
        <w:tc>
          <w:tcPr>
            <w:tcW w:type="dxa" w:w="8200"/>
            <w:vAlign w:val="center"/>
          </w:tcPr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8"/>
                <w:szCs w:val="28"/>
              </w:rPr>
              <w:t xml:space="preserve">Rota AM — Amazonas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900"/>
      </w:tblGrid>
      <w:tr>
        <w:tc>
          <w:tcPr>
            <w:tcW w:type="dxa" w:w="5600"/>
            <w:tcMar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CA6A4"/>
                <w:sz w:val="21"/>
                <w:szCs w:val="21"/>
              </w:rPr>
              <w:t xml:space="preserve">Perfil da rota</w:t>
            </w:r>
          </w:p>
          <w:p>
            <w:pPr>
              <w:spacing w:after="150" w:line="30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Rota de grande extensão territorial, com forte dependência de transporte fluvial e aéreo para os municípios mais distantes da capital, fator que contribui para o lead time acima da média da rede.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left w:val="single" w:color="2CA6A4" w:sz="24"/>
                  </w:tcBorders>
                  <w:shd w:fill="EAF1F8" w:val="clear"/>
                  <w:tcMar>
                    <w:top w:type="dxa" w:w="220"/>
                    <w:left w:type="dxa" w:w="280"/>
                    <w:bottom w:type="dxa" w:w="220"/>
                    <w:right w:type="dxa" w:w="28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color w:val="1F3B57"/>
                      <w:sz w:val="24"/>
                      <w:szCs w:val="24"/>
                    </w:rPr>
                    <w:t xml:space="preserve">“Comunicar prazos realistas para o interior do estado reduz a frustração do cliente mesmo quando o tempo de entrega é maior.”</w:t>
                  </w:r>
                </w:p>
                <w:p>
                  <w:pPr>
                    <w:spacing w:before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CA6A4"/>
                      <w:sz w:val="19"/>
                      <w:szCs w:val="19"/>
                    </w:rPr>
                    <w:t xml:space="preserve">Equipe de Experiência do Cliente</w:t>
                  </w:r>
                </w:p>
              </w:tc>
            </w:tr>
          </w:tbl>
          <w:p/>
        </w:tc>
        <w:tc>
          <w:tcPr>
            <w:tcW w:type="dxa" w:w="3900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D7DEE5" w:sz="4"/>
                    <w:left w:val="single" w:color="D7DEE5" w:sz="4"/>
                    <w:bottom w:val="single" w:color="D7DEE5" w:sz="4"/>
                    <w:right w:val="single" w:color="D7DEE5" w:sz="4"/>
                  </w:tcBorders>
                  <w:shd w:fill="F7F9FB" w:val="clear"/>
                  <w:tcMar>
                    <w:top w:type="dxa" w:w="200"/>
                    <w:left w:type="dxa" w:w="250"/>
                    <w:bottom w:type="dxa" w:w="200"/>
                    <w:right w:type="dxa" w:w="25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CA6A4"/>
                      <w:sz w:val="21"/>
                      <w:szCs w:val="21"/>
                    </w:rPr>
                    <w:t xml:space="preserve">Informações gerais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26,0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 geral (rede):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12,1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Leitura de gestão: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Priorizar análise de rota, transportadora e prazo prometido.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300"/>
      </w:tblGrid>
      <w:tr>
        <w:tc>
          <w:tcPr>
            <w:tcW w:type="dxa" w:w="8200"/>
            <w:vAlign w:val="center"/>
          </w:tcPr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8"/>
                <w:szCs w:val="28"/>
              </w:rPr>
              <w:t xml:space="preserve">Rota AL — Alagoas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900"/>
      </w:tblGrid>
      <w:tr>
        <w:tc>
          <w:tcPr>
            <w:tcW w:type="dxa" w:w="5600"/>
            <w:tcMar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F6FA8"/>
                <w:sz w:val="21"/>
                <w:szCs w:val="21"/>
              </w:rPr>
              <w:t xml:space="preserve">Perfil da rota</w:t>
            </w:r>
          </w:p>
          <w:p>
            <w:pPr>
              <w:spacing w:after="150" w:line="30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Rota com lead time acima da média mesmo em uma região de menor extensão territorial, o que sugere oportunidades de otimização na malha de distribuição local e na seleção de transportadoras.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left w:val="single" w:color="2F6FA8" w:sz="24"/>
                  </w:tcBorders>
                  <w:shd w:fill="EAF1F8" w:val="clear"/>
                  <w:tcMar>
                    <w:top w:type="dxa" w:w="220"/>
                    <w:left w:type="dxa" w:w="280"/>
                    <w:bottom w:type="dxa" w:w="220"/>
                    <w:right w:type="dxa" w:w="28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color w:val="1F3B57"/>
                      <w:sz w:val="24"/>
                      <w:szCs w:val="24"/>
                    </w:rPr>
                    <w:t xml:space="preserve">“Vale revisar o mix de transportadoras nesta rota antes de revisar o prazo — o ganho pode vir sem custo adicional.”</w:t>
                  </w:r>
                </w:p>
                <w:p>
                  <w:pPr>
                    <w:spacing w:before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6FA8"/>
                      <w:sz w:val="19"/>
                      <w:szCs w:val="19"/>
                    </w:rPr>
                    <w:t xml:space="preserve">Equipe de Logística Regional — Nordeste</w:t>
                  </w:r>
                </w:p>
              </w:tc>
            </w:tr>
          </w:tbl>
          <w:p/>
        </w:tc>
        <w:tc>
          <w:tcPr>
            <w:tcW w:type="dxa" w:w="3900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D7DEE5" w:sz="4"/>
                    <w:left w:val="single" w:color="D7DEE5" w:sz="4"/>
                    <w:bottom w:val="single" w:color="D7DEE5" w:sz="4"/>
                    <w:right w:val="single" w:color="D7DEE5" w:sz="4"/>
                  </w:tcBorders>
                  <w:shd w:fill="F7F9FB" w:val="clear"/>
                  <w:tcMar>
                    <w:top w:type="dxa" w:w="200"/>
                    <w:left w:type="dxa" w:w="250"/>
                    <w:bottom w:type="dxa" w:w="200"/>
                    <w:right w:type="dxa" w:w="25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6FA8"/>
                      <w:sz w:val="21"/>
                      <w:szCs w:val="21"/>
                    </w:rPr>
                    <w:t xml:space="preserve">Informações gerais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24,0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 geral (rede):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12,1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Leitura de gestão: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Priorizar análise de rota, transportadora e prazo prometido.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300"/>
      </w:tblGrid>
      <w:tr>
        <w:tc>
          <w:tcPr>
            <w:tcW w:type="dxa" w:w="8200"/>
            <w:vAlign w:val="center"/>
          </w:tcPr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28"/>
                <w:szCs w:val="28"/>
              </w:rPr>
              <w:t xml:space="preserve">Rota PA — Pará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900"/>
      </w:tblGrid>
      <w:tr>
        <w:tc>
          <w:tcPr>
            <w:tcW w:type="dxa" w:w="5600"/>
            <w:tcMar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4B2E7A"/>
                <w:sz w:val="21"/>
                <w:szCs w:val="21"/>
              </w:rPr>
              <w:t xml:space="preserve">Perfil da rota</w:t>
            </w:r>
          </w:p>
          <w:p>
            <w:pPr>
              <w:spacing w:after="150" w:line="30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Última entre as cinco rotas mais críticas, ainda assim quase o dobro da média geral da rede. A concentração de pedidos em poucos centros urbanos abre espaço para consolidação de cargas e ganhos de eficiência.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left w:val="single" w:color="4B2E7A" w:sz="24"/>
                  </w:tcBorders>
                  <w:shd w:fill="EAF1F8" w:val="clear"/>
                  <w:tcMar>
                    <w:top w:type="dxa" w:w="220"/>
                    <w:left w:type="dxa" w:w="280"/>
                    <w:bottom w:type="dxa" w:w="220"/>
                    <w:right w:type="dxa" w:w="28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color w:val="1F3B57"/>
                      <w:sz w:val="24"/>
                      <w:szCs w:val="24"/>
                    </w:rPr>
                    <w:t xml:space="preserve">“Consolidar cargas por praça já reduziu o tempo de trânsito em rotas parecidas — vale testar aqui também.”</w:t>
                  </w:r>
                </w:p>
                <w:p>
                  <w:pPr>
                    <w:spacing w:before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E7A"/>
                      <w:sz w:val="19"/>
                      <w:szCs w:val="19"/>
                    </w:rPr>
                    <w:t xml:space="preserve">Equipe de Logística Regional — Norte</w:t>
                  </w:r>
                </w:p>
              </w:tc>
            </w:tr>
          </w:tbl>
          <w:p/>
        </w:tc>
        <w:tc>
          <w:tcPr>
            <w:tcW w:type="dxa" w:w="3900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D7DEE5" w:sz="4"/>
                    <w:left w:val="single" w:color="D7DEE5" w:sz="4"/>
                    <w:bottom w:val="single" w:color="D7DEE5" w:sz="4"/>
                    <w:right w:val="single" w:color="D7DEE5" w:sz="4"/>
                  </w:tcBorders>
                  <w:shd w:fill="F7F9FB" w:val="clear"/>
                  <w:tcMar>
                    <w:top w:type="dxa" w:w="200"/>
                    <w:left w:type="dxa" w:w="250"/>
                    <w:bottom w:type="dxa" w:w="200"/>
                    <w:right w:type="dxa" w:w="25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E7A"/>
                      <w:sz w:val="21"/>
                      <w:szCs w:val="21"/>
                    </w:rPr>
                    <w:t xml:space="preserve">Informações gerais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23,3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Lead time médio geral (rede):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12,1 dias</w:t>
                  </w:r>
                </w:p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9"/>
                      <w:szCs w:val="19"/>
                    </w:rPr>
                    <w:t xml:space="preserve">Leitura de gestão: </w:t>
                  </w:r>
                  <w:r>
                    <w:rPr>
                      <w:rFonts w:ascii="Calibri" w:cs="Calibri" w:eastAsia="Calibri" w:hAnsi="Calibri"/>
                      <w:color w:val="333333"/>
                      <w:sz w:val="19"/>
                      <w:szCs w:val="19"/>
                    </w:rPr>
                    <w:t xml:space="preserve">Priorizar análise de rota, transportadora e prazo prometido.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5905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Indicadores executivos-chave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32"/>
                <w:szCs w:val="32"/>
              </w:rPr>
              <w:t xml:space="preserve">R$ 13,59 mi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Receita total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8"/>
                <w:sz w:val="32"/>
                <w:szCs w:val="32"/>
              </w:rPr>
              <w:t xml:space="preserve">14,2%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Crescimento médio MoM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32"/>
                <w:szCs w:val="32"/>
              </w:rPr>
              <w:t xml:space="preserve">91,9%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Pedidos no prazo</w:t>
            </w:r>
          </w:p>
        </w:tc>
      </w:tr>
      <w:tr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32"/>
                <w:szCs w:val="32"/>
              </w:rPr>
              <w:t xml:space="preserve">4,16 / 5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Nota média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8"/>
                <w:sz w:val="32"/>
                <w:szCs w:val="32"/>
              </w:rPr>
              <w:t xml:space="preserve">3,36%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Taxa de recompra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2"/>
                <w:szCs w:val="32"/>
              </w:rPr>
              <w:t xml:space="preserve">R$ 466,2 mil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Receita em risco</w:t>
            </w:r>
          </w:p>
        </w:tc>
      </w:tr>
    </w:tbl>
    <w:p>
      <w:pPr>
        <w:spacing w:after="0"/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Gráfico 1 — Indicadores executivos-chave: crescimento, nível de serviço e recompra.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Concentração de receita</w:t>
      </w:r>
    </w:p>
    <w:p>
      <w:pPr>
        <w:spacing w:after="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Gráfico 2 — Concentração de receita por região, categoria e sellers.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300"/>
      </w:tblGrid>
      <w:tr>
        <w:trPr>
          <w:tblHeader/>
        </w:trPr>
        <w:tc>
          <w:tcPr>
            <w:tcW w:type="dxa" w:w="58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3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Top 5 categorias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39,7%</w:t>
            </w:r>
          </w:p>
        </w:tc>
      </w:tr>
      <w:tr>
        <w:tc>
          <w:tcPr>
            <w:tcW w:type="dxa" w:w="58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Receita em SP</w:t>
            </w:r>
          </w:p>
        </w:tc>
        <w:tc>
          <w:tcPr>
            <w:tcW w:type="dxa" w:w="33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38,3%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Top 10 sellers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13,1%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Logística: pedidos no prazo vs. atrasados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32"/>
                <w:szCs w:val="32"/>
              </w:rPr>
              <w:t xml:space="preserve">96.478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Pedidos entregues únicos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2"/>
                <w:szCs w:val="32"/>
              </w:rPr>
              <w:t xml:space="preserve">7.826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Pedidos atrasados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8"/>
                <w:sz w:val="32"/>
                <w:szCs w:val="32"/>
              </w:rPr>
              <w:t xml:space="preserve">12,1 dias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Lead time médio</w:t>
            </w:r>
          </w:p>
        </w:tc>
      </w:tr>
      <w:tr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32"/>
                <w:szCs w:val="32"/>
              </w:rPr>
              <w:t xml:space="preserve">8,9 dias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Atraso médio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A8"/>
                <w:sz w:val="32"/>
                <w:szCs w:val="32"/>
              </w:rPr>
              <w:t xml:space="preserve">R$ 19,99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Frete médio por item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32"/>
                <w:szCs w:val="32"/>
              </w:rPr>
              <w:t xml:space="preserve">16,6%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Frete sobre preço</w:t>
            </w:r>
          </w:p>
        </w:tc>
      </w:tr>
    </w:tbl>
    <w:p>
      <w:pPr>
        <w:spacing w:after="0"/>
        <w:jc w:val="center"/>
      </w:pPr>
      <w:r>
        <w:drawing>
          <wp:inline distT="0" distB="0" distL="0" distR="0">
            <wp:extent cx="4381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Gráfico 3 — Proporção de pedidos entregues no prazo versus atrasados.</w:t>
      </w:r>
    </w:p>
    <w:p>
      <w:pPr>
        <w:spacing w:after="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Gráfico 4 — Unidades federativas (UF) com maior lead time médio, frente à média geral de 12,1 dias.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Satisfação do cliente</w:t>
      </w:r>
    </w:p>
    <w:p>
      <w:pPr>
        <w:spacing w:after="0"/>
        <w:jc w:val="center"/>
      </w:pPr>
      <w:r>
        <w:drawing>
          <wp:inline distT="0" distB="0" distL="0" distR="0">
            <wp:extent cx="4000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Gráfico 5 — Nota média de avaliação: pedidos no prazo versus pedidos atrasados.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900"/>
      </w:tblGrid>
      <w:tr>
        <w:trPr>
          <w:tblHeader/>
        </w:trPr>
        <w:tc>
          <w:tcPr>
            <w:tcW w:type="dxa" w:w="62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9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6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Nota média geral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4,16</w:t>
            </w:r>
          </w:p>
        </w:tc>
      </w:tr>
      <w:tr>
        <w:tc>
          <w:tcPr>
            <w:tcW w:type="dxa" w:w="62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Avaliações negativas (notas 1 ou 2)</w:t>
            </w:r>
          </w:p>
        </w:tc>
        <w:tc>
          <w:tcPr>
            <w:tcW w:type="dxa" w:w="29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12,8%</w:t>
            </w:r>
          </w:p>
        </w:tc>
      </w:tr>
      <w:tr>
        <w:tc>
          <w:tcPr>
            <w:tcW w:type="dxa" w:w="6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Queda relativa da nota com atraso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40,2%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5905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E07B39"/>
          <w:sz w:val="24"/>
          <w:szCs w:val="24"/>
        </w:rPr>
        <w:t xml:space="preserve">Receita em risco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receita em risco estimada é uma proxy financeira, calculada pela receita de pedidos atrasados ponderada pela queda relativa da nota. Não representa perda contábil realizada.</w:t>
      </w:r>
    </w:p>
    <w:p>
      <w:pPr>
        <w:spacing w:after="0"/>
        <w:jc w:val="center"/>
      </w:pPr>
      <w:r>
        <w:drawing>
          <wp:inline distT="0" distB="0" distL="0" distR="0">
            <wp:extent cx="3810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Gráfico 6 — Participação da receita em risco sobre a receita total.</w:t>
      </w:r>
    </w:p>
    <w:p>
      <w:pPr>
        <w:spacing w:after="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Gráfico 7 — Composição do risco financeiro: receita em pedidos atrasados versus receita em risco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2"/>
                <w:szCs w:val="32"/>
              </w:rPr>
              <w:t xml:space="preserve">R$ 466.199,44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Receita em risco estimada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32"/>
                <w:szCs w:val="32"/>
              </w:rPr>
              <w:t xml:space="preserve">R$ 1,16 mi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Receita em pedidos atrasados</w:t>
            </w:r>
          </w:p>
        </w:tc>
        <w:tc>
          <w:tcPr>
            <w:tcW w:type="pct" w:w="33%"/>
            <w:shd w:fill="EAF1F8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2"/>
                <w:szCs w:val="32"/>
              </w:rPr>
              <w:t xml:space="preserve">40,2%</w:t>
            </w:r>
          </w:p>
          <w:p>
            <w:pPr>
              <w:spacing w:before="5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Queda relativa da nota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E07B39"/>
          <w:sz w:val="24"/>
          <w:szCs w:val="24"/>
        </w:rPr>
        <w:t xml:space="preserve">Plano de ação priorizado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100"/>
        <w:gridCol w:w="2300"/>
      </w:tblGrid>
      <w:tr>
        <w:trPr>
          <w:tblHeader/>
        </w:trPr>
        <w:tc>
          <w:tcPr>
            <w:tcW w:type="dxa" w:w="7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41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3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01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SLA por rota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Monitorar estado, transportadora, seller e categoria.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SLA por rota</w:t>
            </w:r>
          </w:p>
        </w:tc>
      </w:tr>
      <w:tr>
        <w:tc>
          <w:tcPr>
            <w:tcW w:type="dxa" w:w="7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02</w:t>
            </w:r>
          </w:p>
        </w:tc>
        <w:tc>
          <w:tcPr>
            <w:tcW w:type="dxa" w:w="17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Alerta preventivo</w:t>
            </w:r>
          </w:p>
        </w:tc>
        <w:tc>
          <w:tcPr>
            <w:tcW w:type="dxa" w:w="41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Identificar pedidos próximos da data estimada.</w:t>
            </w:r>
          </w:p>
        </w:tc>
        <w:tc>
          <w:tcPr>
            <w:tcW w:type="dxa" w:w="23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Pedidos em risco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03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Frete e margem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Revisar frete/preço por rota e categoria.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Frete/preço</w:t>
            </w:r>
          </w:p>
        </w:tc>
      </w:tr>
      <w:tr>
        <w:tc>
          <w:tcPr>
            <w:tcW w:type="dxa" w:w="7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04</w:t>
            </w:r>
          </w:p>
        </w:tc>
        <w:tc>
          <w:tcPr>
            <w:tcW w:type="dxa" w:w="17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Recompra</w:t>
            </w:r>
          </w:p>
        </w:tc>
        <w:tc>
          <w:tcPr>
            <w:tcW w:type="dxa" w:w="41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Ativar pós-venda, recorrência e cross-sell.</w:t>
            </w:r>
          </w:p>
        </w:tc>
        <w:tc>
          <w:tcPr>
            <w:tcW w:type="dxa" w:w="2300"/>
            <w:shd w:fill="F4F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Taxa de recompra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05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Governança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Acompanhar mensalmente a receita em risco.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Receita em risco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5905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Considerações finais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operação da Olist no período analisado combina expansão relevante de receita — 14,2% de crescimento médio mensal — com um bom nível agregado de serviço, evidenciado pelos 91,9% de pedidos entregues no prazo. Ainda assim, os 8,1% de pedidos atrasados concentram um efeito desproporcional sobre a satisfação do cliente e sobre a exposição financeira da operação.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leitura por rota mostra que o problema não está distribuído de forma homogênea: cinco unidades federativas — RR, AP, AM, AL e PA — respondem pelos maiores tempos médios de entrega, e são também onde a priorização de ações de SLA tende a gerar o maior retorno em satisfação e proteção de receita.</w:t>
      </w:r>
    </w:p>
    <w:p>
      <w:pPr>
        <w:spacing w:after="15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Por fim, a taxa de recompra de 3,36% reforça a oportunidade de investir em retenção e recorrência como frente complementar às ações logísticas, fechando o ciclo entre entrega, satisfação e receita futura.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Notas e fontes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Receita considera price e não inclui frete.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 período mensal válido vai de jan/2017 a ago/2018.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Logística e satisfação são calculadas por pedido único.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nota de avaliação foi incorporada diretamente da base de reviews.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Depoimentos, descrições de perfil de rota e citações apresentados neste relatório têm finalidade ilustrativa de formatação editorial e não representam declarações reais de colaboradores da Olist.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Os valores numéricos de receita, crescimento, logística, satisfação e receita em risco reproduzem integralmente o Relatório Executivo OLIST (KPIs) fornecido como base.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Página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de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OLIST — Relatório Executivo de Indicadores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87eda9537109727e370931438a5338db3bbf9b.png"/><Relationship Id="rId10" Type="http://schemas.openxmlformats.org/officeDocument/2006/relationships/image" Target="media/b033f2a619fc2522561d0833eb7689110690f0af.png"/><Relationship Id="rId11" Type="http://schemas.openxmlformats.org/officeDocument/2006/relationships/image" Target="media/4cb8931e5078d5aa6dfcf7453d2dbc8d0d62bb37.png"/><Relationship Id="rId12" Type="http://schemas.openxmlformats.org/officeDocument/2006/relationships/image" Target="media/0f4b2f32e142f61bf754b8a124b4cae745e6a0b0.png"/><Relationship Id="rId13" Type="http://schemas.openxmlformats.org/officeDocument/2006/relationships/image" Target="media/e3fcece548c0fdbfd748c6adbe93a5f49a4863bb.png"/><Relationship Id="rId14" Type="http://schemas.openxmlformats.org/officeDocument/2006/relationships/image" Target="media/f1cd9f91ef65ded9735e024f07336804f6425622.png"/><Relationship Id="rId15" Type="http://schemas.openxmlformats.org/officeDocument/2006/relationships/image" Target="media/61806ca313e58c4e16c9f3f7f54ce50cb025f76b.png"/><Relationship Id="rId16" Type="http://schemas.openxmlformats.org/officeDocument/2006/relationships/image" Target="media/315c495822526b1d7292a6e7790e87bcc1f8ebcd.png"/><Relationship Id="rId17" Type="http://schemas.openxmlformats.org/officeDocument/2006/relationships/image" Target="media/05953886f376b36999096de2391b57c94e150d97.png"/><Relationship Id="rId18" Type="http://schemas.openxmlformats.org/officeDocument/2006/relationships/image" Target="media/ab9a65c6cae6377aeb8167295e949d1609373a11.png"/><Relationship Id="rId19" Type="http://schemas.openxmlformats.org/officeDocument/2006/relationships/image" Target="media/0af45658f5fb69342aec36c4a5af98d2ab5643a2.png"/><Relationship Id="rId20" Type="http://schemas.openxmlformats.org/officeDocument/2006/relationships/image" Target="media/c494444f881301ca8f8bdab863b3b34b8d4e75a6.png"/><Relationship Id="rId21" Type="http://schemas.openxmlformats.org/officeDocument/2006/relationships/image" Target="media/2350721479a8f62cc35ec96e8a08e6aec8980853.png"/><Relationship Id="rId22" Type="http://schemas.openxmlformats.org/officeDocument/2006/relationships/image" Target="media/9e4c48997748532831d2499695b55efe08719d8d.png"/><Relationship Id="rId23" Type="http://schemas.openxmlformats.org/officeDocument/2006/relationships/image" Target="media/74f9ae1fc824e60343c3178ed6cfb6bece5e04ab.png"/><Relationship Id="rId24" Type="http://schemas.openxmlformats.org/officeDocument/2006/relationships/image" Target="media/b9a809ee99efc5213341d0181f917494ab6dfdb3.png"/><Relationship Id="rId25" Type="http://schemas.openxmlformats.org/officeDocument/2006/relationships/image" Target="media/dfc84a51e1db2d8e82c52a8c05a4725c3fc688c0.png"/><Relationship Id="rId26" Type="http://schemas.openxmlformats.org/officeDocument/2006/relationships/image" Target="media/43420fe76b466355b2f23ee835aa194d365a62c0.png"/><Relationship Id="rId27" Type="http://schemas.openxmlformats.org/officeDocument/2006/relationships/image" Target="media/29a8a0eeb0b7c0f27cb04b9d87e9c7c3b9eea7e8.png"/><Relationship Id="rId28" Type="http://schemas.openxmlformats.org/officeDocument/2006/relationships/image" Target="media/a8d2d3ca28c5484aef9a51f1e4d1338bae914b9c.png"/><Relationship Id="rId29" Type="http://schemas.openxmlformats.org/officeDocument/2006/relationships/image" Target="media/d348337abf8bb2255e334a765858a7779e620d0e.png"/><Relationship Id="rId30" Type="http://schemas.openxmlformats.org/officeDocument/2006/relationships/image" Target="media/d04944d9c628f6da1c6b2083bee7e06f8de5e202.png"/><Relationship Id="rId31" Type="http://schemas.openxmlformats.org/officeDocument/2006/relationships/image" Target="media/3952be881ffd975b8e0a737c2e16182beb7abec0.png"/><Relationship Id="rId32" Type="http://schemas.openxmlformats.org/officeDocument/2006/relationships/image" Target="media/746155d5b3958be8fa23c4eac536c0cac9e11262.png"/><Relationship Id="rId33" Type="http://schemas.openxmlformats.org/officeDocument/2006/relationships/image" Target="media/181cee53af490578f7626fffcadd0381ffd760bd.png"/><Relationship Id="rId34" Type="http://schemas.openxmlformats.org/officeDocument/2006/relationships/image" Target="media/454ff3d53e6f6bfb1e369da3969eae12d932b5ac.png"/><Relationship Id="rId35" Type="http://schemas.openxmlformats.org/officeDocument/2006/relationships/image" Target="media/ce603758d60a99265818882b23e416a3cd6f5104.png"/><Relationship Id="rId36" Type="http://schemas.openxmlformats.org/officeDocument/2006/relationships/image" Target="media/521493855f5d1d026739638fc975b2605d9d432e.png"/><Relationship Id="rId37" Type="http://schemas.openxmlformats.org/officeDocument/2006/relationships/image" Target="media/6f49c1b519caeb45f7f5921a8c44e9c65e288a06.png"/><Relationship Id="rId38" Type="http://schemas.openxmlformats.org/officeDocument/2006/relationships/image" Target="media/fbf79836a3fbb0844df60952a908368622f8a696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2026-08-29T22:21:27.997Z</dcterms:created>
  <dcterms:modified xsi:type="dcterms:W3CDTF">2026-08-29T22:21:27.997Z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