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sz w:val="28"/>
        </w:rPr>
        <w:t>Министерство общего и профессионального образования</w:t>
      </w:r>
    </w:p>
    <w:p>
      <w:pPr>
        <w:spacing w:line="240" w:lineRule="auto" w:before="0" w:after="0"/>
        <w:ind w:firstLine="0"/>
        <w:jc w:val="center"/>
      </w:pPr>
      <w:r>
        <w:rPr>
          <w:rFonts w:ascii="Times New Roman" w:hAnsi="Times New Roman"/>
          <w:sz w:val="28"/>
        </w:rPr>
        <w:t>Ростовской области</w:t>
      </w:r>
    </w:p>
    <w:p>
      <w:pPr>
        <w:spacing w:line="240" w:lineRule="auto" w:before="0" w:after="0"/>
        <w:ind w:firstLine="0"/>
        <w:jc w:val="center"/>
      </w:pPr>
      <w:r>
        <w:rPr>
          <w:rFonts w:ascii="Times New Roman" w:hAnsi="Times New Roman"/>
          <w:sz w:val="28"/>
        </w:rPr>
        <w:t>Государственное бюджетное профессиональное образовательное</w:t>
      </w:r>
    </w:p>
    <w:p>
      <w:pPr>
        <w:spacing w:line="240" w:lineRule="auto" w:before="0" w:after="0"/>
        <w:ind w:firstLine="0"/>
        <w:jc w:val="center"/>
      </w:pPr>
      <w:r>
        <w:rPr>
          <w:rFonts w:ascii="Times New Roman" w:hAnsi="Times New Roman"/>
          <w:sz w:val="28"/>
        </w:rPr>
        <w:t>учреждение Ростовской области</w:t>
      </w:r>
    </w:p>
    <w:p>
      <w:pPr>
        <w:spacing w:line="240" w:lineRule="auto" w:before="0" w:after="0"/>
        <w:ind w:firstLine="0"/>
        <w:jc w:val="center"/>
      </w:pPr>
      <w:r>
        <w:rPr>
          <w:rFonts w:ascii="Times New Roman" w:hAnsi="Times New Roman"/>
          <w:sz w:val="28"/>
        </w:rPr>
        <w:t>«Ростовский-на-Дону колледж связи и информатики»</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0"/>
        <w:jc w:val="center"/>
      </w:pPr>
      <w:r>
        <w:rPr>
          <w:rFonts w:ascii="Times New Roman" w:hAnsi="Times New Roman"/>
          <w:sz w:val="28"/>
        </w:rPr>
        <w:t>ОТЧЁТ</w:t>
      </w:r>
    </w:p>
    <w:p>
      <w:pPr>
        <w:spacing w:line="240" w:lineRule="auto" w:before="0" w:after="0"/>
        <w:ind w:firstLine="0"/>
        <w:jc w:val="center"/>
      </w:pPr>
      <w:r>
        <w:rPr>
          <w:rFonts w:ascii="Times New Roman" w:hAnsi="Times New Roman"/>
          <w:sz w:val="28"/>
        </w:rPr>
        <w:t>по практической работе № 2</w:t>
      </w:r>
    </w:p>
    <w:p>
      <w:pPr>
        <w:spacing w:line="240" w:lineRule="auto" w:before="0" w:after="0"/>
        <w:ind w:firstLine="850"/>
        <w:jc w:val="both"/>
      </w:pPr>
    </w:p>
    <w:p>
      <w:pPr>
        <w:spacing w:line="240" w:lineRule="auto" w:before="0" w:after="0"/>
        <w:ind w:firstLine="0"/>
        <w:jc w:val="center"/>
      </w:pPr>
      <w:r>
        <w:rPr>
          <w:rFonts w:ascii="Times New Roman" w:hAnsi="Times New Roman"/>
          <w:sz w:val="28"/>
        </w:rPr>
        <w:t>Тема: Модель угроз информационной безопасности</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0"/>
        <w:jc w:val="right"/>
      </w:pPr>
      <w:r>
        <w:rPr>
          <w:rFonts w:ascii="Times New Roman" w:hAnsi="Times New Roman"/>
          <w:sz w:val="28"/>
        </w:rPr>
        <w:t>Выполнил: студент 4 курса</w:t>
      </w:r>
    </w:p>
    <w:p>
      <w:pPr>
        <w:spacing w:line="240" w:lineRule="auto" w:before="0" w:after="0"/>
        <w:ind w:firstLine="0"/>
        <w:jc w:val="right"/>
      </w:pPr>
      <w:r>
        <w:rPr>
          <w:rFonts w:ascii="Times New Roman" w:hAnsi="Times New Roman"/>
          <w:sz w:val="28"/>
        </w:rPr>
        <w:t>группы ИС-42</w:t>
      </w:r>
    </w:p>
    <w:p>
      <w:pPr>
        <w:spacing w:line="240" w:lineRule="auto" w:before="0" w:after="0"/>
        <w:ind w:firstLine="0"/>
        <w:jc w:val="right"/>
      </w:pPr>
      <w:r>
        <w:rPr>
          <w:rFonts w:ascii="Times New Roman" w:hAnsi="Times New Roman"/>
          <w:sz w:val="28"/>
        </w:rPr>
        <w:t>Холкин Егор</w:t>
      </w:r>
    </w:p>
    <w:p>
      <w:pPr>
        <w:spacing w:line="240" w:lineRule="auto" w:before="0" w:after="0"/>
        <w:ind w:firstLine="850"/>
        <w:jc w:val="both"/>
      </w:pPr>
    </w:p>
    <w:p>
      <w:pPr>
        <w:spacing w:line="240" w:lineRule="auto" w:before="0" w:after="0"/>
        <w:ind w:firstLine="0"/>
        <w:jc w:val="right"/>
      </w:pPr>
      <w:r>
        <w:rPr>
          <w:rFonts w:ascii="Times New Roman" w:hAnsi="Times New Roman"/>
          <w:sz w:val="28"/>
        </w:rPr>
        <w:t>Проверил: преподаватель</w:t>
      </w:r>
    </w:p>
    <w:p>
      <w:pPr>
        <w:spacing w:line="240" w:lineRule="auto" w:before="0" w:after="0"/>
        <w:ind w:firstLine="0"/>
        <w:jc w:val="right"/>
      </w:pPr>
      <w:r>
        <w:rPr>
          <w:rFonts w:ascii="Times New Roman" w:hAnsi="Times New Roman"/>
          <w:sz w:val="28"/>
        </w:rPr>
        <w:t>Бойнар И. Н.</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0"/>
        <w:jc w:val="center"/>
      </w:pPr>
      <w:r>
        <w:rPr>
          <w:rFonts w:ascii="Times New Roman" w:hAnsi="Times New Roman"/>
          <w:sz w:val="28"/>
        </w:rPr>
        <w:t>Ростов-на-Дону</w:t>
      </w:r>
    </w:p>
    <w:p>
      <w:pPr>
        <w:spacing w:line="240" w:lineRule="auto" w:before="0" w:after="0"/>
        <w:ind w:firstLine="0"/>
        <w:jc w:val="center"/>
      </w:pPr>
      <w:r>
        <w:rPr>
          <w:rFonts w:ascii="Times New Roman" w:hAnsi="Times New Roman"/>
          <w:sz w:val="28"/>
        </w:rPr>
        <w:t>2026</w:t>
      </w:r>
    </w:p>
    <w:p>
      <w:pPr>
        <w:spacing w:line="240" w:lineRule="auto" w:before="0" w:after="0"/>
        <w:ind w:firstLine="850"/>
        <w:jc w:val="both"/>
      </w:pPr>
      <w:r>
        <w:br w:type="page"/>
      </w:r>
    </w:p>
    <w:p>
      <w:pPr>
        <w:spacing w:line="240" w:lineRule="auto" w:before="0" w:after="0"/>
        <w:ind w:firstLine="850"/>
        <w:jc w:val="both"/>
      </w:pPr>
      <w:r>
        <w:rPr>
          <w:rFonts w:ascii="Times New Roman" w:hAnsi="Times New Roman"/>
          <w:sz w:val="28"/>
        </w:rPr>
        <w:t>1 Цель работы</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Изучить методику определения актуальных угроз информационной безопасности информационной системы, а также основные положения Федерального закона № 152-ФЗ «О персональных данных».</w:t>
      </w:r>
    </w:p>
    <w:p>
      <w:pPr>
        <w:spacing w:line="240" w:lineRule="auto" w:before="0" w:after="0"/>
        <w:ind w:firstLine="850"/>
        <w:jc w:val="both"/>
      </w:pPr>
    </w:p>
    <w:p>
      <w:pPr>
        <w:spacing w:line="240" w:lineRule="auto" w:before="0" w:after="0"/>
        <w:ind w:firstLine="850"/>
        <w:jc w:val="both"/>
      </w:pPr>
      <w:r>
        <w:rPr>
          <w:rFonts w:ascii="Times New Roman" w:hAnsi="Times New Roman"/>
          <w:sz w:val="28"/>
        </w:rPr>
        <w:t>2 Объект защиты</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Объектом защиты выбрана информационная система интернет-магазина «Dream Sneakers», размещённая у стороннего поставщика облачных услуг.</w:t>
      </w:r>
    </w:p>
    <w:p>
      <w:pPr>
        <w:spacing w:line="240" w:lineRule="auto" w:before="0" w:after="0"/>
        <w:ind w:firstLine="850"/>
        <w:jc w:val="both"/>
      </w:pPr>
      <w:r>
        <w:rPr>
          <w:rFonts w:ascii="Times New Roman" w:hAnsi="Times New Roman"/>
          <w:sz w:val="28"/>
        </w:rPr>
        <w:t>В состав объекта входят: веб-приложение магазина, доступное из сети Интернет; база данных с каталогом товаров и заказами; серверная часть, развёрнутая на арендуемых вычислительных ресурсах; автоматизированное рабочее место администратора, с которого ведётся каталог и обрабатываются заказы; каналы связи между перечисленными компонентами.</w:t>
      </w:r>
    </w:p>
    <w:p>
      <w:pPr>
        <w:spacing w:line="240" w:lineRule="auto" w:before="0" w:after="0"/>
        <w:ind w:firstLine="850"/>
        <w:jc w:val="both"/>
      </w:pPr>
      <w:r>
        <w:rPr>
          <w:rFonts w:ascii="Times New Roman" w:hAnsi="Times New Roman"/>
          <w:sz w:val="28"/>
        </w:rPr>
        <w:t>Система обрабатывает персональные данные покупателей: фамилию, имя, номер телефона, адрес электронной почты и адрес доставки. Следовательно, она является информационной системой персональных данных, и к ней применяются требования Федерального закона № 152-ФЗ, рассмотренные в разделе 6.</w:t>
      </w:r>
    </w:p>
    <w:p>
      <w:pPr>
        <w:spacing w:line="240" w:lineRule="auto" w:before="0" w:after="0"/>
        <w:ind w:firstLine="850"/>
        <w:jc w:val="both"/>
      </w:pPr>
    </w:p>
    <w:p>
      <w:pPr>
        <w:spacing w:line="240" w:lineRule="auto" w:before="0" w:after="0"/>
        <w:ind w:firstLine="850"/>
        <w:jc w:val="both"/>
      </w:pPr>
      <w:r>
        <w:rPr>
          <w:rFonts w:ascii="Times New Roman" w:hAnsi="Times New Roman"/>
          <w:sz w:val="28"/>
        </w:rPr>
        <w:t>3 Основные понятия</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Угроза информационной безопасности – совокупность условий и факторов, создающих потенциальную или реально существующую опасность нарушения безопасности информации.</w:t>
      </w:r>
    </w:p>
    <w:p>
      <w:pPr>
        <w:spacing w:line="240" w:lineRule="auto" w:before="0" w:after="0"/>
        <w:ind w:firstLine="850"/>
        <w:jc w:val="both"/>
      </w:pPr>
    </w:p>
    <w:p>
      <w:pPr>
        <w:spacing w:line="240" w:lineRule="auto" w:before="0" w:after="0"/>
        <w:ind w:firstLine="850"/>
        <w:jc w:val="both"/>
      </w:pPr>
      <w:r>
        <w:rPr>
          <w:rFonts w:ascii="Times New Roman" w:hAnsi="Times New Roman"/>
          <w:sz w:val="28"/>
        </w:rPr>
        <w:t>Уязвимость – недостаток (слабость) программного (программно-технического) средства или информационной системы в целом, который может быть использован для реализации угроз безопасности информации.</w:t>
      </w:r>
    </w:p>
    <w:p>
      <w:pPr>
        <w:spacing w:line="240" w:lineRule="auto" w:before="0" w:after="0"/>
        <w:ind w:firstLine="850"/>
        <w:jc w:val="both"/>
      </w:pPr>
    </w:p>
    <w:p>
      <w:pPr>
        <w:spacing w:line="240" w:lineRule="auto" w:before="0" w:after="0"/>
        <w:ind w:firstLine="850"/>
        <w:jc w:val="both"/>
      </w:pPr>
      <w:r>
        <w:rPr>
          <w:rFonts w:ascii="Times New Roman" w:hAnsi="Times New Roman"/>
          <w:sz w:val="28"/>
        </w:rPr>
        <w:t>Нарушитель – физическое лицо, случайно или преднамеренно совершающее действия, следствием которых является нарушение безопасности информационной системы.</w:t>
      </w:r>
    </w:p>
    <w:p>
      <w:pPr>
        <w:spacing w:line="240" w:lineRule="auto" w:before="0" w:after="0"/>
        <w:ind w:firstLine="850"/>
        <w:jc w:val="both"/>
      </w:pPr>
    </w:p>
    <w:p>
      <w:pPr>
        <w:spacing w:line="240" w:lineRule="auto" w:before="0" w:after="0"/>
        <w:ind w:firstLine="850"/>
        <w:jc w:val="both"/>
      </w:pPr>
      <w:r>
        <w:rPr>
          <w:rFonts w:ascii="Times New Roman" w:hAnsi="Times New Roman"/>
          <w:sz w:val="28"/>
        </w:rPr>
        <w:t>Компьютерный инцидент – факт нарушения и (или) прекращения функционирования объекта информационной инфраструктуры, сети электросвязи, используемой для организации взаимодействия таких объектов, и (или) нарушения безопасности обрабатываемой таким объектом информации, в том числе произошедший в результате компьютерной атаки.</w:t>
      </w:r>
    </w:p>
    <w:p>
      <w:pPr>
        <w:spacing w:line="240" w:lineRule="auto" w:before="0" w:after="0"/>
        <w:ind w:firstLine="850"/>
        <w:jc w:val="both"/>
      </w:pPr>
    </w:p>
    <w:p>
      <w:pPr>
        <w:spacing w:line="240" w:lineRule="auto" w:before="0" w:after="0"/>
        <w:ind w:firstLine="850"/>
        <w:jc w:val="both"/>
      </w:pPr>
      <w:r>
        <w:rPr>
          <w:rFonts w:ascii="Times New Roman" w:hAnsi="Times New Roman"/>
          <w:sz w:val="28"/>
        </w:rPr>
        <w:t>Вредоносная программа – программа, предназначенная для осуществления несанкционированного доступа и (или) воздействия на персональные данные или ресурсы информационной системы персональных данных.</w:t>
      </w:r>
    </w:p>
    <w:p>
      <w:pPr>
        <w:spacing w:line="240" w:lineRule="auto" w:before="0" w:after="0"/>
        <w:ind w:firstLine="850"/>
        <w:jc w:val="both"/>
      </w:pPr>
    </w:p>
    <w:p>
      <w:pPr>
        <w:spacing w:line="240" w:lineRule="auto" w:before="0" w:after="0"/>
        <w:ind w:firstLine="850"/>
        <w:jc w:val="both"/>
      </w:pPr>
      <w:r>
        <w:rPr>
          <w:rFonts w:ascii="Times New Roman" w:hAnsi="Times New Roman"/>
          <w:sz w:val="28"/>
        </w:rPr>
        <w:t>Несанкционированный доступ (несанкционированные действия)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применением штатных средств информационной системы или средств, аналогичных им по своим функциональному предназначению и техническим характеристикам.</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4 Угрозы безопасности информации</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Угрозы определены по Банку данных угроз безопасности информации ФСТЭК России. Из банка отобраны угрозы, применимые к составу объекта защиты: к веб-приложению, доступному из сети Интернет, к арендуемым облачным ресурсам, к рабочему месту администратора и к каналам связи. Идентификатор, наименование, описание и объект воздействия приведены по реестру без изменений.</w:t>
      </w:r>
    </w:p>
    <w:p>
      <w:pPr>
        <w:spacing w:line="240" w:lineRule="auto" w:before="0" w:after="0"/>
        <w:ind w:firstLine="850"/>
        <w:jc w:val="both"/>
      </w:pPr>
    </w:p>
    <w:p>
      <w:pPr>
        <w:spacing w:line="240" w:lineRule="auto" w:before="0" w:after="0"/>
        <w:ind w:firstLine="850"/>
        <w:jc w:val="both"/>
      </w:pPr>
      <w:r>
        <w:rPr>
          <w:rFonts w:ascii="Times New Roman" w:hAnsi="Times New Roman"/>
          <w:sz w:val="28"/>
        </w:rPr>
        <w:t>Таблица 1 – Угрозы безопасности информации для объекта защиты</w:t>
      </w:r>
    </w:p>
    <w:tbl>
      <w:tblPr>
        <w:tblStyle w:val="TableGrid"/>
        <w:tblW w:type="auto" w:w="0"/>
        <w:jc w:val="left"/>
        <w:tblLayout w:type="fixed"/>
        <w:tblLook w:firstColumn="1" w:firstRow="1" w:lastColumn="0" w:lastRow="0" w:noHBand="0" w:noVBand="1" w:val="04A0"/>
      </w:tblPr>
      <w:tblGrid>
        <w:gridCol w:w="2339"/>
        <w:gridCol w:w="2339"/>
        <w:gridCol w:w="2339"/>
        <w:gridCol w:w="2339"/>
      </w:tblGrid>
      <w:tr>
        <w:tc>
          <w:tcPr>
            <w:tcW w:type="dxa" w:w="1361"/>
          </w:tcPr>
          <w:p>
            <w:pPr>
              <w:spacing w:line="240" w:lineRule="auto" w:before="0" w:after="0"/>
              <w:ind w:firstLine="0"/>
              <w:jc w:val="center"/>
            </w:pPr>
            <w:r/>
            <w:r>
              <w:rPr>
                <w:rFonts w:ascii="Times New Roman" w:hAnsi="Times New Roman"/>
                <w:sz w:val="22"/>
              </w:rPr>
              <w:t>Идентификатор УБИ</w:t>
            </w:r>
          </w:p>
        </w:tc>
        <w:tc>
          <w:tcPr>
            <w:tcW w:type="dxa" w:w="2041"/>
          </w:tcPr>
          <w:p>
            <w:pPr>
              <w:spacing w:line="240" w:lineRule="auto" w:before="0" w:after="0"/>
              <w:ind w:firstLine="0"/>
              <w:jc w:val="center"/>
            </w:pPr>
            <w:r/>
            <w:r>
              <w:rPr>
                <w:rFonts w:ascii="Times New Roman" w:hAnsi="Times New Roman"/>
                <w:sz w:val="22"/>
              </w:rPr>
              <w:t>Наименование угрозы</w:t>
            </w:r>
          </w:p>
        </w:tc>
        <w:tc>
          <w:tcPr>
            <w:tcW w:type="dxa" w:w="4139"/>
          </w:tcPr>
          <w:p>
            <w:pPr>
              <w:spacing w:line="240" w:lineRule="auto" w:before="0" w:after="0"/>
              <w:ind w:firstLine="0"/>
              <w:jc w:val="center"/>
            </w:pPr>
            <w:r/>
            <w:r>
              <w:rPr>
                <w:rFonts w:ascii="Times New Roman" w:hAnsi="Times New Roman"/>
                <w:sz w:val="22"/>
              </w:rPr>
              <w:t>Описание угрозы</w:t>
            </w:r>
          </w:p>
        </w:tc>
        <w:tc>
          <w:tcPr>
            <w:tcW w:type="dxa" w:w="1814"/>
          </w:tcPr>
          <w:p>
            <w:pPr>
              <w:spacing w:line="240" w:lineRule="auto" w:before="0" w:after="0"/>
              <w:ind w:firstLine="0"/>
              <w:jc w:val="center"/>
            </w:pPr>
            <w:r/>
            <w:r>
              <w:rPr>
                <w:rFonts w:ascii="Times New Roman" w:hAnsi="Times New Roman"/>
                <w:sz w:val="22"/>
              </w:rPr>
              <w:t>Объект воздействия</w:t>
            </w:r>
          </w:p>
        </w:tc>
      </w:tr>
      <w:tr>
        <w:tc>
          <w:tcPr>
            <w:tcW w:type="dxa" w:w="1361"/>
          </w:tcPr>
          <w:p>
            <w:pPr>
              <w:spacing w:line="240" w:lineRule="auto" w:before="0" w:after="0"/>
              <w:ind w:firstLine="0"/>
              <w:jc w:val="left"/>
            </w:pPr>
            <w:r/>
            <w:r>
              <w:rPr>
                <w:rFonts w:ascii="Times New Roman" w:hAnsi="Times New Roman"/>
                <w:sz w:val="22"/>
              </w:rPr>
              <w:t>УБИ.006</w:t>
            </w:r>
          </w:p>
        </w:tc>
        <w:tc>
          <w:tcPr>
            <w:tcW w:type="dxa" w:w="2041"/>
          </w:tcPr>
          <w:p>
            <w:pPr>
              <w:spacing w:line="240" w:lineRule="auto" w:before="0" w:after="0"/>
              <w:ind w:firstLine="0"/>
              <w:jc w:val="left"/>
            </w:pPr>
            <w:r/>
            <w:r>
              <w:rPr>
                <w:rFonts w:ascii="Times New Roman" w:hAnsi="Times New Roman"/>
                <w:sz w:val="22"/>
              </w:rPr>
              <w:t>Угроза внедрения кода или данных</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внедрения нарушителем в дискредитируемую информационную систему или IoT-устройство вредоносного кода, который может быть в дальнейшем запущен «вручную» пользователями, автоматически при выполнении определённого условия (наступления определённой даты, входа пользователя в систему и т.п.) или с использованием аутентификационных данных, заданных «по умолчанию», а также в возможности несанкционированного внедрения нарушителем некоторых собственных данных для обработки в дискредитируемую информационную систему, фактически осуществив незаконное использование чужих вычислительных ресурсов, и блокирования работы устройства при выполнении определенных команд. Данная угроза обусловлена: наличием уязвимостей программного обеспечения; слабостями мер антивирусной защиты и разграничения доступа; наличием открытого Telnet-порта на IoT-устройстве (только для IoT-устройств). Реализация данной угрозы возможна: в случае работы дискредитируемого пользователя с файлами, поступающими из недоверенных источников; при наличии у него привилегий установки программного обеспечения; в случае неизмененных владельцем учетных данных IoT-устройства (заводских пароля и логина)</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прикладное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УБИ.008</w:t>
            </w:r>
          </w:p>
        </w:tc>
        <w:tc>
          <w:tcPr>
            <w:tcW w:type="dxa" w:w="2041"/>
          </w:tcPr>
          <w:p>
            <w:pPr>
              <w:spacing w:line="240" w:lineRule="auto" w:before="0" w:after="0"/>
              <w:ind w:firstLine="0"/>
              <w:jc w:val="left"/>
            </w:pPr>
            <w:r/>
            <w:r>
              <w:rPr>
                <w:rFonts w:ascii="Times New Roman" w:hAnsi="Times New Roman"/>
                <w:sz w:val="22"/>
              </w:rPr>
              <w:t>Угроза восстановления и/или повторного использования аутентификационной информации</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доступа к данным пользователя в результате подбора (например, путём полного перебора или перебора по словарю) аутентификационной информации дискредитируемой учётной записи пользователя в системе, а также путём перехвата и повторного использования хэша пароля, для восстановления сеанса. Данная угроза обусловлена следующими недостатками: значительно меньшим объёмом данных хеш-кода аутентификационной информации по сравнению с ней самой (время подбора хеш-кодов меньше времени полного перебора аутентификационной информации); слабостями алгоритма расчёта хеш-кода, допускающими его повторное использование для выполнения успешной аутентификации. Реализация данной угрозы возможна с помощью специальных программных средств, а также в некоторых случаях – «вручную»</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микропрограммное обеспечение, учётные данные пользователя</w:t>
            </w:r>
          </w:p>
        </w:tc>
      </w:tr>
      <w:tr>
        <w:tc>
          <w:tcPr>
            <w:tcW w:type="dxa" w:w="1361"/>
          </w:tcPr>
          <w:p>
            <w:pPr>
              <w:spacing w:line="240" w:lineRule="auto" w:before="0" w:after="0"/>
              <w:ind w:firstLine="0"/>
              <w:jc w:val="left"/>
            </w:pPr>
            <w:r/>
            <w:r>
              <w:rPr>
                <w:rFonts w:ascii="Times New Roman" w:hAnsi="Times New Roman"/>
                <w:sz w:val="22"/>
              </w:rPr>
              <w:t>УБИ.012</w:t>
            </w:r>
          </w:p>
        </w:tc>
        <w:tc>
          <w:tcPr>
            <w:tcW w:type="dxa" w:w="2041"/>
          </w:tcPr>
          <w:p>
            <w:pPr>
              <w:spacing w:line="240" w:lineRule="auto" w:before="0" w:after="0"/>
              <w:ind w:firstLine="0"/>
              <w:jc w:val="left"/>
            </w:pPr>
            <w:r/>
            <w:r>
              <w:rPr>
                <w:rFonts w:ascii="Times New Roman" w:hAnsi="Times New Roman"/>
                <w:sz w:val="22"/>
              </w:rPr>
              <w:t>Угроза деструктивного изменения конфигурации/среды окружения программ</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деструктивного программного воздействия на дискредитируемое приложение путём осуществления манипуляций с используемыми им конфигурационными файлами или библиотеками. Данная угроза обусловлена слабостями мер контроля целостности конфигурационных файлов или библиотек, используемых приложениями. Реализация данной угрозы возможна в случае наличия у нарушителя прав осуществления записи в файловые объекты, связанные с конфигурацией/средой окружения программы, или возможности перенаправления запросов дискредитируемой программы от защищённых файловых объектов к ложным</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прикладное программное обеспечение, сетевое программное обеспечение, микропрограммное обеспечение, метаданные, объекты файловой системы, реестр</w:t>
            </w:r>
          </w:p>
        </w:tc>
      </w:tr>
      <w:tr>
        <w:tc>
          <w:tcPr>
            <w:tcW w:type="dxa" w:w="1361"/>
          </w:tcPr>
          <w:p>
            <w:pPr>
              <w:spacing w:line="240" w:lineRule="auto" w:before="0" w:after="0"/>
              <w:ind w:firstLine="0"/>
              <w:jc w:val="left"/>
            </w:pPr>
            <w:r/>
            <w:r>
              <w:rPr>
                <w:rFonts w:ascii="Times New Roman" w:hAnsi="Times New Roman"/>
                <w:sz w:val="22"/>
              </w:rPr>
              <w:t>УБИ.014</w:t>
            </w:r>
          </w:p>
        </w:tc>
        <w:tc>
          <w:tcPr>
            <w:tcW w:type="dxa" w:w="2041"/>
          </w:tcPr>
          <w:p>
            <w:pPr>
              <w:spacing w:line="240" w:lineRule="auto" w:before="0" w:after="0"/>
              <w:ind w:firstLine="0"/>
              <w:jc w:val="left"/>
            </w:pPr>
            <w:r/>
            <w:r>
              <w:rPr>
                <w:rFonts w:ascii="Times New Roman" w:hAnsi="Times New Roman"/>
                <w:sz w:val="22"/>
              </w:rPr>
              <w:t>Угроза длительного удержания вычислительных ресурсов пользователями</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ограничения нарушителем доступа конечных пользователей к вычислительному ресурсу за счёт принудительного удержания его в загруженном состоянии путём осуществления им многократного выполнения определённых деструктивных действий или эксплуатации уязвимостей программ, распределяющих вычислительные ресурсы между задачами. Данная угроза обусловлена слабостями механизмов балансировки нагрузки и распределения вычислительных ресурсов. Реализация угрозы возможна в случае, если у нарушителя имеется возможность делать запросы, которые в совокупности требуют больше времени на выполнение, чем запросы пользователя</w:t>
            </w:r>
          </w:p>
        </w:tc>
        <w:tc>
          <w:tcPr>
            <w:tcW w:type="dxa" w:w="1814"/>
          </w:tcPr>
          <w:p>
            <w:pPr>
              <w:spacing w:line="240" w:lineRule="auto" w:before="0" w:after="0"/>
              <w:ind w:firstLine="0"/>
              <w:jc w:val="left"/>
            </w:pPr>
            <w:r/>
            <w:r>
              <w:rPr>
                <w:rFonts w:ascii="Times New Roman" w:hAnsi="Times New Roman"/>
                <w:sz w:val="22"/>
              </w:rPr>
              <w:t>Информационная система, сетевой узел, носитель информации, системное программное обеспечение,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УБИ.017</w:t>
            </w:r>
          </w:p>
        </w:tc>
        <w:tc>
          <w:tcPr>
            <w:tcW w:type="dxa" w:w="2041"/>
          </w:tcPr>
          <w:p>
            <w:pPr>
              <w:spacing w:line="240" w:lineRule="auto" w:before="0" w:after="0"/>
              <w:ind w:firstLine="0"/>
              <w:jc w:val="left"/>
            </w:pPr>
            <w:r/>
            <w:r>
              <w:rPr>
                <w:rFonts w:ascii="Times New Roman" w:hAnsi="Times New Roman"/>
                <w:sz w:val="22"/>
              </w:rPr>
              <w:t>Угроза доступа/перехвата/изменения HTTP cookies</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несанкционированного доступа к защищаемой информации (учётным записям пользователей, сертификатам и т.п.), содержащейся в cookies-файлах, во время их хранения или передачи, в режиме чтения (раскрытие конфиденциальности) или записи (внесение изменений для реализации угрозы подмены доверенного пользователя). Данная угроза обусловлена слабостями мер защиты cookies-файлов: отсутствием проверки вводимых данных со стороны сетевой службы, использующей cookies-файлы, а также отсутствием шифрования при передаче cookies-файлов. Реализация данной угрозы возможна при условиях осуществления нарушителем успешного несанкционированного доступа к cookies-файлам и отсутствии проверки целостности их значений со стороны дискредитируемого приложения</w:t>
            </w:r>
          </w:p>
        </w:tc>
        <w:tc>
          <w:tcPr>
            <w:tcW w:type="dxa" w:w="1814"/>
          </w:tcPr>
          <w:p>
            <w:pPr>
              <w:spacing w:line="240" w:lineRule="auto" w:before="0" w:after="0"/>
              <w:ind w:firstLine="0"/>
              <w:jc w:val="left"/>
            </w:pPr>
            <w:r/>
            <w:r>
              <w:rPr>
                <w:rFonts w:ascii="Times New Roman" w:hAnsi="Times New Roman"/>
                <w:sz w:val="22"/>
              </w:rPr>
              <w:t>Прикладное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УБИ.019</w:t>
            </w:r>
          </w:p>
        </w:tc>
        <w:tc>
          <w:tcPr>
            <w:tcW w:type="dxa" w:w="2041"/>
          </w:tcPr>
          <w:p>
            <w:pPr>
              <w:spacing w:line="240" w:lineRule="auto" w:before="0" w:after="0"/>
              <w:ind w:firstLine="0"/>
              <w:jc w:val="left"/>
            </w:pPr>
            <w:r/>
            <w:r>
              <w:rPr>
                <w:rFonts w:ascii="Times New Roman" w:hAnsi="Times New Roman"/>
                <w:sz w:val="22"/>
              </w:rPr>
              <w:t>Угроза заражения DNS-кеша</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перенаправления нарушителем сетевого трафика через собственный сетевой узел путём опосредованного изменения таблиц соответствия IP- и доменных имён, хранимых в DNS-сервере, за счёт генерации лавины возможных ответов на запрос DNS-сервера легальному пользователю или за счёт эксплуатации уязвимостей DNS-сервера. Данная угроза обусловлена слабостями механизмов проверки подлинности субъектов сетевого взаимодействия, а также уязвимостями DNS-сервера, позволяющими напрямую заменить DNS-кеш DNS-сервера. Реализация данной угрозы возможна в случае наличия у нарушителя привилегий, достаточных для отправки сетевых запросов к DNS-серверу</w:t>
            </w:r>
          </w:p>
        </w:tc>
        <w:tc>
          <w:tcPr>
            <w:tcW w:type="dxa" w:w="1814"/>
          </w:tcPr>
          <w:p>
            <w:pPr>
              <w:spacing w:line="240" w:lineRule="auto" w:before="0" w:after="0"/>
              <w:ind w:firstLine="0"/>
              <w:jc w:val="left"/>
            </w:pPr>
            <w:r/>
            <w:r>
              <w:rPr>
                <w:rFonts w:ascii="Times New Roman" w:hAnsi="Times New Roman"/>
                <w:sz w:val="22"/>
              </w:rPr>
              <w:t>Сетевой узел,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УБИ.022</w:t>
            </w:r>
          </w:p>
        </w:tc>
        <w:tc>
          <w:tcPr>
            <w:tcW w:type="dxa" w:w="2041"/>
          </w:tcPr>
          <w:p>
            <w:pPr>
              <w:spacing w:line="240" w:lineRule="auto" w:before="0" w:after="0"/>
              <w:ind w:firstLine="0"/>
              <w:jc w:val="left"/>
            </w:pPr>
            <w:r/>
            <w:r>
              <w:rPr>
                <w:rFonts w:ascii="Times New Roman" w:hAnsi="Times New Roman"/>
                <w:sz w:val="22"/>
              </w:rPr>
              <w:t>Угроза избыточного выделения оперативной памяти</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выделения значительных ресурсов оперативной памяти для обслуживания запросов вредоносных программ и соответственного снижения объёма ресурсов оперативной памяти, доступных в системе для выделения в ответ на запросы программ легальных пользователей. Данная угроза обусловлена наличием слабостей механизма контроля выделения оперативной памяти различным программам. Реализация данной угрозы возможна при условии нахождения вредоносного программного обеспечения в системе в активном состоянии</w:t>
            </w:r>
          </w:p>
        </w:tc>
        <w:tc>
          <w:tcPr>
            <w:tcW w:type="dxa" w:w="1814"/>
          </w:tcPr>
          <w:p>
            <w:pPr>
              <w:spacing w:line="240" w:lineRule="auto" w:before="0" w:after="0"/>
              <w:ind w:firstLine="0"/>
              <w:jc w:val="left"/>
            </w:pPr>
            <w:r/>
            <w:r>
              <w:rPr>
                <w:rFonts w:ascii="Times New Roman" w:hAnsi="Times New Roman"/>
                <w:sz w:val="22"/>
              </w:rPr>
              <w:t>Аппаратное обеспечение, системное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УБИ.023</w:t>
            </w:r>
          </w:p>
        </w:tc>
        <w:tc>
          <w:tcPr>
            <w:tcW w:type="dxa" w:w="2041"/>
          </w:tcPr>
          <w:p>
            <w:pPr>
              <w:spacing w:line="240" w:lineRule="auto" w:before="0" w:after="0"/>
              <w:ind w:firstLine="0"/>
              <w:jc w:val="left"/>
            </w:pPr>
            <w:r/>
            <w:r>
              <w:rPr>
                <w:rFonts w:ascii="Times New Roman" w:hAnsi="Times New Roman"/>
                <w:sz w:val="22"/>
              </w:rPr>
              <w:t>Угроза изменения компонентов информационной (автоматизированной) системы</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получения нарушителем доступа к сети, файлам, внедрения закладок и т.п. путём несанкционированного изменения состава программных или аппаратных средств информационной системы, что в дальнейшем позволит осуществлять данному нарушителю (или другому - внешнему, обнаружившему несанкционированный канал доступа в систему) несанкционированные действия в данной системе. Данная угроза обусловлена слабостями мер контроля за целостностью аппаратной конфигурации информационной системы. Реализация данной угрозы возможна при условии успешного получения нарушителем необходимых полномочий в системе и возможности подключения дополнительного периферийного оборудования</w:t>
            </w:r>
          </w:p>
        </w:tc>
        <w:tc>
          <w:tcPr>
            <w:tcW w:type="dxa" w:w="1814"/>
          </w:tcPr>
          <w:p>
            <w:pPr>
              <w:spacing w:line="240" w:lineRule="auto" w:before="0" w:after="0"/>
              <w:ind w:firstLine="0"/>
              <w:jc w:val="left"/>
            </w:pPr>
            <w:r/>
            <w:r>
              <w:rPr>
                <w:rFonts w:ascii="Times New Roman" w:hAnsi="Times New Roman"/>
                <w:sz w:val="22"/>
              </w:rPr>
              <w:t>Информационная система, сервер, рабочая станция, виртуальная машина, системное программное обеспечение, прикладное программное обеспечение, аппаратное обеспечение</w:t>
            </w:r>
          </w:p>
        </w:tc>
      </w:tr>
      <w:tr>
        <w:tc>
          <w:tcPr>
            <w:tcW w:type="dxa" w:w="1361"/>
          </w:tcPr>
          <w:p>
            <w:pPr>
              <w:spacing w:line="240" w:lineRule="auto" w:before="0" w:after="0"/>
              <w:ind w:firstLine="0"/>
              <w:jc w:val="left"/>
            </w:pPr>
            <w:r/>
            <w:r>
              <w:rPr>
                <w:rFonts w:ascii="Times New Roman" w:hAnsi="Times New Roman"/>
                <w:sz w:val="22"/>
              </w:rPr>
              <w:t>УБИ.028</w:t>
            </w:r>
          </w:p>
        </w:tc>
        <w:tc>
          <w:tcPr>
            <w:tcW w:type="dxa" w:w="2041"/>
          </w:tcPr>
          <w:p>
            <w:pPr>
              <w:spacing w:line="240" w:lineRule="auto" w:before="0" w:after="0"/>
              <w:ind w:firstLine="0"/>
              <w:jc w:val="left"/>
            </w:pPr>
            <w:r/>
            <w:r>
              <w:rPr>
                <w:rFonts w:ascii="Times New Roman" w:hAnsi="Times New Roman"/>
                <w:sz w:val="22"/>
              </w:rPr>
              <w:t>Угроза использования альтернативных путей доступа к ресурсам</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несанкционированного доступа к защищаемой информации в обход штатных механизмов с помощью нестандартных интерфейсов (в том числе доступа через командную строку в обход графического интерфейса). Данная угроза обусловлена слабостями мер разграничения доступа к защищаемой информации, слабостями фильтрации входных данных. Реализация данной угрозы возможна при условии наличия у нарушителя: возможности ввода произвольных данных в адресную строку; сведений о пути к защищаемому ресурсу; возможности изменения интерфейса ввода входных данных</w:t>
            </w:r>
          </w:p>
        </w:tc>
        <w:tc>
          <w:tcPr>
            <w:tcW w:type="dxa" w:w="1814"/>
          </w:tcPr>
          <w:p>
            <w:pPr>
              <w:spacing w:line="240" w:lineRule="auto" w:before="0" w:after="0"/>
              <w:ind w:firstLine="0"/>
              <w:jc w:val="left"/>
            </w:pPr>
            <w:r/>
            <w:r>
              <w:rPr>
                <w:rFonts w:ascii="Times New Roman" w:hAnsi="Times New Roman"/>
                <w:sz w:val="22"/>
              </w:rPr>
              <w:t>Сетевой узел, объекты файловой системы, прикладное программное обеспечение, системное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УБИ.030</w:t>
            </w:r>
          </w:p>
        </w:tc>
        <w:tc>
          <w:tcPr>
            <w:tcW w:type="dxa" w:w="2041"/>
          </w:tcPr>
          <w:p>
            <w:pPr>
              <w:spacing w:line="240" w:lineRule="auto" w:before="0" w:after="0"/>
              <w:ind w:firstLine="0"/>
              <w:jc w:val="left"/>
            </w:pPr>
            <w:r/>
            <w:r>
              <w:rPr>
                <w:rFonts w:ascii="Times New Roman" w:hAnsi="Times New Roman"/>
                <w:sz w:val="22"/>
              </w:rPr>
              <w:t>Угроза использования информации идентификации/аутентификации, заданной по умолчанию</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прохождения нарушителем процедуры авторизации на основе полученной из открытых источников или от информационного сервиса идентификационной и аутентификационной информации, соответствующей учётной записи «по умолчанию» дискредитируемого объекта защиты. Данная угроза обусловлена тем, что во множестве программных и программно-аппаратных средств производителями предусмотрены учётные записи «по умолчанию», предназначенные для первичного входа в систему или тем, что при прохождении на информационном сервисе процедуры регистрации механизм автоматической генерации паролей выдает одинаковые или сходные пароли пользователям с похожими логинами. Более того, на многих устройствах идентификационная и аутентификационная информация может быть возвращена к заданной «по умолчанию» после проведения аппаратного сброса параметров системы (функция Reset). Реализация данной угрозы возможна при одном из следующих условий: наличие у нарушителя сведений о производителе/модели объекта защиты и наличие в открытых источниках сведений об идентификационной и аутентификационной информации, соответствующей учётной записи «по умолчанию» для объекта защиты; успешное завершение нарушителем процедуры выявления данной информации в ходе анализа программного кода дискредитируемого объекта защиты наличие у нарушителя сведений о логине используемом при регистрации атакуемым пользователем</w:t>
            </w:r>
          </w:p>
        </w:tc>
        <w:tc>
          <w:tcPr>
            <w:tcW w:type="dxa" w:w="1814"/>
          </w:tcPr>
          <w:p>
            <w:pPr>
              <w:spacing w:line="240" w:lineRule="auto" w:before="0" w:after="0"/>
              <w:ind w:firstLine="0"/>
              <w:jc w:val="left"/>
            </w:pPr>
            <w:r/>
            <w:r>
              <w:rPr>
                <w:rFonts w:ascii="Times New Roman" w:hAnsi="Times New Roman"/>
                <w:sz w:val="22"/>
              </w:rPr>
              <w:t>Средства защиты информации, системное программное обеспечение, сетевое программное обеспечение, микропрограммное обеспечение, программно-аппаратные средства со встроенными функциями защиты</w:t>
            </w:r>
          </w:p>
        </w:tc>
      </w:tr>
      <w:tr>
        <w:tc>
          <w:tcPr>
            <w:tcW w:type="dxa" w:w="1361"/>
          </w:tcPr>
          <w:p>
            <w:pPr>
              <w:spacing w:line="240" w:lineRule="auto" w:before="0" w:after="0"/>
              <w:ind w:firstLine="0"/>
              <w:jc w:val="left"/>
            </w:pPr>
            <w:r/>
            <w:r>
              <w:rPr>
                <w:rFonts w:ascii="Times New Roman" w:hAnsi="Times New Roman"/>
                <w:sz w:val="22"/>
              </w:rPr>
              <w:t>УБИ.031</w:t>
            </w:r>
          </w:p>
        </w:tc>
        <w:tc>
          <w:tcPr>
            <w:tcW w:type="dxa" w:w="2041"/>
          </w:tcPr>
          <w:p>
            <w:pPr>
              <w:spacing w:line="240" w:lineRule="auto" w:before="0" w:after="0"/>
              <w:ind w:firstLine="0"/>
              <w:jc w:val="left"/>
            </w:pPr>
            <w:r/>
            <w:r>
              <w:rPr>
                <w:rFonts w:ascii="Times New Roman" w:hAnsi="Times New Roman"/>
                <w:sz w:val="22"/>
              </w:rPr>
              <w:t>Угроза использования механизмов авторизации для повышения привилегий</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получения нарушителем доступа к данным и функциям, предназначенным для учётных записей с более высокими чем у нарушителя привилегиями, за счёт ошибок в параметрах настройки средств разграничения доступа. При этом нарушитель для повышения своих привилегий не осуществляет деструктивное программное воздействие на систему, а лишь использует существующие ошибки. Данная угроза обусловлена слабостями мер разграничения доступа к программам и файлам. Реализация данной угрозы возможна в случае наличия у нарушителя каких-либо привилегий в системе</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прикладное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УБИ.034</w:t>
            </w:r>
          </w:p>
        </w:tc>
        <w:tc>
          <w:tcPr>
            <w:tcW w:type="dxa" w:w="2041"/>
          </w:tcPr>
          <w:p>
            <w:pPr>
              <w:spacing w:line="240" w:lineRule="auto" w:before="0" w:after="0"/>
              <w:ind w:firstLine="0"/>
              <w:jc w:val="left"/>
            </w:pPr>
            <w:r/>
            <w:r>
              <w:rPr>
                <w:rFonts w:ascii="Times New Roman" w:hAnsi="Times New Roman"/>
                <w:sz w:val="22"/>
              </w:rPr>
              <w:t>Угроза использования слабостей протоколов сетевого/локального обмена данными</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несанкционированного доступа к передаваемой в системе защищаемой информации за счёт деструктивного воздействия на протоколы сетевого/локального обмена данными в системе путём нарушения правил использования данных протоколов. Данная угроза обусловлена слабостями самих протоколов (заложенных в них алгоритмов), ошибками, допущенными в ходе реализации протоколов, или уязвимостями, внедряемыми автоматизированными средствами проектирования/разработки. Реализация данной угрозы возможна в случае наличия слабостей в протоколах сетевого/локального обмена данными</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УБИ.059</w:t>
            </w:r>
          </w:p>
        </w:tc>
        <w:tc>
          <w:tcPr>
            <w:tcW w:type="dxa" w:w="2041"/>
          </w:tcPr>
          <w:p>
            <w:pPr>
              <w:spacing w:line="240" w:lineRule="auto" w:before="0" w:after="0"/>
              <w:ind w:firstLine="0"/>
              <w:jc w:val="left"/>
            </w:pPr>
            <w:r/>
            <w:r>
              <w:rPr>
                <w:rFonts w:ascii="Times New Roman" w:hAnsi="Times New Roman"/>
                <w:sz w:val="22"/>
              </w:rPr>
              <w:t>Угроза неконтролируемого роста числа зарезервированных вычислительных ресурсов</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отказа легальным пользователям в выделении компьютерных ресурсов после осуществления нарушителем неправомерного резервирования всех свободных компьютерных ресурсов (вычислительных ресурсов и ресурсов памяти). Данная угроза обусловлена уязвимостями программного обеспечения уровня управления виртуальной инфраструктурой, реализующего функцию распределения компьютерных ресурсов между пользователями. Реализация данной угрозы возможна при условии успешного осуществления нарушителем несанкционированного доступа к программному обеспечению уровня управления виртуальной инфраструктурой, реализующему функцию распределения компьютерных ресурсов между пользователями</w:t>
            </w:r>
          </w:p>
        </w:tc>
        <w:tc>
          <w:tcPr>
            <w:tcW w:type="dxa" w:w="1814"/>
          </w:tcPr>
          <w:p>
            <w:pPr>
              <w:spacing w:line="240" w:lineRule="auto" w:before="0" w:after="0"/>
              <w:ind w:firstLine="0"/>
              <w:jc w:val="left"/>
            </w:pPr>
            <w:r/>
            <w:r>
              <w:rPr>
                <w:rFonts w:ascii="Times New Roman" w:hAnsi="Times New Roman"/>
                <w:sz w:val="22"/>
              </w:rPr>
              <w:t>Информационная система, сервер</w:t>
            </w:r>
          </w:p>
        </w:tc>
      </w:tr>
      <w:tr>
        <w:tc>
          <w:tcPr>
            <w:tcW w:type="dxa" w:w="1361"/>
          </w:tcPr>
          <w:p>
            <w:pPr>
              <w:spacing w:line="240" w:lineRule="auto" w:before="0" w:after="0"/>
              <w:ind w:firstLine="0"/>
              <w:jc w:val="left"/>
            </w:pPr>
            <w:r/>
            <w:r>
              <w:rPr>
                <w:rFonts w:ascii="Times New Roman" w:hAnsi="Times New Roman"/>
                <w:sz w:val="22"/>
              </w:rPr>
              <w:t>УБИ.064</w:t>
            </w:r>
          </w:p>
        </w:tc>
        <w:tc>
          <w:tcPr>
            <w:tcW w:type="dxa" w:w="2041"/>
          </w:tcPr>
          <w:p>
            <w:pPr>
              <w:spacing w:line="240" w:lineRule="auto" w:before="0" w:after="0"/>
              <w:ind w:firstLine="0"/>
              <w:jc w:val="left"/>
            </w:pPr>
            <w:r/>
            <w:r>
              <w:rPr>
                <w:rFonts w:ascii="Times New Roman" w:hAnsi="Times New Roman"/>
                <w:sz w:val="22"/>
              </w:rPr>
              <w:t>Угроза некорректной реализации политики лицензирования в облаке</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отказа потребителям облачных услуг в удалённом доступе к арендуемому программному обеспечению (т.е. происходит потеря доступности облачной услуги SaaS) по вине поставщика облачных услуг. Данная угроза обусловлена недостаточностью проработки вопроса управления политиками лицензирования использования программного обеспечения различных производителей в облаке. Реализация данной угрозы возможна при условии, что политика лицензирования использования программного обеспечения основана на ограничении количества его установок или числа его пользователей, а созданные виртуальные машины с лицензируемым программным обеспечением использованы много раз</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прикладное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УБИ.065</w:t>
            </w:r>
          </w:p>
        </w:tc>
        <w:tc>
          <w:tcPr>
            <w:tcW w:type="dxa" w:w="2041"/>
          </w:tcPr>
          <w:p>
            <w:pPr>
              <w:spacing w:line="240" w:lineRule="auto" w:before="0" w:after="0"/>
              <w:ind w:firstLine="0"/>
              <w:jc w:val="left"/>
            </w:pPr>
            <w:r/>
            <w:r>
              <w:rPr>
                <w:rFonts w:ascii="Times New Roman" w:hAnsi="Times New Roman"/>
                <w:sz w:val="22"/>
              </w:rPr>
              <w:t>Угроза неопределённости в распределении ответственности между ролями в облаке</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возникновения существенных разногласий между поставщиком и потребителем облачных услуг по вопросам, связанным с определением их прав и обязанностей в части обеспечения информационной безопасности. Данная угроза обусловлена отсутствием достаточного набора мер контроля за распределением ответственности между различными ролями в части владения данными, контроля доступа, поддержки облачной инфраструктуры и т. п. Возможность реализации данной угрозы повышается в случае использования облачных услуг, предоставляемых другими поставщиками (т.е. в случае использования схемы оказания облачных услуг с участием посредников)</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УБИ.124</w:t>
            </w:r>
          </w:p>
        </w:tc>
        <w:tc>
          <w:tcPr>
            <w:tcW w:type="dxa" w:w="2041"/>
          </w:tcPr>
          <w:p>
            <w:pPr>
              <w:spacing w:line="240" w:lineRule="auto" w:before="0" w:after="0"/>
              <w:ind w:firstLine="0"/>
              <w:jc w:val="left"/>
            </w:pPr>
            <w:r/>
            <w:r>
              <w:rPr>
                <w:rFonts w:ascii="Times New Roman" w:hAnsi="Times New Roman"/>
                <w:sz w:val="22"/>
              </w:rPr>
              <w:t>Угроза подделки записей журнала регистрации событий</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внесения нарушителем изменений в журналы регистрации событий безопасности дискредитируемой системы (удаление компрометирующих нарушителя записей или подделка записей о не произошедших событиях) для введения в заблуждение её администраторов или сокрытия следов реализации других угроз. Данная угроза обусловлена недостаточностью мер по разграничению доступа к журналу регистрации событий безопасности. Реализация данной угрозы возможна в одном из следующих случаев: технология ведения журналов регистрации событий безопасности предполагает возможность их редактирования и нарушитель обладает необходимыми для этого привилегиями; технология ведения журналов регистрации событий безопасности не предполагает возможность их редактирования, но нарушитель обладает привилегиями, необходимыми для осуществления записи в файлы журналов, а также специальными программными средствами, способными обрабатывать файлы журналов используемого в дискредитируемой системе формата</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УБИ.130</w:t>
            </w:r>
          </w:p>
        </w:tc>
        <w:tc>
          <w:tcPr>
            <w:tcW w:type="dxa" w:w="2041"/>
          </w:tcPr>
          <w:p>
            <w:pPr>
              <w:spacing w:line="240" w:lineRule="auto" w:before="0" w:after="0"/>
              <w:ind w:firstLine="0"/>
              <w:jc w:val="left"/>
            </w:pPr>
            <w:r/>
            <w:r>
              <w:rPr>
                <w:rFonts w:ascii="Times New Roman" w:hAnsi="Times New Roman"/>
                <w:sz w:val="22"/>
              </w:rPr>
              <w:t>Угроза подмены содержимого сетевых ресурсов</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несанкционированного доступа к защищаемым данным пользователей сети или проведения различных мошеннических действий путём скрытной подмены содержимого хранящихся (сайты, веб-страницы) или передаваемых (электронные письма, сетевые пакеты) по сети данных. Данная угроза обусловлена слабостями технологий сетевого взаимодействия, зачастую не позволяющими выполнить проверку подлинности содержимого электронного сообщения. Реализация данной угрозы возможна при условии наличия у нарушителя прав на доступ к сетевым ресурсам и отсутствии у пользователя сети мер по обеспечению их целостности</w:t>
            </w:r>
          </w:p>
        </w:tc>
        <w:tc>
          <w:tcPr>
            <w:tcW w:type="dxa" w:w="1814"/>
          </w:tcPr>
          <w:p>
            <w:pPr>
              <w:spacing w:line="240" w:lineRule="auto" w:before="0" w:after="0"/>
              <w:ind w:firstLine="0"/>
              <w:jc w:val="left"/>
            </w:pPr>
            <w:r/>
            <w:r>
              <w:rPr>
                <w:rFonts w:ascii="Times New Roman" w:hAnsi="Times New Roman"/>
                <w:sz w:val="22"/>
              </w:rPr>
              <w:t>Прикладное программное обеспечение,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УБИ.142</w:t>
            </w:r>
          </w:p>
        </w:tc>
        <w:tc>
          <w:tcPr>
            <w:tcW w:type="dxa" w:w="2041"/>
          </w:tcPr>
          <w:p>
            <w:pPr>
              <w:spacing w:line="240" w:lineRule="auto" w:before="0" w:after="0"/>
              <w:ind w:firstLine="0"/>
              <w:jc w:val="left"/>
            </w:pPr>
            <w:r/>
            <w:r>
              <w:rPr>
                <w:rFonts w:ascii="Times New Roman" w:hAnsi="Times New Roman"/>
                <w:sz w:val="22"/>
              </w:rPr>
              <w:t>Угроза приостановки оказания облачных услуг вследствие технических сбоев</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снижения качества облачных услуг (или даже отказа в их оказании конечным потребителям) из-за возникновения технических сбоев хотя бы у одного из поставщиков облачных услуг (входящих в цепь посредников при оказании облачных услуг их конечному потребителю), а также из-за возникновения существенных задержек или потерь в каналах передачи данных, арендуемых потребителем или поставщиками облачных услуг. Данная угроза обусловлена слабостями процедуры контроля за выполнением технического обслуживания и соблюдением режимов функционирования технических средств облачной информационной системы. Реализация данной угрозы возможна при условии отсутствия механизмов резервирования средств обработки, хранения и передачи информации, входящих в состав облачной информационной системы</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аппаратное обеспечение, канал связи</w:t>
            </w:r>
          </w:p>
        </w:tc>
      </w:tr>
      <w:tr>
        <w:tc>
          <w:tcPr>
            <w:tcW w:type="dxa" w:w="1361"/>
          </w:tcPr>
          <w:p>
            <w:pPr>
              <w:spacing w:line="240" w:lineRule="auto" w:before="0" w:after="0"/>
              <w:ind w:firstLine="0"/>
              <w:jc w:val="left"/>
            </w:pPr>
            <w:r/>
            <w:r>
              <w:rPr>
                <w:rFonts w:ascii="Times New Roman" w:hAnsi="Times New Roman"/>
                <w:sz w:val="22"/>
              </w:rPr>
              <w:t>УБИ.145</w:t>
            </w:r>
          </w:p>
        </w:tc>
        <w:tc>
          <w:tcPr>
            <w:tcW w:type="dxa" w:w="2041"/>
          </w:tcPr>
          <w:p>
            <w:pPr>
              <w:spacing w:line="240" w:lineRule="auto" w:before="0" w:after="0"/>
              <w:ind w:firstLine="0"/>
              <w:jc w:val="left"/>
            </w:pPr>
            <w:r/>
            <w:r>
              <w:rPr>
                <w:rFonts w:ascii="Times New Roman" w:hAnsi="Times New Roman"/>
                <w:sz w:val="22"/>
              </w:rPr>
              <w:t>Угроза пропуска проверки целостности программного обеспечения</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внедрения нарушителем в дискредитируемую систему вредоносного программного обеспечения путём обманного перенаправления запросов пользователя или его программ на собственный сетевой ресурс, содержащий вредоносное программное обеспечение, для его «ручной» или «автоматической» загрузки с последующей установкой в дискредитируемую систему от имени пользователя или его программ. Данная угроза обусловлена слабостями механизмов проверки целостности файлов программного обеспечения и/или проверки подлинности источника их получения. Реализация данной угрозы возможна при условии успешного использования обманных техник одного из следующих методов: «ручного метода» – нарушитель, используя обманные механизмы, убеждает пользователя перейти по ссылке на сетевой ресурс нарушителя, что приводит к запуску вредоносного кода на компьютере пользователя, или убеждает пользователя самостоятельно загрузить и установить вредоносную программу (например, под видом игры или антивирусного средства); «автоматического метода» – нарушитель осуществляет деструктивное воздействие переадресацию функции автоматического обновления дискредитируемой программы на собственный вредоносный сервер</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прикладное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УБИ.153</w:t>
            </w:r>
          </w:p>
        </w:tc>
        <w:tc>
          <w:tcPr>
            <w:tcW w:type="dxa" w:w="2041"/>
          </w:tcPr>
          <w:p>
            <w:pPr>
              <w:spacing w:line="240" w:lineRule="auto" w:before="0" w:after="0"/>
              <w:ind w:firstLine="0"/>
              <w:jc w:val="left"/>
            </w:pPr>
            <w:r/>
            <w:r>
              <w:rPr>
                <w:rFonts w:ascii="Times New Roman" w:hAnsi="Times New Roman"/>
                <w:sz w:val="22"/>
              </w:rPr>
              <w:t>Угроза усиления воздействия на вычислительные ресурсы пользователей при помощи сторонних серверов</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опосредованного деструктивного программного воздействия на дискредитируемую систему большим объёмом сетевого трафика, генерируемого сторонними серверами в ответ на сетевые запросы нарушителя, сформированные от имени дискредитируемой системы. Генерируемый сторонними серверами сетевой трафик значительно превышает объём сетевых запросов, формируемых нарушителем. Данная угроза обусловлена слабостями мер межсетевого экранирования дискредитируемой информационной системы, мер контроля подлинности сетевых запросов на сторонних серверах, а также слабостями модели взаимодействия открытых систем. Реализация данной угрозы возможна при условии наличия у нарушителя: сведений о сторонних серверах с недостаточными мерами контроля подлинности сетевых запросов; сведений о сетевом адресе дискредитируемой системы; специального программного обеспечения, реализующего функции генерации сетевых пакетов</w:t>
            </w:r>
          </w:p>
        </w:tc>
        <w:tc>
          <w:tcPr>
            <w:tcW w:type="dxa" w:w="1814"/>
          </w:tcPr>
          <w:p>
            <w:pPr>
              <w:spacing w:line="240" w:lineRule="auto" w:before="0" w:after="0"/>
              <w:ind w:firstLine="0"/>
              <w:jc w:val="left"/>
            </w:pPr>
            <w:r/>
            <w:r>
              <w:rPr>
                <w:rFonts w:ascii="Times New Roman" w:hAnsi="Times New Roman"/>
                <w:sz w:val="22"/>
              </w:rPr>
              <w:t>Информационная система, сетевой узел, системное программное обеспечение, сетевое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УБИ.155</w:t>
            </w:r>
          </w:p>
        </w:tc>
        <w:tc>
          <w:tcPr>
            <w:tcW w:type="dxa" w:w="2041"/>
          </w:tcPr>
          <w:p>
            <w:pPr>
              <w:spacing w:line="240" w:lineRule="auto" w:before="0" w:after="0"/>
              <w:ind w:firstLine="0"/>
              <w:jc w:val="left"/>
            </w:pPr>
            <w:r/>
            <w:r>
              <w:rPr>
                <w:rFonts w:ascii="Times New Roman" w:hAnsi="Times New Roman"/>
                <w:sz w:val="22"/>
              </w:rPr>
              <w:t>Угроза утраты вычислительных ресурсов</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отказа легитимному пользователю в выделении ресурсов для обработки его запросов из-за исчерпания нарушителем свободных ресурсов в системе, осуществлённого путём их несанкционированного исключения из общего пула ресурсов на основе техник «утечки ресурсов» или «выделения ресурсов». Данная угроза обусловлена слабостями механизма контроля за распределением вычислительных ресурсов между пользователями, а также мер межсетевого экранирования дискредитируемой информационной системы и контроля подлинности сетевых запросов на сторонних серверах. Реализация данной угрозы возможна при условии наличия у нарушителя: сведений о формате и параметрах деструктивных воздействий на систему, приводящих к исключению («утечки» или «выделению») свободных ресурсов из общего пула ресурсов дискредитируемой системы; привилегий, достаточных для осуществления деструктивных воздействий («утечки» или «выделения») в дискредитируемой системе; отсутствие у администраторов возможности: для техники «утечки ресурсов» – перезагрузки системы во время отправки нарушителем большого числа запросов на выделение ресурсов, а для техники «выделения ресурсов» – форсированного освобождения ресурсов, выделенных по запросам вредоносных процессов</w:t>
            </w:r>
          </w:p>
        </w:tc>
        <w:tc>
          <w:tcPr>
            <w:tcW w:type="dxa" w:w="1814"/>
          </w:tcPr>
          <w:p>
            <w:pPr>
              <w:spacing w:line="240" w:lineRule="auto" w:before="0" w:after="0"/>
              <w:ind w:firstLine="0"/>
              <w:jc w:val="left"/>
            </w:pPr>
            <w:r/>
            <w:r>
              <w:rPr>
                <w:rFonts w:ascii="Times New Roman" w:hAnsi="Times New Roman"/>
                <w:sz w:val="22"/>
              </w:rPr>
              <w:t>Информационная система, сетевой узел, носитель информации, системное программное обеспечение,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УБИ.162</w:t>
            </w:r>
          </w:p>
        </w:tc>
        <w:tc>
          <w:tcPr>
            <w:tcW w:type="dxa" w:w="2041"/>
          </w:tcPr>
          <w:p>
            <w:pPr>
              <w:spacing w:line="240" w:lineRule="auto" w:before="0" w:after="0"/>
              <w:ind w:firstLine="0"/>
              <w:jc w:val="left"/>
            </w:pPr>
            <w:r/>
            <w:r>
              <w:rPr>
                <w:rFonts w:ascii="Times New Roman" w:hAnsi="Times New Roman"/>
                <w:sz w:val="22"/>
              </w:rPr>
              <w:t>Угроза эксплуатации цифровой подписи программного кода</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повышения нарушителем привилегий в системах, использующих цифровую подпись кода в качестве связующей информации между программой и её привилегиями, путём дискредитации механизма подписывания программного кода. Данная угроза обусловлена слабостями в механизме подписывания программного кода. Реализация данной угрозы возможна при следующих условиях: дискредитируемый программный код написан с помощью фреймворка (framework), поддерживающего подписывание программного кода; дискредитируемый программный код подписан вендором (поставщиком программного обеспечения); нарушитель имеет возможность внедрить программный код в дискредитируемый компьютер</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 прикладное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УБИ.174</w:t>
            </w:r>
          </w:p>
        </w:tc>
        <w:tc>
          <w:tcPr>
            <w:tcW w:type="dxa" w:w="2041"/>
          </w:tcPr>
          <w:p>
            <w:pPr>
              <w:spacing w:line="240" w:lineRule="auto" w:before="0" w:after="0"/>
              <w:ind w:firstLine="0"/>
              <w:jc w:val="left"/>
            </w:pPr>
            <w:r/>
            <w:r>
              <w:rPr>
                <w:rFonts w:ascii="Times New Roman" w:hAnsi="Times New Roman"/>
                <w:sz w:val="22"/>
              </w:rPr>
              <w:t>Угроза «фарминга»</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неправомерного ознакомления нарушителем с защищаемой информацией (в т.ч. идентификации/аутентификации) пользователя путём скрытного перенаправления пользователя на поддельный сайт (выглядящий одинаково с оригинальным), на котором от дискредитируемого пользователя требуется ввести защищаемую информацию. Данная угроза обусловлена уязвимостями DNS-сервера, маршрутизатора. Реализация данной угрозы возможна при условии наличия у нарушителя: сведений о конкретных сайтах, посещаемых пользователем, на которых требуется ввод защищаемой информации; средств создания и запуска поддельного сайта; специальных программных средств типа «эксплойт», реализующих перенаправление пользователя на поддельный сайт. Кроме того, угрозе данного типа подвержены подлинные сайты, не требующие установления безопасного соединения перед вводом информации ограниченного доступа</w:t>
            </w:r>
          </w:p>
        </w:tc>
        <w:tc>
          <w:tcPr>
            <w:tcW w:type="dxa" w:w="1814"/>
          </w:tcPr>
          <w:p>
            <w:pPr>
              <w:spacing w:line="240" w:lineRule="auto" w:before="0" w:after="0"/>
              <w:ind w:firstLine="0"/>
              <w:jc w:val="left"/>
            </w:pPr>
            <w:r/>
            <w:r>
              <w:rPr>
                <w:rFonts w:ascii="Times New Roman" w:hAnsi="Times New Roman"/>
                <w:sz w:val="22"/>
              </w:rPr>
              <w:t>Рабочая станция,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УБИ.175</w:t>
            </w:r>
          </w:p>
        </w:tc>
        <w:tc>
          <w:tcPr>
            <w:tcW w:type="dxa" w:w="2041"/>
          </w:tcPr>
          <w:p>
            <w:pPr>
              <w:spacing w:line="240" w:lineRule="auto" w:before="0" w:after="0"/>
              <w:ind w:firstLine="0"/>
              <w:jc w:val="left"/>
            </w:pPr>
            <w:r/>
            <w:r>
              <w:rPr>
                <w:rFonts w:ascii="Times New Roman" w:hAnsi="Times New Roman"/>
                <w:sz w:val="22"/>
              </w:rPr>
              <w:t>Угроза «фишинга»</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неправомерного ознакомления нарушителем с защищаемой информацией (в т.ч. идентификации/аутентификации) пользователя путём убеждения его с помощью методов социальной инженерии (в т.ч. посылкой целевых писем (т.н. spear-phishing attack), с помощью звонков с вопросом об открытии вложения письма, имитацией рекламных предложений (fake offers) или различных приложений (fake apps)) зайти на поддельный сайт (выглядящий одинаково с оригинальным), на котором от дискредитируемого пользователя требуется ввести защищаемую информацию или открыть заражённое вложение в письме. Данная угроза обусловлена недостаточностью знаний пользователей о методах и средствах «фишинга». Реализация данной угрозы возможна при условии наличия у нарушителя: сведений о конкретных сайтах, посещаемых пользователем, на которых требуется ввод защищаемой информации; средств создания и запуска поддельного сайта; сведений о контактах пользователя с доверенной организацией (номер телефона, адрес электронной почты и др.). Для убеждения пользователя раскрыть информацию ограниченного доступа (или открыть вложение в письмо) наиболее часто используются поддельные письма от администрации какой-либо организации, с которой взаимодействует пользователь (например, банк)</w:t>
            </w:r>
          </w:p>
        </w:tc>
        <w:tc>
          <w:tcPr>
            <w:tcW w:type="dxa" w:w="1814"/>
          </w:tcPr>
          <w:p>
            <w:pPr>
              <w:spacing w:line="240" w:lineRule="auto" w:before="0" w:after="0"/>
              <w:ind w:firstLine="0"/>
              <w:jc w:val="left"/>
            </w:pPr>
            <w:r/>
            <w:r>
              <w:rPr>
                <w:rFonts w:ascii="Times New Roman" w:hAnsi="Times New Roman"/>
                <w:sz w:val="22"/>
              </w:rPr>
              <w:t>Рабочая станция, сетевое программное обеспечение, сетевой трафик</w:t>
            </w:r>
          </w:p>
        </w:tc>
      </w:tr>
      <w:tr>
        <w:tc>
          <w:tcPr>
            <w:tcW w:type="dxa" w:w="1361"/>
          </w:tcPr>
          <w:p>
            <w:pPr>
              <w:spacing w:line="240" w:lineRule="auto" w:before="0" w:after="0"/>
              <w:ind w:firstLine="0"/>
              <w:jc w:val="left"/>
            </w:pPr>
            <w:r/>
            <w:r>
              <w:rPr>
                <w:rFonts w:ascii="Times New Roman" w:hAnsi="Times New Roman"/>
                <w:sz w:val="22"/>
              </w:rPr>
              <w:t>УБИ.178</w:t>
            </w:r>
          </w:p>
        </w:tc>
        <w:tc>
          <w:tcPr>
            <w:tcW w:type="dxa" w:w="2041"/>
          </w:tcPr>
          <w:p>
            <w:pPr>
              <w:spacing w:line="240" w:lineRule="auto" w:before="0" w:after="0"/>
              <w:ind w:firstLine="0"/>
              <w:jc w:val="left"/>
            </w:pPr>
            <w:r/>
            <w:r>
              <w:rPr>
                <w:rFonts w:ascii="Times New Roman" w:hAnsi="Times New Roman"/>
                <w:sz w:val="22"/>
              </w:rPr>
              <w:t>Угроза несанкционированного использования системных и сетевых утилит</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деструктивного программного воздействия на систему за счёт использования имеющихся или предварительно внедрённых стандартных (известных и обычно не определяемых антивирусными программами как вредоносных) системных и сетевых утилит, предназначенных для использования администратором для диагностики и обслуживания системы (сети). Реализация данной угрозы возможна при условиях: наличие в системе стандартных системных и сетевых утилит или успешное их внедрение нарушителем в систему и сокрытие (с использованием существующих архивов, атрибутов «скрытый» или «только для чтения» и др.); наличие у нарушителя привилегий на запуск таких утилит</w:t>
            </w:r>
          </w:p>
        </w:tc>
        <w:tc>
          <w:tcPr>
            <w:tcW w:type="dxa" w:w="1814"/>
          </w:tcPr>
          <w:p>
            <w:pPr>
              <w:spacing w:line="240" w:lineRule="auto" w:before="0" w:after="0"/>
              <w:ind w:firstLine="0"/>
              <w:jc w:val="left"/>
            </w:pPr>
            <w:r/>
            <w:r>
              <w:rPr>
                <w:rFonts w:ascii="Times New Roman" w:hAnsi="Times New Roman"/>
                <w:sz w:val="22"/>
              </w:rPr>
              <w:t>Системное программное обеспечение</w:t>
            </w:r>
          </w:p>
        </w:tc>
      </w:tr>
      <w:tr>
        <w:tc>
          <w:tcPr>
            <w:tcW w:type="dxa" w:w="1361"/>
          </w:tcPr>
          <w:p>
            <w:pPr>
              <w:spacing w:line="240" w:lineRule="auto" w:before="0" w:after="0"/>
              <w:ind w:firstLine="0"/>
              <w:jc w:val="left"/>
            </w:pPr>
            <w:r/>
            <w:r>
              <w:rPr>
                <w:rFonts w:ascii="Times New Roman" w:hAnsi="Times New Roman"/>
                <w:sz w:val="22"/>
              </w:rPr>
              <w:t>УБИ.192</w:t>
            </w:r>
          </w:p>
        </w:tc>
        <w:tc>
          <w:tcPr>
            <w:tcW w:type="dxa" w:w="2041"/>
          </w:tcPr>
          <w:p>
            <w:pPr>
              <w:spacing w:line="240" w:lineRule="auto" w:before="0" w:after="0"/>
              <w:ind w:firstLine="0"/>
              <w:jc w:val="left"/>
            </w:pPr>
            <w:r/>
            <w:r>
              <w:rPr>
                <w:rFonts w:ascii="Times New Roman" w:hAnsi="Times New Roman"/>
                <w:sz w:val="22"/>
              </w:rPr>
              <w:t>Угроза использования уязвимых версий программного обеспечения</w:t>
            </w:r>
          </w:p>
        </w:tc>
        <w:tc>
          <w:tcPr>
            <w:tcW w:type="dxa" w:w="4139"/>
          </w:tcPr>
          <w:p>
            <w:pPr>
              <w:spacing w:line="240" w:lineRule="auto" w:before="0" w:after="0"/>
              <w:ind w:firstLine="0"/>
              <w:jc w:val="left"/>
            </w:pPr>
            <w:r/>
            <w:r>
              <w:rPr>
                <w:rFonts w:ascii="Times New Roman" w:hAnsi="Times New Roman"/>
                <w:sz w:val="22"/>
              </w:rPr>
              <w:t>Угроза заключается в возможности осуществления нарушителем деструктивного воздействия на систему путём эксплуатации уязвимостей программного обеспечения. Данная угроза обусловлена слабостями механизмов анализа программного обеспечения на наличие уязвимостей. Реализация данной угрозы возможна при отсутствии проверки перед применением программного обеспечения на наличие в нем уязвимостей или использованием программного обеспечения, поддержка которого была прекращена производителем</w:t>
            </w:r>
          </w:p>
        </w:tc>
        <w:tc>
          <w:tcPr>
            <w:tcW w:type="dxa" w:w="1814"/>
          </w:tcPr>
          <w:p>
            <w:pPr>
              <w:spacing w:line="240" w:lineRule="auto" w:before="0" w:after="0"/>
              <w:ind w:firstLine="0"/>
              <w:jc w:val="left"/>
            </w:pPr>
            <w:r/>
            <w:r>
              <w:rPr>
                <w:rFonts w:ascii="Times New Roman" w:hAnsi="Times New Roman"/>
                <w:sz w:val="22"/>
              </w:rPr>
              <w:t>Прикладное программное обеспечение, сетевое программное обеспечение, системное программное обеспечение</w:t>
            </w:r>
          </w:p>
        </w:tc>
      </w:tr>
    </w:tbl>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5 Модель нарушителя</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Модель нарушителя сформирована по методическому документу ФСТЭК России от 5 февраля 2021 года «Методика оценки угроз безопасности информации». Для каждого вида нарушителя определены категория (внешний или внутренний), цель реализации угроз и уровень возможностей.</w:t>
      </w:r>
    </w:p>
    <w:p>
      <w:pPr>
        <w:spacing w:line="240" w:lineRule="auto" w:before="0" w:after="0"/>
        <w:ind w:firstLine="850"/>
        <w:jc w:val="both"/>
      </w:pPr>
      <w:r>
        <w:rPr>
          <w:rFonts w:ascii="Times New Roman" w:hAnsi="Times New Roman"/>
          <w:sz w:val="28"/>
        </w:rPr>
        <w:t>Методика выделяет четыре уровня возможностей: Н1 базовые, Н2 базовые повышенные, Н3 средние и Н4 высокие. Нарушитель уровня Н1 пользуется только известными уязвимостями и общедоступными инструментами, уровня Н2 умеет изменять такие инструменты и самостоятельно планировать сценарии, уровня Н3 приобретает сведения об уязвимостях на платных ресурсах и разрабатывает собственные средства, уровня Н4 располагает возможностями по выявлению уязвимостей нулевого дня и внедрению закладок на этапе поставки.</w:t>
      </w:r>
    </w:p>
    <w:p>
      <w:pPr>
        <w:spacing w:line="240" w:lineRule="auto" w:before="0" w:after="0"/>
        <w:ind w:firstLine="850"/>
        <w:jc w:val="both"/>
      </w:pPr>
    </w:p>
    <w:p>
      <w:pPr>
        <w:spacing w:line="240" w:lineRule="auto" w:before="0" w:after="0"/>
        <w:ind w:firstLine="850"/>
        <w:jc w:val="both"/>
      </w:pPr>
      <w:r>
        <w:rPr>
          <w:rFonts w:ascii="Times New Roman" w:hAnsi="Times New Roman"/>
          <w:sz w:val="28"/>
        </w:rPr>
        <w:t>Таблица 2 – Виды нарушителей для объекта защиты</w:t>
      </w:r>
    </w:p>
    <w:tbl>
      <w:tblPr>
        <w:tblStyle w:val="TableGrid"/>
        <w:tblW w:type="auto" w:w="0"/>
        <w:jc w:val="left"/>
        <w:tblLayout w:type="fixed"/>
        <w:tblLook w:firstColumn="1" w:firstRow="1" w:lastColumn="0" w:lastRow="0" w:noHBand="0" w:noVBand="1" w:val="04A0"/>
      </w:tblPr>
      <w:tblGrid>
        <w:gridCol w:w="2339"/>
        <w:gridCol w:w="2339"/>
        <w:gridCol w:w="2339"/>
        <w:gridCol w:w="2339"/>
      </w:tblGrid>
      <w:tr>
        <w:tc>
          <w:tcPr>
            <w:tcW w:type="dxa" w:w="2608"/>
          </w:tcPr>
          <w:p>
            <w:pPr>
              <w:spacing w:line="240" w:lineRule="auto" w:before="0" w:after="0"/>
              <w:ind w:firstLine="0"/>
              <w:jc w:val="center"/>
            </w:pPr>
            <w:r/>
            <w:r>
              <w:rPr>
                <w:rFonts w:ascii="Times New Roman" w:hAnsi="Times New Roman"/>
                <w:sz w:val="22"/>
              </w:rPr>
              <w:t>Вид нарушителя</w:t>
            </w:r>
          </w:p>
        </w:tc>
        <w:tc>
          <w:tcPr>
            <w:tcW w:type="dxa" w:w="1361"/>
          </w:tcPr>
          <w:p>
            <w:pPr>
              <w:spacing w:line="240" w:lineRule="auto" w:before="0" w:after="0"/>
              <w:ind w:firstLine="0"/>
              <w:jc w:val="center"/>
            </w:pPr>
            <w:r/>
            <w:r>
              <w:rPr>
                <w:rFonts w:ascii="Times New Roman" w:hAnsi="Times New Roman"/>
                <w:sz w:val="22"/>
              </w:rPr>
              <w:t>Категория</w:t>
            </w:r>
          </w:p>
        </w:tc>
        <w:tc>
          <w:tcPr>
            <w:tcW w:type="dxa" w:w="3912"/>
          </w:tcPr>
          <w:p>
            <w:pPr>
              <w:spacing w:line="240" w:lineRule="auto" w:before="0" w:after="0"/>
              <w:ind w:firstLine="0"/>
              <w:jc w:val="center"/>
            </w:pPr>
            <w:r/>
            <w:r>
              <w:rPr>
                <w:rFonts w:ascii="Times New Roman" w:hAnsi="Times New Roman"/>
                <w:sz w:val="22"/>
              </w:rPr>
              <w:t>Цель реализации угроз</w:t>
            </w:r>
          </w:p>
        </w:tc>
        <w:tc>
          <w:tcPr>
            <w:tcW w:type="dxa" w:w="1474"/>
          </w:tcPr>
          <w:p>
            <w:pPr>
              <w:spacing w:line="240" w:lineRule="auto" w:before="0" w:after="0"/>
              <w:ind w:firstLine="0"/>
              <w:jc w:val="center"/>
            </w:pPr>
            <w:r/>
            <w:r>
              <w:rPr>
                <w:rFonts w:ascii="Times New Roman" w:hAnsi="Times New Roman"/>
                <w:sz w:val="22"/>
              </w:rPr>
              <w:t>Уровень возможностей</w:t>
            </w:r>
          </w:p>
        </w:tc>
      </w:tr>
      <w:tr>
        <w:tc>
          <w:tcPr>
            <w:tcW w:type="dxa" w:w="2608"/>
          </w:tcPr>
          <w:p>
            <w:pPr>
              <w:spacing w:line="240" w:lineRule="auto" w:before="0" w:after="0"/>
              <w:ind w:firstLine="0"/>
              <w:jc w:val="left"/>
            </w:pPr>
            <w:r/>
            <w:r>
              <w:rPr>
                <w:rFonts w:ascii="Times New Roman" w:hAnsi="Times New Roman"/>
                <w:sz w:val="22"/>
              </w:rPr>
              <w:t>Отдельные физические лица (хакеры)</w:t>
            </w:r>
          </w:p>
        </w:tc>
        <w:tc>
          <w:tcPr>
            <w:tcW w:type="dxa" w:w="1361"/>
          </w:tcPr>
          <w:p>
            <w:pPr>
              <w:spacing w:line="240" w:lineRule="auto" w:before="0" w:after="0"/>
              <w:ind w:firstLine="0"/>
              <w:jc w:val="left"/>
            </w:pPr>
            <w:r/>
            <w:r>
              <w:rPr>
                <w:rFonts w:ascii="Times New Roman" w:hAnsi="Times New Roman"/>
                <w:sz w:val="22"/>
              </w:rPr>
              <w:t>Внешний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любопытство или самоутверждение</w:t>
            </w:r>
          </w:p>
        </w:tc>
        <w:tc>
          <w:tcPr>
            <w:tcW w:type="dxa" w:w="1474"/>
          </w:tcPr>
          <w:p>
            <w:pPr>
              <w:spacing w:line="240" w:lineRule="auto" w:before="0" w:after="0"/>
              <w:ind w:firstLine="0"/>
              <w:jc w:val="left"/>
            </w:pPr>
            <w:r/>
            <w:r>
              <w:rPr>
                <w:rFonts w:ascii="Times New Roman" w:hAnsi="Times New Roman"/>
                <w:sz w:val="22"/>
              </w:rPr>
              <w:t>Н1</w:t>
            </w:r>
          </w:p>
        </w:tc>
      </w:tr>
      <w:tr>
        <w:tc>
          <w:tcPr>
            <w:tcW w:type="dxa" w:w="2608"/>
          </w:tcPr>
          <w:p>
            <w:pPr>
              <w:spacing w:line="240" w:lineRule="auto" w:before="0" w:after="0"/>
              <w:ind w:firstLine="0"/>
              <w:jc w:val="left"/>
            </w:pPr>
            <w:r/>
            <w:r>
              <w:rPr>
                <w:rFonts w:ascii="Times New Roman" w:hAnsi="Times New Roman"/>
                <w:sz w:val="22"/>
              </w:rPr>
              <w:t>Преступные группы (криминальные структуры)</w:t>
            </w:r>
          </w:p>
        </w:tc>
        <w:tc>
          <w:tcPr>
            <w:tcW w:type="dxa" w:w="1361"/>
          </w:tcPr>
          <w:p>
            <w:pPr>
              <w:spacing w:line="240" w:lineRule="auto" w:before="0" w:after="0"/>
              <w:ind w:firstLine="0"/>
              <w:jc w:val="left"/>
            </w:pPr>
            <w:r/>
            <w:r>
              <w:rPr>
                <w:rFonts w:ascii="Times New Roman" w:hAnsi="Times New Roman"/>
                <w:sz w:val="22"/>
              </w:rPr>
              <w:t>Внешний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w:t>
            </w:r>
          </w:p>
        </w:tc>
        <w:tc>
          <w:tcPr>
            <w:tcW w:type="dxa" w:w="1474"/>
          </w:tcPr>
          <w:p>
            <w:pPr>
              <w:spacing w:line="240" w:lineRule="auto" w:before="0" w:after="0"/>
              <w:ind w:firstLine="0"/>
              <w:jc w:val="left"/>
            </w:pPr>
            <w:r/>
            <w:r>
              <w:rPr>
                <w:rFonts w:ascii="Times New Roman" w:hAnsi="Times New Roman"/>
                <w:sz w:val="22"/>
              </w:rPr>
              <w:t>Н2</w:t>
            </w:r>
          </w:p>
        </w:tc>
      </w:tr>
      <w:tr>
        <w:tc>
          <w:tcPr>
            <w:tcW w:type="dxa" w:w="2608"/>
          </w:tcPr>
          <w:p>
            <w:pPr>
              <w:spacing w:line="240" w:lineRule="auto" w:before="0" w:after="0"/>
              <w:ind w:firstLine="0"/>
              <w:jc w:val="left"/>
            </w:pPr>
            <w:r/>
            <w:r>
              <w:rPr>
                <w:rFonts w:ascii="Times New Roman" w:hAnsi="Times New Roman"/>
                <w:sz w:val="22"/>
              </w:rPr>
              <w:t>Конкурирующие организации</w:t>
            </w:r>
          </w:p>
        </w:tc>
        <w:tc>
          <w:tcPr>
            <w:tcW w:type="dxa" w:w="1361"/>
          </w:tcPr>
          <w:p>
            <w:pPr>
              <w:spacing w:line="240" w:lineRule="auto" w:before="0" w:after="0"/>
              <w:ind w:firstLine="0"/>
              <w:jc w:val="left"/>
            </w:pPr>
            <w:r/>
            <w:r>
              <w:rPr>
                <w:rFonts w:ascii="Times New Roman" w:hAnsi="Times New Roman"/>
                <w:sz w:val="22"/>
              </w:rPr>
              <w:t>Внешний</w:t>
            </w:r>
          </w:p>
        </w:tc>
        <w:tc>
          <w:tcPr>
            <w:tcW w:type="dxa" w:w="3912"/>
          </w:tcPr>
          <w:p>
            <w:pPr>
              <w:spacing w:line="240" w:lineRule="auto" w:before="0" w:after="0"/>
              <w:ind w:firstLine="0"/>
              <w:jc w:val="left"/>
            </w:pPr>
            <w:r/>
            <w:r>
              <w:rPr>
                <w:rFonts w:ascii="Times New Roman" w:hAnsi="Times New Roman"/>
                <w:sz w:val="22"/>
              </w:rPr>
              <w:t>Получение конкурентных преимуществ</w:t>
            </w:r>
          </w:p>
        </w:tc>
        <w:tc>
          <w:tcPr>
            <w:tcW w:type="dxa" w:w="1474"/>
          </w:tcPr>
          <w:p>
            <w:pPr>
              <w:spacing w:line="240" w:lineRule="auto" w:before="0" w:after="0"/>
              <w:ind w:firstLine="0"/>
              <w:jc w:val="left"/>
            </w:pPr>
            <w:r/>
            <w:r>
              <w:rPr>
                <w:rFonts w:ascii="Times New Roman" w:hAnsi="Times New Roman"/>
                <w:sz w:val="22"/>
              </w:rPr>
              <w:t>Н2</w:t>
            </w:r>
          </w:p>
        </w:tc>
      </w:tr>
      <w:tr>
        <w:tc>
          <w:tcPr>
            <w:tcW w:type="dxa" w:w="2608"/>
          </w:tcPr>
          <w:p>
            <w:pPr>
              <w:spacing w:line="240" w:lineRule="auto" w:before="0" w:after="0"/>
              <w:ind w:firstLine="0"/>
              <w:jc w:val="left"/>
            </w:pPr>
            <w:r/>
            <w:r>
              <w:rPr>
                <w:rFonts w:ascii="Times New Roman" w:hAnsi="Times New Roman"/>
                <w:sz w:val="22"/>
              </w:rPr>
              <w:t>Поставщики вычислительных услуг и услуг связи</w:t>
            </w:r>
          </w:p>
        </w:tc>
        <w:tc>
          <w:tcPr>
            <w:tcW w:type="dxa" w:w="1361"/>
          </w:tcPr>
          <w:p>
            <w:pPr>
              <w:spacing w:line="240" w:lineRule="auto" w:before="0" w:after="0"/>
              <w:ind w:firstLine="0"/>
              <w:jc w:val="left"/>
            </w:pPr>
            <w:r/>
            <w:r>
              <w:rPr>
                <w:rFonts w:ascii="Times New Roman" w:hAnsi="Times New Roman"/>
                <w:sz w:val="22"/>
              </w:rPr>
              <w:t>Внешний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непреднамеренные действия</w:t>
            </w:r>
          </w:p>
        </w:tc>
        <w:tc>
          <w:tcPr>
            <w:tcW w:type="dxa" w:w="1474"/>
          </w:tcPr>
          <w:p>
            <w:pPr>
              <w:spacing w:line="240" w:lineRule="auto" w:before="0" w:after="0"/>
              <w:ind w:firstLine="0"/>
              <w:jc w:val="left"/>
            </w:pPr>
            <w:r/>
            <w:r>
              <w:rPr>
                <w:rFonts w:ascii="Times New Roman" w:hAnsi="Times New Roman"/>
                <w:sz w:val="22"/>
              </w:rPr>
              <w:t>Н2</w:t>
            </w:r>
          </w:p>
        </w:tc>
      </w:tr>
      <w:tr>
        <w:tc>
          <w:tcPr>
            <w:tcW w:type="dxa" w:w="2608"/>
          </w:tcPr>
          <w:p>
            <w:pPr>
              <w:spacing w:line="240" w:lineRule="auto" w:before="0" w:after="0"/>
              <w:ind w:firstLine="0"/>
              <w:jc w:val="left"/>
            </w:pPr>
            <w:r/>
            <w:r>
              <w:rPr>
                <w:rFonts w:ascii="Times New Roman" w:hAnsi="Times New Roman"/>
                <w:sz w:val="22"/>
              </w:rPr>
              <w:t>Разработчики программных и программно-аппаратных средств</w:t>
            </w:r>
          </w:p>
        </w:tc>
        <w:tc>
          <w:tcPr>
            <w:tcW w:type="dxa" w:w="1361"/>
          </w:tcPr>
          <w:p>
            <w:pPr>
              <w:spacing w:line="240" w:lineRule="auto" w:before="0" w:after="0"/>
              <w:ind w:firstLine="0"/>
              <w:jc w:val="left"/>
            </w:pPr>
            <w:r/>
            <w:r>
              <w:rPr>
                <w:rFonts w:ascii="Times New Roman" w:hAnsi="Times New Roman"/>
                <w:sz w:val="22"/>
              </w:rPr>
              <w:t>Внешний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непреднамеренные действия</w:t>
            </w:r>
          </w:p>
        </w:tc>
        <w:tc>
          <w:tcPr>
            <w:tcW w:type="dxa" w:w="1474"/>
          </w:tcPr>
          <w:p>
            <w:pPr>
              <w:spacing w:line="240" w:lineRule="auto" w:before="0" w:after="0"/>
              <w:ind w:firstLine="0"/>
              <w:jc w:val="left"/>
            </w:pPr>
            <w:r/>
            <w:r>
              <w:rPr>
                <w:rFonts w:ascii="Times New Roman" w:hAnsi="Times New Roman"/>
                <w:sz w:val="22"/>
              </w:rPr>
              <w:t>Н3</w:t>
            </w:r>
          </w:p>
        </w:tc>
      </w:tr>
      <w:tr>
        <w:tc>
          <w:tcPr>
            <w:tcW w:type="dxa" w:w="2608"/>
          </w:tcPr>
          <w:p>
            <w:pPr>
              <w:spacing w:line="240" w:lineRule="auto" w:before="0" w:after="0"/>
              <w:ind w:firstLine="0"/>
              <w:jc w:val="left"/>
            </w:pPr>
            <w:r/>
            <w:r>
              <w:rPr>
                <w:rFonts w:ascii="Times New Roman" w:hAnsi="Times New Roman"/>
                <w:sz w:val="22"/>
              </w:rPr>
              <w:t>Лица, привлекаемые для установки, настройки и обслуживания</w:t>
            </w:r>
          </w:p>
        </w:tc>
        <w:tc>
          <w:tcPr>
            <w:tcW w:type="dxa" w:w="1361"/>
          </w:tcPr>
          <w:p>
            <w:pPr>
              <w:spacing w:line="240" w:lineRule="auto" w:before="0" w:after="0"/>
              <w:ind w:firstLine="0"/>
              <w:jc w:val="left"/>
            </w:pPr>
            <w:r/>
            <w:r>
              <w:rPr>
                <w:rFonts w:ascii="Times New Roman" w:hAnsi="Times New Roman"/>
                <w:sz w:val="22"/>
              </w:rPr>
              <w:t>Внутренний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непреднамеренные действия</w:t>
            </w:r>
          </w:p>
        </w:tc>
        <w:tc>
          <w:tcPr>
            <w:tcW w:type="dxa" w:w="1474"/>
          </w:tcPr>
          <w:p>
            <w:pPr>
              <w:spacing w:line="240" w:lineRule="auto" w:before="0" w:after="0"/>
              <w:ind w:firstLine="0"/>
              <w:jc w:val="left"/>
            </w:pPr>
            <w:r/>
            <w:r>
              <w:rPr>
                <w:rFonts w:ascii="Times New Roman" w:hAnsi="Times New Roman"/>
                <w:sz w:val="22"/>
              </w:rPr>
              <w:t>Н2</w:t>
            </w:r>
          </w:p>
        </w:tc>
      </w:tr>
      <w:tr>
        <w:tc>
          <w:tcPr>
            <w:tcW w:type="dxa" w:w="2608"/>
          </w:tcPr>
          <w:p>
            <w:pPr>
              <w:spacing w:line="240" w:lineRule="auto" w:before="0" w:after="0"/>
              <w:ind w:firstLine="0"/>
              <w:jc w:val="left"/>
            </w:pPr>
            <w:r/>
            <w:r>
              <w:rPr>
                <w:rFonts w:ascii="Times New Roman" w:hAnsi="Times New Roman"/>
                <w:sz w:val="22"/>
              </w:rPr>
              <w:t>Системные администраторы и администраторы безопасности</w:t>
            </w:r>
          </w:p>
        </w:tc>
        <w:tc>
          <w:tcPr>
            <w:tcW w:type="dxa" w:w="1361"/>
          </w:tcPr>
          <w:p>
            <w:pPr>
              <w:spacing w:line="240" w:lineRule="auto" w:before="0" w:after="0"/>
              <w:ind w:firstLine="0"/>
              <w:jc w:val="left"/>
            </w:pPr>
            <w:r/>
            <w:r>
              <w:rPr>
                <w:rFonts w:ascii="Times New Roman" w:hAnsi="Times New Roman"/>
                <w:sz w:val="22"/>
              </w:rPr>
              <w:t>Внутренний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месть за ранее совершённые действия; непреднамеренные действия</w:t>
            </w:r>
          </w:p>
        </w:tc>
        <w:tc>
          <w:tcPr>
            <w:tcW w:type="dxa" w:w="1474"/>
          </w:tcPr>
          <w:p>
            <w:pPr>
              <w:spacing w:line="240" w:lineRule="auto" w:before="0" w:after="0"/>
              <w:ind w:firstLine="0"/>
              <w:jc w:val="left"/>
            </w:pPr>
            <w:r/>
            <w:r>
              <w:rPr>
                <w:rFonts w:ascii="Times New Roman" w:hAnsi="Times New Roman"/>
                <w:sz w:val="22"/>
              </w:rPr>
              <w:t>Н2</w:t>
            </w:r>
          </w:p>
        </w:tc>
      </w:tr>
      <w:tr>
        <w:tc>
          <w:tcPr>
            <w:tcW w:type="dxa" w:w="2608"/>
          </w:tcPr>
          <w:p>
            <w:pPr>
              <w:spacing w:line="240" w:lineRule="auto" w:before="0" w:after="0"/>
              <w:ind w:firstLine="0"/>
              <w:jc w:val="left"/>
            </w:pPr>
            <w:r/>
            <w:r>
              <w:rPr>
                <w:rFonts w:ascii="Times New Roman" w:hAnsi="Times New Roman"/>
                <w:sz w:val="22"/>
              </w:rPr>
              <w:t>Авторизованные пользователи системы</w:t>
            </w:r>
          </w:p>
        </w:tc>
        <w:tc>
          <w:tcPr>
            <w:tcW w:type="dxa" w:w="1361"/>
          </w:tcPr>
          <w:p>
            <w:pPr>
              <w:spacing w:line="240" w:lineRule="auto" w:before="0" w:after="0"/>
              <w:ind w:firstLine="0"/>
              <w:jc w:val="left"/>
            </w:pPr>
            <w:r/>
            <w:r>
              <w:rPr>
                <w:rFonts w:ascii="Times New Roman" w:hAnsi="Times New Roman"/>
                <w:sz w:val="22"/>
              </w:rPr>
              <w:t>Внутренний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непреднамеренные действия</w:t>
            </w:r>
          </w:p>
        </w:tc>
        <w:tc>
          <w:tcPr>
            <w:tcW w:type="dxa" w:w="1474"/>
          </w:tcPr>
          <w:p>
            <w:pPr>
              <w:spacing w:line="240" w:lineRule="auto" w:before="0" w:after="0"/>
              <w:ind w:firstLine="0"/>
              <w:jc w:val="left"/>
            </w:pPr>
            <w:r/>
            <w:r>
              <w:rPr>
                <w:rFonts w:ascii="Times New Roman" w:hAnsi="Times New Roman"/>
                <w:sz w:val="22"/>
              </w:rPr>
              <w:t>Н1</w:t>
            </w:r>
          </w:p>
        </w:tc>
      </w:tr>
      <w:tr>
        <w:tc>
          <w:tcPr>
            <w:tcW w:type="dxa" w:w="2608"/>
          </w:tcPr>
          <w:p>
            <w:pPr>
              <w:spacing w:line="240" w:lineRule="auto" w:before="0" w:after="0"/>
              <w:ind w:firstLine="0"/>
              <w:jc w:val="left"/>
            </w:pPr>
            <w:r/>
            <w:r>
              <w:rPr>
                <w:rFonts w:ascii="Times New Roman" w:hAnsi="Times New Roman"/>
                <w:sz w:val="22"/>
              </w:rPr>
              <w:t>Бывшие работники</w:t>
            </w:r>
          </w:p>
        </w:tc>
        <w:tc>
          <w:tcPr>
            <w:tcW w:type="dxa" w:w="1361"/>
          </w:tcPr>
          <w:p>
            <w:pPr>
              <w:spacing w:line="240" w:lineRule="auto" w:before="0" w:after="0"/>
              <w:ind w:firstLine="0"/>
              <w:jc w:val="left"/>
            </w:pPr>
            <w:r/>
            <w:r>
              <w:rPr>
                <w:rFonts w:ascii="Times New Roman" w:hAnsi="Times New Roman"/>
                <w:sz w:val="22"/>
              </w:rPr>
              <w:t>Внешний</w:t>
            </w:r>
          </w:p>
        </w:tc>
        <w:tc>
          <w:tcPr>
            <w:tcW w:type="dxa" w:w="3912"/>
          </w:tcPr>
          <w:p>
            <w:pPr>
              <w:spacing w:line="240" w:lineRule="auto" w:before="0" w:after="0"/>
              <w:ind w:firstLine="0"/>
              <w:jc w:val="left"/>
            </w:pPr>
            <w:r/>
            <w:r>
              <w:rPr>
                <w:rFonts w:ascii="Times New Roman" w:hAnsi="Times New Roman"/>
                <w:sz w:val="22"/>
              </w:rPr>
              <w:t>Получение финансовой выгоды; месть за ранее совершённые действия</w:t>
            </w:r>
          </w:p>
        </w:tc>
        <w:tc>
          <w:tcPr>
            <w:tcW w:type="dxa" w:w="1474"/>
          </w:tcPr>
          <w:p>
            <w:pPr>
              <w:spacing w:line="240" w:lineRule="auto" w:before="0" w:after="0"/>
              <w:ind w:firstLine="0"/>
              <w:jc w:val="left"/>
            </w:pPr>
            <w:r/>
            <w:r>
              <w:rPr>
                <w:rFonts w:ascii="Times New Roman" w:hAnsi="Times New Roman"/>
                <w:sz w:val="22"/>
              </w:rPr>
              <w:t>Н1</w:t>
            </w:r>
          </w:p>
        </w:tc>
      </w:tr>
    </w:tbl>
    <w:p>
      <w:pPr>
        <w:spacing w:line="240" w:lineRule="auto" w:before="0" w:after="0"/>
        <w:ind w:firstLine="850"/>
        <w:jc w:val="both"/>
      </w:pPr>
    </w:p>
    <w:p>
      <w:pPr>
        <w:spacing w:line="240" w:lineRule="auto" w:before="0" w:after="0"/>
        <w:ind w:firstLine="850"/>
        <w:jc w:val="both"/>
      </w:pPr>
      <w:r>
        <w:rPr>
          <w:rFonts w:ascii="Times New Roman" w:hAnsi="Times New Roman"/>
          <w:sz w:val="28"/>
        </w:rPr>
        <w:t>Из перечня исключены специальные службы иностранных государств и террористические (экстремистские) группировки. Интернет-магазин не относится к объектам критической информационной инфраструктуры и не обрабатывает сведения, составляющие государственную тайну, поэтому нарушители с высоким уровнем возможностей для него не рассматриваются.</w:t>
      </w:r>
    </w:p>
    <w:p>
      <w:pPr>
        <w:spacing w:line="240" w:lineRule="auto" w:before="0" w:after="0"/>
        <w:ind w:firstLine="850"/>
        <w:jc w:val="both"/>
      </w:pPr>
      <w:r>
        <w:rPr>
          <w:rFonts w:ascii="Times New Roman" w:hAnsi="Times New Roman"/>
          <w:sz w:val="28"/>
        </w:rPr>
        <w:t>Наибольший уровень возможностей среди актуальных нарушителей составляет Н3, следовательно, меры защиты объекта должны противостоять нарушителю со средним уровнем возможностей.</w:t>
      </w:r>
    </w:p>
    <w:p>
      <w:pPr>
        <w:spacing w:line="240" w:lineRule="auto" w:before="0" w:after="0"/>
        <w:ind w:firstLine="850"/>
        <w:jc w:val="both"/>
      </w:pPr>
    </w:p>
    <w:p>
      <w:pPr>
        <w:spacing w:line="240" w:lineRule="auto" w:before="0" w:after="0"/>
        <w:ind w:firstLine="850"/>
        <w:jc w:val="both"/>
      </w:pPr>
      <w:r>
        <w:rPr>
          <w:rFonts w:ascii="Times New Roman" w:hAnsi="Times New Roman"/>
          <w:sz w:val="28"/>
        </w:rPr>
        <w:t>6 Федеральный закон № 152-ФЗ «О персональных данных»</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Основные положения Федерального закона от 27 июля 2006 года № 152-ФЗ «О персональных данных» сведены в таблицу 3. Ссылки на статьи закона приведены в тексте ответов.</w:t>
      </w:r>
    </w:p>
    <w:p>
      <w:pPr>
        <w:spacing w:line="240" w:lineRule="auto" w:before="0" w:after="0"/>
        <w:ind w:firstLine="850"/>
        <w:jc w:val="both"/>
      </w:pPr>
    </w:p>
    <w:p>
      <w:pPr>
        <w:spacing w:line="240" w:lineRule="auto" w:before="0" w:after="0"/>
        <w:ind w:firstLine="850"/>
        <w:jc w:val="both"/>
      </w:pPr>
      <w:r>
        <w:rPr>
          <w:rFonts w:ascii="Times New Roman" w:hAnsi="Times New Roman"/>
          <w:sz w:val="28"/>
        </w:rPr>
        <w:t>Таблица 3 – Основные положения Федерального закона № 152-ФЗ</w:t>
      </w:r>
    </w:p>
    <w:tbl>
      <w:tblPr>
        <w:tblStyle w:val="TableGrid"/>
        <w:tblW w:type="auto" w:w="0"/>
        <w:jc w:val="left"/>
        <w:tblLayout w:type="fixed"/>
        <w:tblLook w:firstColumn="1" w:firstRow="1" w:lastColumn="0" w:lastRow="0" w:noHBand="0" w:noVBand="1" w:val="04A0"/>
      </w:tblPr>
      <w:tblGrid>
        <w:gridCol w:w="4677"/>
        <w:gridCol w:w="4677"/>
      </w:tblGrid>
      <w:tr>
        <w:tc>
          <w:tcPr>
            <w:tcW w:type="dxa" w:w="2551"/>
          </w:tcPr>
          <w:p>
            <w:pPr>
              <w:spacing w:line="240" w:lineRule="auto" w:before="0" w:after="0"/>
              <w:ind w:firstLine="0"/>
              <w:jc w:val="center"/>
            </w:pPr>
            <w:r/>
            <w:r>
              <w:rPr>
                <w:rFonts w:ascii="Times New Roman" w:hAnsi="Times New Roman"/>
                <w:sz w:val="22"/>
              </w:rPr>
              <w:t>Вопрос</w:t>
            </w:r>
          </w:p>
        </w:tc>
        <w:tc>
          <w:tcPr>
            <w:tcW w:type="dxa" w:w="6803"/>
          </w:tcPr>
          <w:p>
            <w:pPr>
              <w:spacing w:line="240" w:lineRule="auto" w:before="0" w:after="0"/>
              <w:ind w:firstLine="0"/>
              <w:jc w:val="center"/>
            </w:pPr>
            <w:r/>
            <w:r>
              <w:rPr>
                <w:rFonts w:ascii="Times New Roman" w:hAnsi="Times New Roman"/>
                <w:sz w:val="22"/>
              </w:rPr>
              <w:t>Ответ</w:t>
            </w:r>
          </w:p>
        </w:tc>
      </w:tr>
      <w:tr>
        <w:tc>
          <w:tcPr>
            <w:tcW w:type="dxa" w:w="2551"/>
          </w:tcPr>
          <w:p>
            <w:pPr>
              <w:spacing w:line="240" w:lineRule="auto" w:before="0" w:after="0"/>
              <w:ind w:firstLine="0"/>
              <w:jc w:val="left"/>
            </w:pPr>
            <w:r/>
            <w:r>
              <w:rPr>
                <w:rFonts w:ascii="Times New Roman" w:hAnsi="Times New Roman"/>
                <w:sz w:val="22"/>
              </w:rPr>
              <w:t>Основные понятия, используемые в законе</w:t>
            </w:r>
          </w:p>
        </w:tc>
        <w:tc>
          <w:tcPr>
            <w:tcW w:type="dxa" w:w="6803"/>
          </w:tcPr>
          <w:p>
            <w:pPr>
              <w:spacing w:line="240" w:lineRule="auto" w:before="0" w:after="0"/>
              <w:ind w:firstLine="0"/>
              <w:jc w:val="left"/>
            </w:pPr>
            <w:r/>
            <w:r>
              <w:rPr>
                <w:rFonts w:ascii="Times New Roman" w:hAnsi="Times New Roman"/>
                <w:sz w:val="22"/>
              </w:rPr>
              <w:t>Статья 3. Персональные данные это любая информация, относящаяся к прямо или косвенно определённому или определяемому физическому лицу (субъекту персональных данных). Оператор это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состав данных и совершаемые с ними действия. Обработка персональных данных это любое действие (операция) или совокупность действий (операций), совершаемых с персональными данными, включая сбор, запись, систематизацию, накопление, хранение, уточнение, извлечение, использование, передачу (распространение, предоставление, доступ), обезличивание, блокирование, удаление и уничтожение. Обезличивание это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Трансграничная передача это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 Также закон определяет распространение, предоставление, блокирование, уничтожение, автоматизированную обработку и информационную систему персональных данных.</w:t>
            </w:r>
          </w:p>
        </w:tc>
      </w:tr>
      <w:tr>
        <w:tc>
          <w:tcPr>
            <w:tcW w:type="dxa" w:w="2551"/>
          </w:tcPr>
          <w:p>
            <w:pPr>
              <w:spacing w:line="240" w:lineRule="auto" w:before="0" w:after="0"/>
              <w:ind w:firstLine="0"/>
              <w:jc w:val="left"/>
            </w:pPr>
            <w:r/>
            <w:r>
              <w:rPr>
                <w:rFonts w:ascii="Times New Roman" w:hAnsi="Times New Roman"/>
                <w:sz w:val="22"/>
              </w:rPr>
              <w:t>Каким законодательством регламентируются персональные данные</w:t>
            </w:r>
          </w:p>
        </w:tc>
        <w:tc>
          <w:tcPr>
            <w:tcW w:type="dxa" w:w="6803"/>
          </w:tcPr>
          <w:p>
            <w:pPr>
              <w:spacing w:line="240" w:lineRule="auto" w:before="0" w:after="0"/>
              <w:ind w:firstLine="0"/>
              <w:jc w:val="left"/>
            </w:pPr>
            <w:r/>
            <w:r>
              <w:rPr>
                <w:rFonts w:ascii="Times New Roman" w:hAnsi="Times New Roman"/>
                <w:sz w:val="22"/>
              </w:rPr>
              <w:t>Статья 4. Законодательство в этой области основывается на Конституции Российской Федерации и международных договорах и состоит из настоящего закона и других федеральных законов, определяющих случаи и особенности обработки персональных данных. На основании и во исполнение федеральных законов государственные органы в пределах своих полномочий могут принимать нормативные правовые акты по отдельным вопросам обработки. К ним относятся постановления Правительства, а также приказы ФСТЭК России, ФСБ России и Роскомнадзора.</w:t>
            </w:r>
          </w:p>
        </w:tc>
      </w:tr>
      <w:tr>
        <w:tc>
          <w:tcPr>
            <w:tcW w:type="dxa" w:w="2551"/>
          </w:tcPr>
          <w:p>
            <w:pPr>
              <w:spacing w:line="240" w:lineRule="auto" w:before="0" w:after="0"/>
              <w:ind w:firstLine="0"/>
              <w:jc w:val="left"/>
            </w:pPr>
            <w:r/>
            <w:r>
              <w:rPr>
                <w:rFonts w:ascii="Times New Roman" w:hAnsi="Times New Roman"/>
                <w:sz w:val="22"/>
              </w:rPr>
              <w:t>Основные методы и принципы обработки персональных данных</w:t>
            </w:r>
          </w:p>
        </w:tc>
        <w:tc>
          <w:tcPr>
            <w:tcW w:type="dxa" w:w="6803"/>
          </w:tcPr>
          <w:p>
            <w:pPr>
              <w:spacing w:line="240" w:lineRule="auto" w:before="0" w:after="0"/>
              <w:ind w:firstLine="0"/>
              <w:jc w:val="left"/>
            </w:pPr>
            <w:r/>
            <w:r>
              <w:rPr>
                <w:rFonts w:ascii="Times New Roman" w:hAnsi="Times New Roman"/>
                <w:sz w:val="22"/>
              </w:rPr>
              <w:t>Статья 5. Обработка должна осуществляться на законной и справедливой основе и ограничиваться достижением конкретных, заранее определённых и законных целей. Не допускается обработка, несовместимая с целями сбора, и объединение баз данных, обработка в которых ведётся в несовместимых между собой целях. Обрабатываются только те персональные данные, которые отвечают целям обработки; их содержание и объём должны соответствовать заявленным целям, избыточность не допускается. При обработке обеспечиваются точность, достаточность и актуальность данных. Хранение ведётся в форме, позволяющей определить субъекта, не дольше, чем этого требуют цели обработки; по достижении целей данные подлежат уничтожению или обезличиванию.</w:t>
            </w:r>
          </w:p>
        </w:tc>
      </w:tr>
      <w:tr>
        <w:tc>
          <w:tcPr>
            <w:tcW w:type="dxa" w:w="2551"/>
          </w:tcPr>
          <w:p>
            <w:pPr>
              <w:spacing w:line="240" w:lineRule="auto" w:before="0" w:after="0"/>
              <w:ind w:firstLine="0"/>
              <w:jc w:val="left"/>
            </w:pPr>
            <w:r/>
            <w:r>
              <w:rPr>
                <w:rFonts w:ascii="Times New Roman" w:hAnsi="Times New Roman"/>
                <w:sz w:val="22"/>
              </w:rPr>
              <w:t>Для чего необходима защита персональных данных</w:t>
            </w:r>
          </w:p>
        </w:tc>
        <w:tc>
          <w:tcPr>
            <w:tcW w:type="dxa" w:w="6803"/>
          </w:tcPr>
          <w:p>
            <w:pPr>
              <w:spacing w:line="240" w:lineRule="auto" w:before="0" w:after="0"/>
              <w:ind w:firstLine="0"/>
              <w:jc w:val="left"/>
            </w:pPr>
            <w:r/>
            <w:r>
              <w:rPr>
                <w:rFonts w:ascii="Times New Roman" w:hAnsi="Times New Roman"/>
                <w:sz w:val="22"/>
              </w:rPr>
              <w:t>Статья 19. Защита необходима для предотвращения неправомерного или случайного доступа к персональным данным, их уничтожения, изменения, блокирования, копирования, предоставления и распространения, а также иных неправомерных действий в отношении персональных данных.</w:t>
            </w:r>
          </w:p>
        </w:tc>
      </w:tr>
      <w:tr>
        <w:tc>
          <w:tcPr>
            <w:tcW w:type="dxa" w:w="2551"/>
          </w:tcPr>
          <w:p>
            <w:pPr>
              <w:spacing w:line="240" w:lineRule="auto" w:before="0" w:after="0"/>
              <w:ind w:firstLine="0"/>
              <w:jc w:val="left"/>
            </w:pPr>
            <w:r/>
            <w:r>
              <w:rPr>
                <w:rFonts w:ascii="Times New Roman" w:hAnsi="Times New Roman"/>
                <w:sz w:val="22"/>
              </w:rPr>
              <w:t>В чём заключается конфиденциальность персональных данных</w:t>
            </w:r>
          </w:p>
        </w:tc>
        <w:tc>
          <w:tcPr>
            <w:tcW w:type="dxa" w:w="6803"/>
          </w:tcPr>
          <w:p>
            <w:pPr>
              <w:spacing w:line="240" w:lineRule="auto" w:before="0" w:after="0"/>
              <w:ind w:firstLine="0"/>
              <w:jc w:val="left"/>
            </w:pPr>
            <w:r/>
            <w:r>
              <w:rPr>
                <w:rFonts w:ascii="Times New Roman" w:hAnsi="Times New Roman"/>
                <w:sz w:val="22"/>
              </w:rPr>
              <w:t>Статья 7. 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tc>
      </w:tr>
      <w:tr>
        <w:tc>
          <w:tcPr>
            <w:tcW w:type="dxa" w:w="2551"/>
          </w:tcPr>
          <w:p>
            <w:pPr>
              <w:spacing w:line="240" w:lineRule="auto" w:before="0" w:after="0"/>
              <w:ind w:firstLine="0"/>
              <w:jc w:val="left"/>
            </w:pPr>
            <w:r/>
            <w:r>
              <w:rPr>
                <w:rFonts w:ascii="Times New Roman" w:hAnsi="Times New Roman"/>
                <w:sz w:val="22"/>
              </w:rPr>
              <w:t>Какие данные в соответствии с законом входят в разряд персональных</w:t>
            </w:r>
          </w:p>
        </w:tc>
        <w:tc>
          <w:tcPr>
            <w:tcW w:type="dxa" w:w="6803"/>
          </w:tcPr>
          <w:p>
            <w:pPr>
              <w:spacing w:line="240" w:lineRule="auto" w:before="0" w:after="0"/>
              <w:ind w:firstLine="0"/>
              <w:jc w:val="left"/>
            </w:pPr>
            <w:r/>
            <w:r>
              <w:rPr>
                <w:rFonts w:ascii="Times New Roman" w:hAnsi="Times New Roman"/>
                <w:sz w:val="22"/>
              </w:rPr>
              <w:t>Статья 3. К персональным относится любая информация, относящаяся к прямо или косвенно определённому или определяемому физическому лицу. Закрытого перечня закон не устанавливает: персональными данными признаются не любые сведения о человеке, а те, которые позволяют его определить. К ним относятся фамилия, имя, отчество, дата и место рождения, адрес, сведения о семейном, социальном и имущественном положении, об образовании, профессии и доходах. Закон выделяет отдельные категории: специальные (статья 10), биометрические (статья 11), общедоступные (статья 8) и разрешённые субъектом для распространения (статья 10.1).</w:t>
            </w:r>
          </w:p>
        </w:tc>
      </w:tr>
      <w:tr>
        <w:tc>
          <w:tcPr>
            <w:tcW w:type="dxa" w:w="2551"/>
          </w:tcPr>
          <w:p>
            <w:pPr>
              <w:spacing w:line="240" w:lineRule="auto" w:before="0" w:after="0"/>
              <w:ind w:firstLine="0"/>
              <w:jc w:val="left"/>
            </w:pPr>
            <w:r/>
            <w:r>
              <w:rPr>
                <w:rFonts w:ascii="Times New Roman" w:hAnsi="Times New Roman"/>
                <w:sz w:val="22"/>
              </w:rPr>
              <w:t>В каких случаях допускается обработка персональных данных специальных категорий</w:t>
            </w:r>
          </w:p>
        </w:tc>
        <w:tc>
          <w:tcPr>
            <w:tcW w:type="dxa" w:w="6803"/>
          </w:tcPr>
          <w:p>
            <w:pPr>
              <w:spacing w:line="240" w:lineRule="auto" w:before="0" w:after="0"/>
              <w:ind w:firstLine="0"/>
              <w:jc w:val="left"/>
            </w:pPr>
            <w:r/>
            <w:r>
              <w:rPr>
                <w:rFonts w:ascii="Times New Roman" w:hAnsi="Times New Roman"/>
                <w:sz w:val="22"/>
              </w:rPr>
              <w:t>Статья 10. К специальным категориям относятся данные о расовой и национальной принадлежности, политических взглядах, религиозных и философских убеждениях, состоянии здоровья и интимной жизни. Их обработка не допускается, за исключением случаев, прямо перечисленных в законе: субъект дал согласие в письменной форме; данные сделаны общедоступными самим субъектом; обработка необходима в медико-профилактических целях или для установления медицинского диагноза лицом, обязанным сохранять врачебную тайну; обработка осуществляется в соответствии с законодательством о государственной социальной помощи, трудовым законодательством, законодательством об обороне, безопасности, противодействии терроризму, транспортной безопасности, а также в связи с осуществлением правосудия и исполнением судебных актов.</w:t>
            </w:r>
          </w:p>
        </w:tc>
      </w:tr>
      <w:tr>
        <w:tc>
          <w:tcPr>
            <w:tcW w:type="dxa" w:w="2551"/>
          </w:tcPr>
          <w:p>
            <w:pPr>
              <w:spacing w:line="240" w:lineRule="auto" w:before="0" w:after="0"/>
              <w:ind w:firstLine="0"/>
              <w:jc w:val="left"/>
            </w:pPr>
            <w:r/>
            <w:r>
              <w:rPr>
                <w:rFonts w:ascii="Times New Roman" w:hAnsi="Times New Roman"/>
                <w:sz w:val="22"/>
              </w:rPr>
              <w:t>Что такое биометрические персональные данные, как они обрабатываются</w:t>
            </w:r>
          </w:p>
        </w:tc>
        <w:tc>
          <w:tcPr>
            <w:tcW w:type="dxa" w:w="6803"/>
          </w:tcPr>
          <w:p>
            <w:pPr>
              <w:spacing w:line="240" w:lineRule="auto" w:before="0" w:after="0"/>
              <w:ind w:firstLine="0"/>
              <w:jc w:val="left"/>
            </w:pPr>
            <w:r/>
            <w:r>
              <w:rPr>
                <w:rFonts w:ascii="Times New Roman" w:hAnsi="Times New Roman"/>
                <w:sz w:val="22"/>
              </w:rPr>
              <w:t>Статья 11. Это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персональных данных. Обрабатываются только при наличии согласия субъекта в письменной форме. Без согласия обработка допускается в связи с реализацией международных договоров о реадмиссии, с осуществлением правосудия и исполнительного производства, а также в случаях, предусмотренных законодательством об обороне, о безопасности, о противодействии терроризму, о транспортной безопасности, об оперативно-разыскной деятельности, о государственной службе, уголовно-исполнительным законодательством и законодательством о порядке выезда из Российской Федерации и въезда в Российскую Федерацию.</w:t>
            </w:r>
          </w:p>
        </w:tc>
      </w:tr>
      <w:tr>
        <w:tc>
          <w:tcPr>
            <w:tcW w:type="dxa" w:w="2551"/>
          </w:tcPr>
          <w:p>
            <w:pPr>
              <w:spacing w:line="240" w:lineRule="auto" w:before="0" w:after="0"/>
              <w:ind w:firstLine="0"/>
              <w:jc w:val="left"/>
            </w:pPr>
            <w:r/>
            <w:r>
              <w:rPr>
                <w:rFonts w:ascii="Times New Roman" w:hAnsi="Times New Roman"/>
                <w:sz w:val="22"/>
              </w:rPr>
              <w:t>Как передаются персональные данные на территории иностранных государств</w:t>
            </w:r>
          </w:p>
        </w:tc>
        <w:tc>
          <w:tcPr>
            <w:tcW w:type="dxa" w:w="6803"/>
          </w:tcPr>
          <w:p>
            <w:pPr>
              <w:spacing w:line="240" w:lineRule="auto" w:before="0" w:after="0"/>
              <w:ind w:firstLine="0"/>
              <w:jc w:val="left"/>
            </w:pPr>
            <w:r/>
            <w:r>
              <w:rPr>
                <w:rFonts w:ascii="Times New Roman" w:hAnsi="Times New Roman"/>
                <w:sz w:val="22"/>
              </w:rPr>
              <w:t>Статья 12. До начала трансграничной передачи оператор обязан уведомить уполномоченный орган по защите прав субъектов персональных данных о намерении осуществлять такую передачу. Передача на территории государств, являющихся сторонами Конвенции Совета Европы о защите физических лиц при автоматизированной обработке персональных данных, и иных государств, обеспечивающих адекватную защиту прав субъектов, осуществляется в соответствии с настоящим законом. Передача на территории государств, не обеспечивающих адекватной защиты, допускается при наличии согласия субъекта в письменной форме, для исполнения договора, стороной которого является субъект, а также в целях защиты жизни и здоровья. Уполномоченный орган вправе запретить или ограничить такую передачу.</w:t>
            </w:r>
          </w:p>
        </w:tc>
      </w:tr>
      <w:tr>
        <w:tc>
          <w:tcPr>
            <w:tcW w:type="dxa" w:w="2551"/>
          </w:tcPr>
          <w:p>
            <w:pPr>
              <w:spacing w:line="240" w:lineRule="auto" w:before="0" w:after="0"/>
              <w:ind w:firstLine="0"/>
              <w:jc w:val="left"/>
            </w:pPr>
            <w:r/>
            <w:r>
              <w:rPr>
                <w:rFonts w:ascii="Times New Roman" w:hAnsi="Times New Roman"/>
                <w:sz w:val="22"/>
              </w:rPr>
              <w:t>Как обрабатываются персональные данные в государственных и муниципальных органах</w:t>
            </w:r>
          </w:p>
        </w:tc>
        <w:tc>
          <w:tcPr>
            <w:tcW w:type="dxa" w:w="6803"/>
          </w:tcPr>
          <w:p>
            <w:pPr>
              <w:spacing w:line="240" w:lineRule="auto" w:before="0" w:after="0"/>
              <w:ind w:firstLine="0"/>
              <w:jc w:val="left"/>
            </w:pPr>
            <w:r/>
            <w:r>
              <w:rPr>
                <w:rFonts w:ascii="Times New Roman" w:hAnsi="Times New Roman"/>
                <w:sz w:val="22"/>
              </w:rPr>
              <w:t>Статья 13. Обработка ведётся в государственных и муниципальных информационных системах персональных данных, которые создаются в целях реализации полномочий этих органов. Такие системы создаются в порядке, установленном соответствующими органами. Не допускается использование оскорбляющих чувства граждан или порочащих деловую репутацию способов обозначения принадлежности персональных данных конкретному субъекту. В целях обеспечения прав субъектов может быть использован федеральный номер, присваиваемый в порядке, установленном Правительством Российской Федерации.</w:t>
            </w:r>
          </w:p>
        </w:tc>
      </w:tr>
      <w:tr>
        <w:tc>
          <w:tcPr>
            <w:tcW w:type="dxa" w:w="2551"/>
          </w:tcPr>
          <w:p>
            <w:pPr>
              <w:spacing w:line="240" w:lineRule="auto" w:before="0" w:after="0"/>
              <w:ind w:firstLine="0"/>
              <w:jc w:val="left"/>
            </w:pPr>
            <w:r/>
            <w:r>
              <w:rPr>
                <w:rFonts w:ascii="Times New Roman" w:hAnsi="Times New Roman"/>
                <w:sz w:val="22"/>
              </w:rPr>
              <w:t>На получение каких сведений имеет право субъект и в какой форме они предоставляются</w:t>
            </w:r>
          </w:p>
        </w:tc>
        <w:tc>
          <w:tcPr>
            <w:tcW w:type="dxa" w:w="6803"/>
          </w:tcPr>
          <w:p>
            <w:pPr>
              <w:spacing w:line="240" w:lineRule="auto" w:before="0" w:after="0"/>
              <w:ind w:firstLine="0"/>
              <w:jc w:val="left"/>
            </w:pPr>
            <w:r/>
            <w:r>
              <w:rPr>
                <w:rFonts w:ascii="Times New Roman" w:hAnsi="Times New Roman"/>
                <w:sz w:val="22"/>
              </w:rPr>
              <w:t>Статья 14. Субъект имеет право на получение сведений, касающихся обработки его персональных данных: подтверждение факта обработки, правовые основания и цели, применяемые оператором способы обработки, наименование и место нахождения оператора, сведения о лицах, имеющих доступ к данным, перечень обрабатываемых данных и источник их получения, сроки обработки и хранения, порядок осуществления субъектом своих прав, сведения об осуществлённой или предполагаемой трансграничной передаче, наименование лица, обрабатывающего данные по поручению оператора. Сведения предоставляются в доступной форме и не должны содержать персональные данные других субъектов. Оператор обязан предоставить их в течение десяти рабочих дней со дня обращения; срок может быть продлён не более чем на пять рабочих дней с уведомлением субъекта.</w:t>
            </w:r>
          </w:p>
        </w:tc>
      </w:tr>
      <w:tr>
        <w:tc>
          <w:tcPr>
            <w:tcW w:type="dxa" w:w="2551"/>
          </w:tcPr>
          <w:p>
            <w:pPr>
              <w:spacing w:line="240" w:lineRule="auto" w:before="0" w:after="0"/>
              <w:ind w:firstLine="0"/>
              <w:jc w:val="left"/>
            </w:pPr>
            <w:r/>
            <w:r>
              <w:rPr>
                <w:rFonts w:ascii="Times New Roman" w:hAnsi="Times New Roman"/>
                <w:sz w:val="22"/>
              </w:rPr>
              <w:t>Права субъектов персональных данных при автоматизированной обработке</w:t>
            </w:r>
          </w:p>
        </w:tc>
        <w:tc>
          <w:tcPr>
            <w:tcW w:type="dxa" w:w="6803"/>
          </w:tcPr>
          <w:p>
            <w:pPr>
              <w:spacing w:line="240" w:lineRule="auto" w:before="0" w:after="0"/>
              <w:ind w:firstLine="0"/>
              <w:jc w:val="left"/>
            </w:pPr>
            <w:r/>
            <w:r>
              <w:rPr>
                <w:rFonts w:ascii="Times New Roman" w:hAnsi="Times New Roman"/>
                <w:sz w:val="22"/>
              </w:rPr>
              <w:t>Статья 16. 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или иным образом затрагивающих его права и законные интересы. Исключение составляют случаи наличия согласия субъекта в письменной форме и случаи, предусмотренные федеральными законами. Оператор обязан разъяснить субъекту порядок принятия такого решения и возможные юридические последствия, предоставить возможность заявить возражение и рассмотреть это возражение в течение тридцати дней.</w:t>
            </w:r>
          </w:p>
        </w:tc>
      </w:tr>
      <w:tr>
        <w:tc>
          <w:tcPr>
            <w:tcW w:type="dxa" w:w="2551"/>
          </w:tcPr>
          <w:p>
            <w:pPr>
              <w:spacing w:line="240" w:lineRule="auto" w:before="0" w:after="0"/>
              <w:ind w:firstLine="0"/>
              <w:jc w:val="left"/>
            </w:pPr>
            <w:r/>
            <w:r>
              <w:rPr>
                <w:rFonts w:ascii="Times New Roman" w:hAnsi="Times New Roman"/>
                <w:sz w:val="22"/>
              </w:rPr>
              <w:t>Кто такой оператор, его обязанности и что он обязан предоставить субъекту</w:t>
            </w:r>
          </w:p>
        </w:tc>
        <w:tc>
          <w:tcPr>
            <w:tcW w:type="dxa" w:w="6803"/>
          </w:tcPr>
          <w:p>
            <w:pPr>
              <w:spacing w:line="240" w:lineRule="auto" w:before="0" w:after="0"/>
              <w:ind w:firstLine="0"/>
              <w:jc w:val="left"/>
            </w:pPr>
            <w:r/>
            <w:r>
              <w:rPr>
                <w:rFonts w:ascii="Times New Roman" w:hAnsi="Times New Roman"/>
                <w:sz w:val="22"/>
              </w:rPr>
              <w:t>Статья 3. Оператор это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состав обрабатываемых данных и совершаемые с ними действия. По статье 18 при сборе оператор обязан предоставить субъекту подтверждение факта обработки, правовые основания и цели, своё наименование и место нахождения, сведения о предполагаемых пользователях данных, права субъекта и, если данные получены не от субъекта, источник их получения и последствия отказа предоставить данные. По статье 18.1 оператор принимает меры по обеспечению выполнения обязанностей: назначает ответственного, издаёт документы, определяющие политику обработки, применяет правовые, организационные и технические меры, осуществляет внутренний контроль, оценивает вред субъектам и знакомит работников с требованиями законодательства.</w:t>
            </w:r>
          </w:p>
        </w:tc>
      </w:tr>
      <w:tr>
        <w:tc>
          <w:tcPr>
            <w:tcW w:type="dxa" w:w="2551"/>
          </w:tcPr>
          <w:p>
            <w:pPr>
              <w:spacing w:line="240" w:lineRule="auto" w:before="0" w:after="0"/>
              <w:ind w:firstLine="0"/>
              <w:jc w:val="left"/>
            </w:pPr>
            <w:r/>
            <w:r>
              <w:rPr>
                <w:rFonts w:ascii="Times New Roman" w:hAnsi="Times New Roman"/>
                <w:sz w:val="22"/>
              </w:rPr>
              <w:t>Как представляется уведомление об обработке персональных данных</w:t>
            </w:r>
          </w:p>
        </w:tc>
        <w:tc>
          <w:tcPr>
            <w:tcW w:type="dxa" w:w="6803"/>
          </w:tcPr>
          <w:p>
            <w:pPr>
              <w:spacing w:line="240" w:lineRule="auto" w:before="0" w:after="0"/>
              <w:ind w:firstLine="0"/>
              <w:jc w:val="left"/>
            </w:pPr>
            <w:r/>
            <w:r>
              <w:rPr>
                <w:rFonts w:ascii="Times New Roman" w:hAnsi="Times New Roman"/>
                <w:sz w:val="22"/>
              </w:rPr>
              <w:t>Статья 22. Оператор до начала обработки обязан уведомить уполномоченный орган по защите прав субъектов персональных данных о намерении осуществлять обработку. Уведомление направляется в виде документа на бумажном носителе или в форме электронного документа и подписывается уполномоченным лицом. В нём указываются наименование и адрес оператора, цель обработки, категории данных и субъектов, правовое основание, перечень действий с данными, описание применяемых мер защиты, фамилия, имя, отчество ответственного за организацию обработки и его контактные данные, дата начала обработки, срок или условие её прекращения, сведения о трансграничной передаче и о месте нахождения баз данных на территории Российской Федерации.</w:t>
            </w:r>
          </w:p>
        </w:tc>
      </w:tr>
      <w:tr>
        <w:tc>
          <w:tcPr>
            <w:tcW w:type="dxa" w:w="2551"/>
          </w:tcPr>
          <w:p>
            <w:pPr>
              <w:spacing w:line="240" w:lineRule="auto" w:before="0" w:after="0"/>
              <w:ind w:firstLine="0"/>
              <w:jc w:val="left"/>
            </w:pPr>
            <w:r/>
            <w:r>
              <w:rPr>
                <w:rFonts w:ascii="Times New Roman" w:hAnsi="Times New Roman"/>
                <w:sz w:val="22"/>
              </w:rPr>
              <w:t>Ответственные за организацию обработки персональных данных в организациях</w:t>
            </w:r>
          </w:p>
        </w:tc>
        <w:tc>
          <w:tcPr>
            <w:tcW w:type="dxa" w:w="6803"/>
          </w:tcPr>
          <w:p>
            <w:pPr>
              <w:spacing w:line="240" w:lineRule="auto" w:before="0" w:after="0"/>
              <w:ind w:firstLine="0"/>
              <w:jc w:val="left"/>
            </w:pPr>
            <w:r/>
            <w:r>
              <w:rPr>
                <w:rFonts w:ascii="Times New Roman" w:hAnsi="Times New Roman"/>
                <w:sz w:val="22"/>
              </w:rPr>
              <w:t>Статья 22.1. Оператор, являющийся юридическим лицом, назначает лицо, ответственное за организацию обработки персональных данных. Оно получает указания непосредственно от исполнительного органа организации и подотчётно ему. Его обязанности: осуществлять внутренний контроль за соблюдением оператором и его работниками законодательства о персональных данных, доводить до сведения работников положения законодательства и локальных актов по вопросам обработки, организовывать приём и обработку обращений и запросов субъектов и контролировать такой приём. Ответственность лица определяется законодательством и внутренними документами организации.</w:t>
            </w:r>
          </w:p>
        </w:tc>
      </w:tr>
      <w:tr>
        <w:tc>
          <w:tcPr>
            <w:tcW w:type="dxa" w:w="2551"/>
          </w:tcPr>
          <w:p>
            <w:pPr>
              <w:spacing w:line="240" w:lineRule="auto" w:before="0" w:after="0"/>
              <w:ind w:firstLine="0"/>
              <w:jc w:val="left"/>
            </w:pPr>
            <w:r/>
            <w:r>
              <w:rPr>
                <w:rFonts w:ascii="Times New Roman" w:hAnsi="Times New Roman"/>
                <w:sz w:val="22"/>
              </w:rPr>
              <w:t>Федеральный орган, отвечающий за защиту прав субъектов персональных данных</w:t>
            </w:r>
          </w:p>
        </w:tc>
        <w:tc>
          <w:tcPr>
            <w:tcW w:type="dxa" w:w="6803"/>
          </w:tcPr>
          <w:p>
            <w:pPr>
              <w:spacing w:line="240" w:lineRule="auto" w:before="0" w:after="0"/>
              <w:ind w:firstLine="0"/>
              <w:jc w:val="left"/>
            </w:pPr>
            <w:r/>
            <w:r>
              <w:rPr>
                <w:rFonts w:ascii="Times New Roman" w:hAnsi="Times New Roman"/>
                <w:sz w:val="22"/>
              </w:rPr>
              <w:t>Статья 23. Уполномоченным органом по защите прав субъектов персональных данных является Федеральная служба по надзору в сфере связи, информационных технологий и массовых коммуникаций (Роскомнадзор). Он ведёт реестр операторов, рассматривает обращения и жалобы субъектов, проводит проверки, требует уточнения, блокирования или уничтожения недостоверных или полученных незаконным путём данных и направляет материалы в правоохранительные органы.</w:t>
            </w:r>
          </w:p>
        </w:tc>
      </w:tr>
      <w:tr>
        <w:tc>
          <w:tcPr>
            <w:tcW w:type="dxa" w:w="2551"/>
          </w:tcPr>
          <w:p>
            <w:pPr>
              <w:spacing w:line="240" w:lineRule="auto" w:before="0" w:after="0"/>
              <w:ind w:firstLine="0"/>
              <w:jc w:val="left"/>
            </w:pPr>
            <w:r/>
            <w:r>
              <w:rPr>
                <w:rFonts w:ascii="Times New Roman" w:hAnsi="Times New Roman"/>
                <w:sz w:val="22"/>
              </w:rPr>
              <w:t>Требования к защите персональных данных</w:t>
            </w:r>
          </w:p>
        </w:tc>
        <w:tc>
          <w:tcPr>
            <w:tcW w:type="dxa" w:w="6803"/>
          </w:tcPr>
          <w:p>
            <w:pPr>
              <w:spacing w:line="240" w:lineRule="auto" w:before="0" w:after="0"/>
              <w:ind w:firstLine="0"/>
              <w:jc w:val="left"/>
            </w:pPr>
            <w:r/>
            <w:r>
              <w:rPr>
                <w:rFonts w:ascii="Times New Roman" w:hAnsi="Times New Roman"/>
                <w:sz w:val="22"/>
              </w:rPr>
              <w:t>Статья 19. Оператор обязан принимать необходимые правовые, организационные и технические меры для защиты персональных данных. К ним относятся определение угроз безопасности при обработке, применение организационных и технических мер, применение прошедших процедуру оценки соответствия средств защиты информации, оценка эффективности принимаемых мер до ввода системы в эксплуатацию, учёт машинных носителей, обнаружение фактов несанкционированного доступа и принятие мер реагирования, восстановление данных, изменённых или уничтоженных вследствие несанкционированного доступа, установление правил доступа и регистрация действий с данными, контроль за принимаемыми мерами и уровнем защищённости. Уровни защищённости и требования к ним устанавливает Правительство Российской Федерации, состав и содержание мер определяет ФСТЭК России.</w:t>
            </w:r>
          </w:p>
        </w:tc>
      </w:tr>
      <w:tr>
        <w:tc>
          <w:tcPr>
            <w:tcW w:type="dxa" w:w="2551"/>
          </w:tcPr>
          <w:p>
            <w:pPr>
              <w:spacing w:line="240" w:lineRule="auto" w:before="0" w:after="0"/>
              <w:ind w:firstLine="0"/>
              <w:jc w:val="left"/>
            </w:pPr>
            <w:r/>
            <w:r>
              <w:rPr>
                <w:rFonts w:ascii="Times New Roman" w:hAnsi="Times New Roman"/>
                <w:sz w:val="22"/>
              </w:rPr>
              <w:t>Ответственность за нарушение Федерального закона № 152-ФЗ</w:t>
            </w:r>
          </w:p>
        </w:tc>
        <w:tc>
          <w:tcPr>
            <w:tcW w:type="dxa" w:w="6803"/>
          </w:tcPr>
          <w:p>
            <w:pPr>
              <w:spacing w:line="240" w:lineRule="auto" w:before="0" w:after="0"/>
              <w:ind w:firstLine="0"/>
              <w:jc w:val="left"/>
            </w:pPr>
            <w:r/>
            <w:r>
              <w:rPr>
                <w:rFonts w:ascii="Times New Roman" w:hAnsi="Times New Roman"/>
                <w:sz w:val="22"/>
              </w:rPr>
              <w:t>Статья 24. Лица, виновные в нарушении требований закона, несут гражданскую, уголовную, административную, дисциплинарную и иную предусмотренную законодательством ответственность. Административная ответственность установлена статьёй 13.11 Кодекса Российской Федерации об административных правонарушениях; с 30 мая 2025 года она существенно ужесточена, штрафы за утечку персональных данных для юридических лиц достигают 15 миллионов рублей, а за повторное нарушение предусмотрен оборотный штраф от 1 до 3 процентов выручки, но не менее 25 и не более 500 миллионов рублей. Уголовная ответственность предусмотрена статьёй 272.1 Уголовного кодекса за незаконные использование, передачу, сбор и хранение компьютерной информации, содержащей персональные данные, а также статьёй 137 за нарушение неприкосновенности частной жизни. Кроме того, субъект вправе требовать возмещения убытков и компенсации морального вреда в судебном порядке.</w:t>
            </w:r>
          </w:p>
        </w:tc>
      </w:tr>
    </w:tbl>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7 Контрольные вопросы</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Ответы на контрольные вопросы даны по тексту Федерального закона № 152-ФЗ. Определения приведены так, как они закреплены в статье 3 закона, без замены терминов близкими по смыслу словами.</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7.1 Определения</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Кто такой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spacing w:line="240" w:lineRule="auto" w:before="0" w:after="0"/>
        <w:ind w:firstLine="850"/>
        <w:jc w:val="both"/>
      </w:pPr>
    </w:p>
    <w:p>
      <w:pPr>
        <w:spacing w:line="240" w:lineRule="auto" w:before="0" w:after="0"/>
        <w:ind w:firstLine="850"/>
        <w:jc w:val="both"/>
      </w:pPr>
      <w:r>
        <w:rPr>
          <w:rFonts w:ascii="Times New Roman" w:hAnsi="Times New Roman"/>
          <w:sz w:val="28"/>
        </w:rPr>
        <w:t>Персональные данные – Любая информация, относящаяся к прямо или косвенно определённому или определяемому физическому лицу (субъекту персональных данных). Это не сведения о человеке вообще: признаком персональных данных является именно возможность определить по ним конкретное лицо.</w:t>
      </w:r>
    </w:p>
    <w:p>
      <w:pPr>
        <w:spacing w:line="240" w:lineRule="auto" w:before="0" w:after="0"/>
        <w:ind w:firstLine="850"/>
        <w:jc w:val="both"/>
      </w:pPr>
    </w:p>
    <w:p>
      <w:pPr>
        <w:spacing w:line="240" w:lineRule="auto" w:before="0" w:after="0"/>
        <w:ind w:firstLine="850"/>
        <w:jc w:val="both"/>
      </w:pPr>
      <w:r>
        <w:rPr>
          <w:rFonts w:ascii="Times New Roman" w:hAnsi="Times New Roman"/>
          <w:sz w:val="28"/>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spacing w:line="240" w:lineRule="auto" w:before="0" w:after="0"/>
        <w:ind w:firstLine="850"/>
        <w:jc w:val="both"/>
      </w:pPr>
    </w:p>
    <w:p>
      <w:pPr>
        <w:spacing w:line="240" w:lineRule="auto" w:before="0" w:after="0"/>
        <w:ind w:firstLine="850"/>
        <w:jc w:val="both"/>
      </w:pPr>
      <w:r>
        <w:rPr>
          <w:rFonts w:ascii="Times New Roman" w:hAnsi="Times New Roman"/>
          <w:sz w:val="28"/>
        </w:rPr>
        <w:t>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pPr>
        <w:spacing w:line="240" w:lineRule="auto" w:before="0" w:after="0"/>
        <w:ind w:firstLine="850"/>
        <w:jc w:val="both"/>
      </w:pPr>
    </w:p>
    <w:p>
      <w:pPr>
        <w:spacing w:line="240" w:lineRule="auto" w:before="0" w:after="0"/>
        <w:ind w:firstLine="850"/>
        <w:jc w:val="both"/>
      </w:pPr>
      <w:r>
        <w:rPr>
          <w:rFonts w:ascii="Times New Roman" w:hAnsi="Times New Roman"/>
          <w:sz w:val="28"/>
        </w:rPr>
        <w:t>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7.2 Виды персональных данных и примеры</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Таблица 4 – Виды персональных данных</w:t>
      </w:r>
    </w:p>
    <w:tbl>
      <w:tblPr>
        <w:tblStyle w:val="TableGrid"/>
        <w:tblW w:type="auto" w:w="0"/>
        <w:jc w:val="left"/>
        <w:tblLayout w:type="fixed"/>
        <w:tblLook w:firstColumn="1" w:firstRow="1" w:lastColumn="0" w:lastRow="0" w:noHBand="0" w:noVBand="1" w:val="04A0"/>
      </w:tblPr>
      <w:tblGrid>
        <w:gridCol w:w="3118"/>
        <w:gridCol w:w="3118"/>
        <w:gridCol w:w="3118"/>
      </w:tblGrid>
      <w:tr>
        <w:tc>
          <w:tcPr>
            <w:tcW w:type="dxa" w:w="2041"/>
          </w:tcPr>
          <w:p>
            <w:pPr>
              <w:spacing w:line="240" w:lineRule="auto" w:before="0" w:after="0"/>
              <w:ind w:firstLine="0"/>
              <w:jc w:val="center"/>
            </w:pPr>
            <w:r/>
            <w:r>
              <w:rPr>
                <w:rFonts w:ascii="Times New Roman" w:hAnsi="Times New Roman"/>
                <w:sz w:val="22"/>
              </w:rPr>
              <w:t>Вид персональных данных</w:t>
            </w:r>
          </w:p>
        </w:tc>
        <w:tc>
          <w:tcPr>
            <w:tcW w:type="dxa" w:w="3912"/>
          </w:tcPr>
          <w:p>
            <w:pPr>
              <w:spacing w:line="240" w:lineRule="auto" w:before="0" w:after="0"/>
              <w:ind w:firstLine="0"/>
              <w:jc w:val="center"/>
            </w:pPr>
            <w:r/>
            <w:r>
              <w:rPr>
                <w:rFonts w:ascii="Times New Roman" w:hAnsi="Times New Roman"/>
                <w:sz w:val="22"/>
              </w:rPr>
              <w:t>Что относится</w:t>
            </w:r>
          </w:p>
        </w:tc>
        <w:tc>
          <w:tcPr>
            <w:tcW w:type="dxa" w:w="3402"/>
          </w:tcPr>
          <w:p>
            <w:pPr>
              <w:spacing w:line="240" w:lineRule="auto" w:before="0" w:after="0"/>
              <w:ind w:firstLine="0"/>
              <w:jc w:val="center"/>
            </w:pPr>
            <w:r/>
            <w:r>
              <w:rPr>
                <w:rFonts w:ascii="Times New Roman" w:hAnsi="Times New Roman"/>
                <w:sz w:val="22"/>
              </w:rPr>
              <w:t>Примеры</w:t>
            </w:r>
          </w:p>
        </w:tc>
      </w:tr>
      <w:tr>
        <w:tc>
          <w:tcPr>
            <w:tcW w:type="dxa" w:w="2041"/>
          </w:tcPr>
          <w:p>
            <w:pPr>
              <w:spacing w:line="240" w:lineRule="auto" w:before="0" w:after="0"/>
              <w:ind w:firstLine="0"/>
              <w:jc w:val="left"/>
            </w:pPr>
            <w:r/>
            <w:r>
              <w:rPr>
                <w:rFonts w:ascii="Times New Roman" w:hAnsi="Times New Roman"/>
                <w:sz w:val="22"/>
              </w:rPr>
              <w:t>Общие</w:t>
            </w:r>
          </w:p>
        </w:tc>
        <w:tc>
          <w:tcPr>
            <w:tcW w:type="dxa" w:w="3912"/>
          </w:tcPr>
          <w:p>
            <w:pPr>
              <w:spacing w:line="240" w:lineRule="auto" w:before="0" w:after="0"/>
              <w:ind w:firstLine="0"/>
              <w:jc w:val="left"/>
            </w:pPr>
            <w:r/>
            <w:r>
              <w:rPr>
                <w:rFonts w:ascii="Times New Roman" w:hAnsi="Times New Roman"/>
                <w:sz w:val="22"/>
              </w:rPr>
              <w:t>Сведения, позволяющие определить лицо, не отнесённые законом к особым категориям (статья 3)</w:t>
            </w:r>
          </w:p>
        </w:tc>
        <w:tc>
          <w:tcPr>
            <w:tcW w:type="dxa" w:w="3402"/>
          </w:tcPr>
          <w:p>
            <w:pPr>
              <w:spacing w:line="240" w:lineRule="auto" w:before="0" w:after="0"/>
              <w:ind w:firstLine="0"/>
              <w:jc w:val="left"/>
            </w:pPr>
            <w:r/>
            <w:r>
              <w:rPr>
                <w:rFonts w:ascii="Times New Roman" w:hAnsi="Times New Roman"/>
                <w:sz w:val="22"/>
              </w:rPr>
              <w:t>Фамилия, имя, отчество, дата и место рождения, адрес, номер телефона, адрес электронной почты, сведения об образовании, профессии, доходах</w:t>
            </w:r>
          </w:p>
        </w:tc>
      </w:tr>
      <w:tr>
        <w:tc>
          <w:tcPr>
            <w:tcW w:type="dxa" w:w="2041"/>
          </w:tcPr>
          <w:p>
            <w:pPr>
              <w:spacing w:line="240" w:lineRule="auto" w:before="0" w:after="0"/>
              <w:ind w:firstLine="0"/>
              <w:jc w:val="left"/>
            </w:pPr>
            <w:r/>
            <w:r>
              <w:rPr>
                <w:rFonts w:ascii="Times New Roman" w:hAnsi="Times New Roman"/>
                <w:sz w:val="22"/>
              </w:rPr>
              <w:t>Специальные</w:t>
            </w:r>
          </w:p>
        </w:tc>
        <w:tc>
          <w:tcPr>
            <w:tcW w:type="dxa" w:w="3912"/>
          </w:tcPr>
          <w:p>
            <w:pPr>
              <w:spacing w:line="240" w:lineRule="auto" w:before="0" w:after="0"/>
              <w:ind w:firstLine="0"/>
              <w:jc w:val="left"/>
            </w:pPr>
            <w:r/>
            <w:r>
              <w:rPr>
                <w:rFonts w:ascii="Times New Roman" w:hAnsi="Times New Roman"/>
                <w:sz w:val="22"/>
              </w:rPr>
              <w:t>Сведения о расовой и национальной принадлежности, политических взглядах, религиозных и философских убеждениях, состоянии здоровья, интимной жизни (статья 10)</w:t>
            </w:r>
          </w:p>
        </w:tc>
        <w:tc>
          <w:tcPr>
            <w:tcW w:type="dxa" w:w="3402"/>
          </w:tcPr>
          <w:p>
            <w:pPr>
              <w:spacing w:line="240" w:lineRule="auto" w:before="0" w:after="0"/>
              <w:ind w:firstLine="0"/>
              <w:jc w:val="left"/>
            </w:pPr>
            <w:r/>
            <w:r>
              <w:rPr>
                <w:rFonts w:ascii="Times New Roman" w:hAnsi="Times New Roman"/>
                <w:sz w:val="22"/>
              </w:rPr>
              <w:t>Национальность, вероисповедание, членство в партии, диагноз, группа инвалидности</w:t>
            </w:r>
          </w:p>
        </w:tc>
      </w:tr>
      <w:tr>
        <w:tc>
          <w:tcPr>
            <w:tcW w:type="dxa" w:w="2041"/>
          </w:tcPr>
          <w:p>
            <w:pPr>
              <w:spacing w:line="240" w:lineRule="auto" w:before="0" w:after="0"/>
              <w:ind w:firstLine="0"/>
              <w:jc w:val="left"/>
            </w:pPr>
            <w:r/>
            <w:r>
              <w:rPr>
                <w:rFonts w:ascii="Times New Roman" w:hAnsi="Times New Roman"/>
                <w:sz w:val="22"/>
              </w:rPr>
              <w:t>Биометрические</w:t>
            </w:r>
          </w:p>
        </w:tc>
        <w:tc>
          <w:tcPr>
            <w:tcW w:type="dxa" w:w="3912"/>
          </w:tcPr>
          <w:p>
            <w:pPr>
              <w:spacing w:line="240" w:lineRule="auto" w:before="0" w:after="0"/>
              <w:ind w:firstLine="0"/>
              <w:jc w:val="left"/>
            </w:pPr>
            <w:r/>
            <w:r>
              <w:rPr>
                <w:rFonts w:ascii="Times New Roman" w:hAnsi="Times New Roman"/>
                <w:sz w:val="22"/>
              </w:rPr>
              <w:t>Сведения, характеризующие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(статья 11)</w:t>
            </w:r>
          </w:p>
        </w:tc>
        <w:tc>
          <w:tcPr>
            <w:tcW w:type="dxa" w:w="3402"/>
          </w:tcPr>
          <w:p>
            <w:pPr>
              <w:spacing w:line="240" w:lineRule="auto" w:before="0" w:after="0"/>
              <w:ind w:firstLine="0"/>
              <w:jc w:val="left"/>
            </w:pPr>
            <w:r/>
            <w:r>
              <w:rPr>
                <w:rFonts w:ascii="Times New Roman" w:hAnsi="Times New Roman"/>
                <w:sz w:val="22"/>
              </w:rPr>
              <w:t>Отпечаток пальца, изображение лица для распознавания, рисунок радужной оболочки, образец голоса</w:t>
            </w:r>
          </w:p>
        </w:tc>
      </w:tr>
      <w:tr>
        <w:tc>
          <w:tcPr>
            <w:tcW w:type="dxa" w:w="2041"/>
          </w:tcPr>
          <w:p>
            <w:pPr>
              <w:spacing w:line="240" w:lineRule="auto" w:before="0" w:after="0"/>
              <w:ind w:firstLine="0"/>
              <w:jc w:val="left"/>
            </w:pPr>
            <w:r/>
            <w:r>
              <w:rPr>
                <w:rFonts w:ascii="Times New Roman" w:hAnsi="Times New Roman"/>
                <w:sz w:val="22"/>
              </w:rPr>
              <w:t>Общедоступные</w:t>
            </w:r>
          </w:p>
        </w:tc>
        <w:tc>
          <w:tcPr>
            <w:tcW w:type="dxa" w:w="3912"/>
          </w:tcPr>
          <w:p>
            <w:pPr>
              <w:spacing w:line="240" w:lineRule="auto" w:before="0" w:after="0"/>
              <w:ind w:firstLine="0"/>
              <w:jc w:val="left"/>
            </w:pPr>
            <w:r/>
            <w:r>
              <w:rPr>
                <w:rFonts w:ascii="Times New Roman" w:hAnsi="Times New Roman"/>
                <w:sz w:val="22"/>
              </w:rPr>
              <w:t>Сведения, доступ неограниченного круга лиц к которым предоставлен с согласия субъекта либо на которые не распространяется требование конфиденциальности (статья 8)</w:t>
            </w:r>
          </w:p>
        </w:tc>
        <w:tc>
          <w:tcPr>
            <w:tcW w:type="dxa" w:w="3402"/>
          </w:tcPr>
          <w:p>
            <w:pPr>
              <w:spacing w:line="240" w:lineRule="auto" w:before="0" w:after="0"/>
              <w:ind w:firstLine="0"/>
              <w:jc w:val="left"/>
            </w:pPr>
            <w:r/>
            <w:r>
              <w:rPr>
                <w:rFonts w:ascii="Times New Roman" w:hAnsi="Times New Roman"/>
                <w:sz w:val="22"/>
              </w:rPr>
              <w:t>Данные в справочниках и адресных книгах, куда субъект дал согласие их включить</w:t>
            </w:r>
          </w:p>
        </w:tc>
      </w:tr>
      <w:tr>
        <w:tc>
          <w:tcPr>
            <w:tcW w:type="dxa" w:w="2041"/>
          </w:tcPr>
          <w:p>
            <w:pPr>
              <w:spacing w:line="240" w:lineRule="auto" w:before="0" w:after="0"/>
              <w:ind w:firstLine="0"/>
              <w:jc w:val="left"/>
            </w:pPr>
            <w:r/>
            <w:r>
              <w:rPr>
                <w:rFonts w:ascii="Times New Roman" w:hAnsi="Times New Roman"/>
                <w:sz w:val="22"/>
              </w:rPr>
              <w:t>Разрешённые субъектом для распространения</w:t>
            </w:r>
          </w:p>
        </w:tc>
        <w:tc>
          <w:tcPr>
            <w:tcW w:type="dxa" w:w="3912"/>
          </w:tcPr>
          <w:p>
            <w:pPr>
              <w:spacing w:line="240" w:lineRule="auto" w:before="0" w:after="0"/>
              <w:ind w:firstLine="0"/>
              <w:jc w:val="left"/>
            </w:pPr>
            <w:r/>
            <w:r>
              <w:rPr>
                <w:rFonts w:ascii="Times New Roman" w:hAnsi="Times New Roman"/>
                <w:sz w:val="22"/>
              </w:rPr>
              <w:t>Персональные данные, доступ неограниченного круга лиц к которым предоставлен субъектом путём дачи отдельного согласия (статья 10.1)</w:t>
            </w:r>
          </w:p>
        </w:tc>
        <w:tc>
          <w:tcPr>
            <w:tcW w:type="dxa" w:w="3402"/>
          </w:tcPr>
          <w:p>
            <w:pPr>
              <w:spacing w:line="240" w:lineRule="auto" w:before="0" w:after="0"/>
              <w:ind w:firstLine="0"/>
              <w:jc w:val="left"/>
            </w:pPr>
            <w:r/>
            <w:r>
              <w:rPr>
                <w:rFonts w:ascii="Times New Roman" w:hAnsi="Times New Roman"/>
                <w:sz w:val="22"/>
              </w:rPr>
              <w:t>Сведения, которые субъект разрешил опубликовать в открытом профиле сервиса</w:t>
            </w:r>
          </w:p>
        </w:tc>
      </w:tr>
    </w:tbl>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7.3 Ответственность за обработку и требования к защите</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Кто отвечает за обработку персональных данных – Отвечает оператор: именно он определяет цели обработки, состав данных и совершаемые с ними действия. Оператор, являющийся юридическим лицом, назначает лицо, ответственное за организацию обработки персональных данных (статья 22.1). Это лицо получает указания непосредственно от исполнительного органа организации и подотчётно ему, осуществляет внутренний контроль за соблюдением законодательства, доводит до работников его положения и организует приём и обработку обращений субъектов. Назначение ответственного не снимает ответственности с самого оператора.</w:t>
      </w:r>
    </w:p>
    <w:p>
      <w:pPr>
        <w:spacing w:line="240" w:lineRule="auto" w:before="0" w:after="0"/>
        <w:ind w:firstLine="850"/>
        <w:jc w:val="both"/>
      </w:pPr>
    </w:p>
    <w:p>
      <w:pPr>
        <w:spacing w:line="240" w:lineRule="auto" w:before="0" w:after="0"/>
        <w:ind w:firstLine="850"/>
        <w:jc w:val="both"/>
      </w:pPr>
      <w:r>
        <w:rPr>
          <w:rFonts w:ascii="Times New Roman" w:hAnsi="Times New Roman"/>
          <w:sz w:val="28"/>
        </w:rPr>
        <w:t>С какого момента наступают обязанности и ответственность – Обязанности оператора возникают с момента начала обработки персональных данных, причём сбор данных уже является обработкой. Часть обязанностей возникает раньше: уведомить уполномоченный орган о намерении осуществлять обработку требуется до её начала (статья 22), о намерении осуществлять трансграничную передачу тоже до начала такой передачи (статья 12). Ответственность наступает с момента нарушения требований закона, независимо от того, наступили ли для субъекта негативные последствия.</w:t>
      </w:r>
    </w:p>
    <w:p>
      <w:pPr>
        <w:spacing w:line="240" w:lineRule="auto" w:before="0" w:after="0"/>
        <w:ind w:firstLine="850"/>
        <w:jc w:val="both"/>
      </w:pPr>
    </w:p>
    <w:p>
      <w:pPr>
        <w:spacing w:line="240" w:lineRule="auto" w:before="0" w:after="0"/>
        <w:ind w:firstLine="850"/>
        <w:jc w:val="both"/>
      </w:pPr>
      <w:r>
        <w:rPr>
          <w:rFonts w:ascii="Times New Roman" w:hAnsi="Times New Roman"/>
          <w:sz w:val="28"/>
        </w:rPr>
        <w:t>Требования к защите персональных данных – Статья 19 обязывает оператора принимать необходимые правовые, организационные и технические меры: определять угрозы безопасности при обработке, применять организационные и технические меры, использовать прошедшие процедуру оценки соответствия средства защиты информации, оценивать эффективность принятых мер до ввода системы в эксплуатацию, вести учёт машинных носителей, обнаруживать факты несанкционированного доступа и реагировать на них, восстанавливать изменённые или уничтоженные данные, устанавливать правила доступа и регистрировать действия с данными, контролировать принимаемые меры и уровень защищённости. Уровни защищённости устанавливает Правительство Российской Федерации, состав и содержание мер определяет ФСТЭК России.</w:t>
      </w:r>
    </w:p>
    <w:p>
      <w:pPr>
        <w:spacing w:line="240" w:lineRule="auto" w:before="0" w:after="0"/>
        <w:ind w:firstLine="850"/>
        <w:jc w:val="both"/>
      </w:pPr>
    </w:p>
    <w:p>
      <w:pPr>
        <w:spacing w:line="240" w:lineRule="auto" w:before="0" w:after="0"/>
        <w:ind w:firstLine="850"/>
        <w:jc w:val="both"/>
      </w:pPr>
      <w:r>
        <w:rPr>
          <w:rFonts w:ascii="Times New Roman" w:hAnsi="Times New Roman"/>
          <w:sz w:val="28"/>
        </w:rPr>
        <w:t>Какая предусмотрена ответственность – Статья 24 называет гражданскую, уголовную, административную, дисциплинарную и иную предусмотренную законодательством ответственность. Административная установлена статьёй 13.11 Кодекса об административных правонарушениях; с 30 мая 2025 года она ужесточена: штраф за утечку персональных данных для юридических лиц достигает 15 миллионов рублей, а за повторное нарушение предусмотрен оборотный штраф от 1 до 3 процентов выручки, но не менее 25 и не более 500 миллионов рублей. Уголовная предусмотрена статьёй 272.1 Уголовного кодекса за незаконные использование, передачу, сбор и хранение компьютерной информации, содержащей персональные данные, и статьёй 137 за нарушение неприкосновенности частной жизни. Дисциплинарная применяется к работнику, нарушившему установленный порядок обработки. Кроме того, субъект вправе требовать возмещения убытков и компенсации морального вреда в судебном порядке.</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8 Вывод</w:t>
      </w:r>
    </w:p>
    <w:p>
      <w:pPr>
        <w:spacing w:line="240" w:lineRule="auto" w:before="0" w:after="0"/>
        <w:ind w:firstLine="850"/>
        <w:jc w:val="both"/>
      </w:pPr>
    </w:p>
    <w:p>
      <w:pPr>
        <w:spacing w:line="240" w:lineRule="auto" w:before="0" w:after="0"/>
        <w:ind w:firstLine="850"/>
        <w:jc w:val="both"/>
      </w:pPr>
    </w:p>
    <w:p>
      <w:pPr>
        <w:spacing w:line="240" w:lineRule="auto" w:before="0" w:after="0"/>
        <w:ind w:firstLine="850"/>
        <w:jc w:val="both"/>
      </w:pPr>
      <w:r>
        <w:rPr>
          <w:rFonts w:ascii="Times New Roman" w:hAnsi="Times New Roman"/>
          <w:sz w:val="28"/>
        </w:rPr>
        <w:t>В ходе работы была изучена методика определения актуальных угроз информационной безопасности информационной системы. В качестве объекта защиты была выбрана информационная система интернет-магазина, размещённая у поставщика облачных услуг.</w:t>
      </w:r>
    </w:p>
    <w:p>
      <w:pPr>
        <w:spacing w:line="240" w:lineRule="auto" w:before="0" w:after="0"/>
        <w:ind w:firstLine="850"/>
        <w:jc w:val="both"/>
      </w:pPr>
      <w:r>
        <w:rPr>
          <w:rFonts w:ascii="Times New Roman" w:hAnsi="Times New Roman"/>
          <w:sz w:val="28"/>
        </w:rPr>
        <w:t>Были даны определения базовым понятиям предметной области, по Банку данных угроз ФСТЭК России отобраны и описаны двадцать шесть угроз, применимых к составу объекта, и по методическому документу ФСТЭК России от 5 февраля 2021 года сформирована модель нарушителя из девяти видов. Наибольший уровень возможностей среди актуальных нарушителей составил Н3, что задаёт требования к мерам защиты.</w:t>
      </w:r>
    </w:p>
    <w:p>
      <w:pPr>
        <w:spacing w:line="240" w:lineRule="auto" w:before="0" w:after="0"/>
        <w:ind w:firstLine="850"/>
        <w:jc w:val="both"/>
      </w:pPr>
      <w:r>
        <w:rPr>
          <w:rFonts w:ascii="Times New Roman" w:hAnsi="Times New Roman"/>
          <w:sz w:val="28"/>
        </w:rPr>
        <w:t>Отдельно были рассмотрены основные положения Федерального закона № 152-ФЗ. Поскольку выбранная система обрабатывает персональные данные покупателей, она является информационной системой персональных данных, и перечисленные в законе обязанности оператора распространяются на неё в полном объёме.</w:t>
      </w:r>
    </w:p>
    <w:p>
      <w:pPr>
        <w:spacing w:line="240" w:lineRule="auto" w:before="0" w:after="0"/>
        <w:ind w:firstLine="850"/>
        <w:jc w:val="both"/>
      </w:pPr>
      <w:r>
        <w:rPr>
          <w:rFonts w:ascii="Times New Roman" w:hAnsi="Times New Roman"/>
          <w:sz w:val="28"/>
        </w:rPr>
        <w:t>Было установлено, что защита персональных данных обеспечивается не только техническими мерами: закон требует определить цели обработки, назначить ответственного, уведомить уполномоченный орган и ограничить состав данных заявленными целями. Технические меры из статьи 19 дополняют эти организационные требования, но не заменяют их.</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850"/>
      <w:jc w:val="both"/>
    </w:pPr>
    <w:rPr>
      <w:rFonts w:ascii="Times New Roman" w:hAnsi="Times New Roman" w:eastAsia="Times New Roman"/>
      <w:b w:val="0"/>
      <w:i w:val="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