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>
      <w:pPr>
        <w:pStyle w:val="Nzev"/>
        <w:jc w:val="center"/>
      </w:pPr>
      <w:r>
        <w:rPr/>
        <w:t xml:space="preserve">PŘÍLOHA LOKALITY č. 1</w:t>
      </w:r>
    </w:p>
    <w:p>
      <w:pPr>
        <w:jc w:val="center"/>
      </w:pPr>
      <w:r>
        <w:rPr>
          <w:color w:val="0B3D2E"/>
          <w:sz w:val="26"/>
        </w:rPr>
        <w:t xml:space="preserve">10500 – Mastířovice – Hošťka</w:t>
      </w:r>
    </w:p>
    <w:p>
      <w:pPr>
        <w:jc w:val="center"/>
      </w:pPr>
      <w:r>
        <w:rPr>
          <w:color w:val="555F5A"/>
          <w:sz w:val="18"/>
        </w:rPr>
        <w:t xml:space="preserve">k Rámcové smlouvě o zajištění provozu a údržby energetických zařízení (O&amp;M) č. RES-OM-2026-001</w:t>
      </w:r>
    </w:p>
    <w:p>
      <w:pPr>
        <w:jc w:val="center"/>
      </w:pPr>
      <w:r>
        <w:rPr>
          <w:color w:val="555F5A"/>
          <w:sz w:val="18"/>
        </w:rPr>
        <w:t xml:space="preserve">mezi </w:t>
      </w:r>
      <w:r>
        <w:rPr>
          <w:b/>
          <w:color w:val="555F5A"/>
          <w:sz w:val="18"/>
        </w:rPr>
        <w:t xml:space="preserve">[NÁZEV SPV – vlastník lokality Mastířovice]</w:t>
      </w:r>
      <w:r>
        <w:rPr>
          <w:color w:val="555F5A"/>
          <w:sz w:val="18"/>
        </w:rPr>
        <w:t xml:space="preserve"> (Objednatel) a </w:t>
      </w:r>
      <w:r>
        <w:rPr>
          <w:b/>
          <w:color w:val="555F5A"/>
          <w:sz w:val="18"/>
        </w:rPr>
        <w:t xml:space="preserve">Revoltum Engineering &amp; Services, s.r.o.</w:t>
      </w:r>
      <w:r>
        <w:rPr>
          <w:color w:val="555F5A"/>
          <w:sz w:val="18"/>
        </w:rPr>
        <w:t xml:space="preserve"> (Zhotovitel)</w:t>
      </w:r>
    </w:p>
    <w:p>
      <w:pPr>
        <w:jc w:val="center"/>
      </w:pPr>
      <w:r>
        <w:rPr>
          <w:color w:val="555F5A"/>
          <w:sz w:val="18"/>
        </w:rPr>
        <w:t xml:space="preserve">Verze přílohy: 1.0 · Datum zahájení Služeb: </w:t>
      </w:r>
      <w:r>
        <w:rPr>
          <w:b/>
          <w:color w:val="555F5A"/>
          <w:sz w:val="18"/>
        </w:rPr>
        <w:t xml:space="preserve">[DATUM ZAHÁJENÍ]</w:t>
      </w:r>
    </w:p>
    <w:p>
      <w:pPr>
        <w:pStyle w:val="Nadpis1"/>
        <w:keepNext/>
      </w:pPr>
      <w:r>
        <w:rPr/>
        <w:t>A. Identifikace Lokality</w:t>
      </w:r>
    </w:p>
    <w:tbl>
      <w:tblPr>
        <w:tblStyle w:val="Tabulkasmkou2zvraznn2"/>
        <w:tblW w:type="auto" w:w="0"/>
        <w:jc w:val="center"/>
        <w:tblLook w:firstColumn="0" w:firstRow="0" w:lastColumn="0" w:lastRow="0" w:noHBand="0" w:noVBand="1" w:val="0420"/>
      </w:tblPr>
      <w:tblGrid>
        <w:gridCol w:w="3118"/>
        <w:gridCol w:w="5953"/>
      </w:tblGrid>
      <w:tr>
        <w:trPr>
          <w:cantSplit w:val="true"/>
        </w:trPr>
        <w:tc>
          <w:tcPr>
            <w:tcW w:type="dxa" w:w="3118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Kód a název lokality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10500 – Mastířovice – Hošťka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Adresa / obec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obec Vrbice, okres Litoměřice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Katastrální území, LV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k. ú. Mastířovice, LV č. 445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Pozemky (p. č.)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[dle LV – doplnit, viz SoD z roku 2009]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GPS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[GPS]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Připojení k DS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[VN 22 kV, PDS ČEZ Distribuce, EAN …]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Přístup a klíče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[klíče / kódy – předávací protokol]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Agregátor / obchodník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[NÁZEV AGREGÁTORA]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Financující banka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[NÁZEV BANKY]</w:t>
            </w:r>
          </w:p>
        </w:tc>
      </w:tr>
    </w:tbl>
    <w:p>
      <w:pPr>
        <w:spacing w:after="40"/>
      </w:pPr>
    </w:p>
    <w:p>
      <w:pPr>
        <w:pStyle w:val="Nadpis1"/>
        <w:keepNext/>
      </w:pPr>
      <w:r>
        <w:rPr/>
        <w:t>B. Specifikace Assetů</w:t>
      </w:r>
    </w:p>
    <w:tbl>
      <w:tblPr>
        <w:tblStyle w:val="Tabulkasmkou2zvraznn2"/>
        <w:tblW w:type="auto" w:w="0"/>
        <w:jc w:val="center"/>
        <w:tblLook w:firstColumn="0" w:firstRow="1" w:lastColumn="0" w:lastRow="0" w:noHBand="0" w:noVBand="1" w:val="04A0"/>
      </w:tblPr>
      <w:tblGrid>
        <w:gridCol w:w="907"/>
        <w:gridCol w:w="2041"/>
        <w:gridCol w:w="1701"/>
        <w:gridCol w:w="2608"/>
        <w:gridCol w:w="1928"/>
      </w:tblGrid>
      <w:tr>
        <w:trPr>
          <w:cantSplit w:val="true"/>
          <w:tblHeader w:val="true"/>
        </w:trPr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Kód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Asset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Výkon / kapacita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Hlavní technologie (OEM)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Záruky / LTSA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 xml:space="preserve">10501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FVE – Mastířovice I.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4 950 kWp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17 602 ks FV modulů, 444 ks stringových střídačů [výrobce]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[záruky modulů / střídačů]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 xml:space="preserve">10502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BESS – Mastířovice II.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25 644 kWh / [kW]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[VÝROBCE BESS], kapalinové chlazení, [PCS]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[záruka / LTSA – do]</w:t>
            </w:r>
          </w:p>
        </w:tc>
      </w:tr>
    </w:tbl>
    <w:p>
      <w:pPr>
        <w:spacing w:after="40"/>
      </w:pPr>
    </w:p>
    <w:p>
      <w:pPr>
        <w:keepNext/>
      </w:pPr>
      <w:r>
        <w:rPr>
          <w:b/>
        </w:rPr>
        <w:t>Konfigurace lokality</w:t>
      </w:r>
      <w:r>
        <w:rPr/>
        <w:t xml:space="preserve"> (příznaky, podle kterých je sestaven plán údržby):</w:t>
      </w:r>
    </w:p>
    <w:p>
      <w:r>
        <w:rPr>
          <w:color w:val="555F5A"/>
          <w:sz w:val="18"/>
        </w:rPr>
        <w:t xml:space="preserve">Lokalita připojena na hladině VN (22/35 kV) – vlastní VN rozvodna / předávací místo; Vlastní olejový transformátor (VN/NN); Dálkové řízení výkonu ze strany PDS / dispečinku (RTU, HDO, ŘVO); UPS / záložní napájení vlastní spotřeby, řídicích a ochranných obvodů; Oplocený areál s bránou; Elektrická zabezpečovací signalizace (PZTS) – infrazávory, čidla, ústředna; Kamerový systém (CCTV) s NVR / cloudovým záznamem; Přenosné hasicí přístroje v areálu; Venkovní / bezpečnostní / nouzové osvětlení; Travní porost v areálu (údržba vegetace); Meteostanice (pyranometr, teplota modulů, vítr); Projekt financovaný bankou (reporting a součinnost s technickým dozorem banky); FVE – pozemní instalace; FVE – stringové střídače; BESS – kapalinové chlazení (chiller, čerpadla, chladivo/glykol); BESS – integrovaný hasicí systém (aerosol / plyn / voda); BESS – detekce plynů (H2, CO, VOC) a odvětrání / deflagrace; BESS – řízení agregátorem / obchodníkem (SVR, obchodní flexibilita); Zařízení s náplní F-plynů nad zákonný práh (chiller, HVAC, tepelná čerpadla)</w:t>
      </w:r>
    </w:p>
    <w:p>
      <w:pPr>
        <w:pStyle w:val="Nadpis1"/>
        <w:keepNext/>
      </w:pPr>
      <w:r>
        <w:rPr/>
        <w:t>C. Aktivní moduly služeb</w:t>
      </w:r>
    </w:p>
    <w:tbl>
      <w:tblPr>
        <w:tblStyle w:val="Tabulkasmkou2zvraznn2"/>
        <w:tblW w:type="auto" w:w="0"/>
        <w:jc w:val="center"/>
        <w:tblLook w:firstColumn="0" w:firstRow="1" w:lastColumn="0" w:lastRow="0" w:noHBand="0" w:noVBand="1" w:val="04A0"/>
      </w:tblPr>
      <w:tblGrid>
        <w:gridCol w:w="2381"/>
        <w:gridCol w:w="6803"/>
      </w:tblGrid>
      <w:tr>
        <w:trPr>
          <w:cantSplit w:val="true"/>
          <w:tblHeader w:val="true"/>
        </w:trPr>
        <w:tc>
          <w:tcPr>
            <w:tcW w:type="dxa" w:w="2381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Modul</w:t>
            </w:r>
          </w:p>
        </w:tc>
        <w:tc>
          <w:tcPr>
            <w:tcW w:type="dxa" w:w="6803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Obsah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 xml:space="preserve">Základní servis</w:t>
            </w:r>
          </w:p>
        </w:tc>
        <w:tc>
          <w:tcPr>
            <w:tcW w:type="dxa" w:w="6803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Dálkový monitoring 24/7, dispečink poruch, preventivní údržba dle plánu, zákonné revize a kontroly, reporting. Vždy aktivní.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 xml:space="preserve">Korektivní údržba</w:t>
            </w:r>
          </w:p>
        </w:tc>
        <w:tc>
          <w:tcPr>
            <w:tcW w:type="dxa" w:w="6803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Odstraňování poruch v režimu SLA (práce techniků v ceně paušálu do limitu hodin; náhradní díly dle modulu ND).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 xml:space="preserve">Náhradní díly a sklad strategických dílů</w:t>
            </w:r>
          </w:p>
        </w:tc>
        <w:tc>
          <w:tcPr>
            <w:tcW w:type="dxa" w:w="6803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Správa skladu strategických náhradních dílů, dodávky dílů mimo záruku do ročního limitu.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 xml:space="preserve">Technický management</w:t>
            </w:r>
          </w:p>
        </w:tc>
        <w:tc>
          <w:tcPr>
            <w:tcW w:type="dxa" w:w="6803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Správa záruk a LTSA, koordinace OEM, komunikace s PDS/OTE/ERÚ, pojistné události, součinnost s bankou a technickým dozorem, správa dokumentace.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 xml:space="preserve">Údržba areálu</w:t>
            </w:r>
          </w:p>
        </w:tc>
        <w:tc>
          <w:tcPr>
            <w:tcW w:type="dxa" w:w="6803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Údržba vegetace, oplocení, komunikací, zimní údržba.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 xml:space="preserve">Bezpečnostní systémy</w:t>
            </w:r>
          </w:p>
        </w:tc>
        <w:tc>
          <w:tcPr>
            <w:tcW w:type="dxa" w:w="6803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Servis EZS, CCTV, osvětlení, výjezd na poplach (ve spolupráci s PCO).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 xml:space="preserve">Kybernetická bezpečnost OT</w:t>
            </w:r>
          </w:p>
        </w:tc>
        <w:tc>
          <w:tcPr>
            <w:tcW w:type="dxa" w:w="6803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Správa vzdálených přístupů, záloh, aktualizací a bezpečnostních událostí OT sítě dle zákona č. 264/2025 Sb.</w:t>
            </w:r>
          </w:p>
        </w:tc>
      </w:tr>
    </w:tbl>
    <w:p>
      <w:pPr>
        <w:spacing w:after="40"/>
      </w:pPr>
    </w:p>
    <w:p>
      <w:pPr>
        <w:pStyle w:val="Nadpis1"/>
        <w:keepNext/>
      </w:pPr>
      <w:r>
        <w:rPr/>
        <w:t>D. Plán preventivní údržby a rozsah činností</w:t>
      </w:r>
    </w:p>
    <w:p>
      <w:r>
        <w:rPr>
          <w:color w:val="555F5A"/>
          <w:sz w:val="17"/>
        </w:rPr>
        <w:t xml:space="preserve">Režim: </w:t>
      </w:r>
      <w:r>
        <w:rPr>
          <w:b/>
          <w:color w:val="555F5A"/>
          <w:sz w:val="17"/>
        </w:rPr>
        <w:t>P</w:t>
      </w:r>
      <w:r>
        <w:rPr>
          <w:color w:val="555F5A"/>
          <w:sz w:val="17"/>
        </w:rPr>
        <w:t xml:space="preserve"> = zahrnuto v Paušálu, </w:t>
      </w:r>
      <w:r>
        <w:rPr>
          <w:b/>
          <w:color w:val="555F5A"/>
          <w:sz w:val="17"/>
        </w:rPr>
        <w:t>M</w:t>
      </w:r>
      <w:r>
        <w:rPr>
          <w:color w:val="555F5A"/>
          <w:sz w:val="17"/>
        </w:rPr>
        <w:t xml:space="preserve"> = zahrnuto v ceně modulu, </w:t>
      </w:r>
      <w:r>
        <w:rPr>
          <w:b/>
          <w:color w:val="555F5A"/>
          <w:sz w:val="17"/>
        </w:rPr>
        <w:t>E</w:t>
      </w:r>
      <w:r>
        <w:rPr>
          <w:color w:val="555F5A"/>
          <w:sz w:val="17"/>
        </w:rPr>
        <w:t xml:space="preserve"> = účtuje se zvlášť podle Přílohy 3. Rozsah OEM: </w:t>
      </w:r>
      <w:r>
        <w:rPr>
          <w:b/>
          <w:color w:val="555F5A"/>
          <w:sz w:val="17"/>
        </w:rPr>
        <w:t>RES</w:t>
      </w:r>
      <w:r>
        <w:rPr>
          <w:color w:val="555F5A"/>
          <w:sz w:val="17"/>
        </w:rPr>
        <w:t xml:space="preserve"> = Zhotovitel, </w:t>
      </w:r>
      <w:r>
        <w:rPr>
          <w:b/>
          <w:color w:val="555F5A"/>
          <w:sz w:val="17"/>
        </w:rPr>
        <w:t>RES/OEM</w:t>
      </w:r>
      <w:r>
        <w:rPr>
          <w:color w:val="555F5A"/>
          <w:sz w:val="17"/>
        </w:rPr>
        <w:t xml:space="preserve"> = Zhotovitel jako autorizovaný partner podle postupů OEM, </w:t>
      </w:r>
      <w:r>
        <w:rPr>
          <w:b/>
          <w:color w:val="555F5A"/>
          <w:sz w:val="17"/>
        </w:rPr>
        <w:t xml:space="preserve">OEM</w:t>
      </w:r>
      <w:r>
        <w:rPr>
          <w:color w:val="555F5A"/>
          <w:sz w:val="17"/>
        </w:rPr>
        <w:t xml:space="preserve"> = výrobce (Zhotovitel koordinuje). Podrobné kontrolní body jednotlivých činností jsou vedeny v CMMS Zhotovitele podle katalogu činností verze 0.1.</w:t>
      </w:r>
    </w:p>
    <w:p>
      <w:pPr>
        <w:pStyle w:val="Nadpis2"/>
        <w:keepNext/>
      </w:pPr>
      <w:r>
        <w:rPr/>
        <w:t xml:space="preserve">Lokalita – management, monitoring, bezpečnost a areál</w:t>
      </w:r>
    </w:p>
    <w:tbl>
      <w:tblPr>
        <w:tblStyle w:val="Tabulkasmkou2zvraznn2"/>
        <w:tblW w:type="auto" w:w="0"/>
        <w:jc w:val="center"/>
        <w:tblLook w:firstColumn="0" w:firstRow="1" w:lastColumn="0" w:lastRow="0" w:noHBand="0" w:noVBand="1" w:val="04A0"/>
      </w:tblPr>
      <w:tblGrid>
        <w:gridCol w:w="992"/>
        <w:gridCol w:w="2835"/>
        <w:gridCol w:w="1077"/>
        <w:gridCol w:w="1247"/>
        <w:gridCol w:w="1871"/>
        <w:gridCol w:w="567"/>
        <w:gridCol w:w="822"/>
      </w:tblGrid>
      <w:tr>
        <w:trPr>
          <w:cantSplit w:val="true"/>
          <w:tblHeader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Činnost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Perioda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Provádí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Výstup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P/M/E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OEM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LOK-001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Vstupní audit lokality a převzetí do servisu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Jednorázově při převzetí do servisu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ADMIN, EL7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Protokol vstupního auditu, seznam vad, fotodokumentace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E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LOK-002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Roční plán údržby a harmonogram výjezdů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Ročně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ADMIN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Roční plán údržby odsouhlasený objednatelem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LOK-003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Měsíční provozní report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Měsíčně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ADMIN, DISP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Měsíční report (výroba/propustnost, dostupnost, PR, poruchy, SLA, plán)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LOK-004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Roční technická zpráva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Ročně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ADMIN, EL7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Roční zpráva o stavu zařízení a doporučení investic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LOK-005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Provozní deník, MPP a dokumentace zařízení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Dle potřeby / při události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ADMIN, EL7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Aktualizovaný provozní deník, MPP, pasport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LOK-006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Koordinace BOZP při souběhu více zhotovitelů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Dle potřeby / při události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ADMIN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Záznam o předání pracoviště, příkaz B / pracovní příkaz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LOK-007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Kontrola a zkoušky ochranných a pracovních pomůcek (VN)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Pololetně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EL6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Evidence zkoušek pomůcek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LOK-008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Školení a přezkoušení obsluhy objednatele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Ročně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EL7, TECH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Prezenční listina, záznam o školení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LOK-009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Správa záruk, reklamace a koordinace OEM / LTSA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Dle potřeby / při události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ADMIN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Registr záruk a reklamací, záznamy komunikace s OEM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M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LOK-010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Součinnost s PDS, OTE a ERÚ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Dle potřeby / při události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ADMIN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Záznamy komunikace, hlášení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M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LOK-011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Součinnost s bankou a technickým dozorem banky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Dle potřeby / při události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ADMIN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Podklady a reporty pro banku / inspekční společnost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M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LOK-012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Pojistné události – dokumentace a součinnost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Dle potřeby / při události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ADMIN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Hlášení škody, fotodokumentace, odhad nákladů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M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LOK-013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Správa skladu strategických náhradních dílů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Pololetně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ADMIN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Inventura a návrh doplnění skladu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M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MON-001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Dálkový monitoring 24/7 a příjem alarmů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Kontinuálně 24/7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DISP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Záznam alarmu, založený servisní požadavek (ticket)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MON-002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Denní kontrola výroby / provozu a datové kompletnosti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Denně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DISP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Denní log anomálií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MON-003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Kontrola komunikace, dataloggerů a datových připojení (SIM, router)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Čtvrtletně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TECH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Záznam v servisním listu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MON-004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Kontrola fakturačního a podružného měření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Měsíčně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DISP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Porovnání měření v reportu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MON-005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Čištění a kontrola čidel meteostanice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Měsíčně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TECH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Záznam v servisním listu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MON-006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Kalibrace pyranometrů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Jednou za 2 roky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TECH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Kalibrační list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E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IT-001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Revize vzdálených přístupů a účtů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Čtvrtletně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IT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Seznam přístupů, záznam revize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M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IT-002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Ověření, že aktivní prvky nejsou přístupné z veřejné sítě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Pololetně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IT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Protokol o kontrole síťové segmentace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M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IT-003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Zálohy konfigurací (SCADA, EMS, PPC, ochrany, routery)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Čtvrtletně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IT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Záloha uložená mimo lokalitu, test obnovy 1× ročně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M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IT-004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Správa aktualizací firmware a bezpečnostních záplat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Pololetně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IT, OEM_INV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Registr verzí firmware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M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RES/OEM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IT-005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Hlášení a řešení kybernetických bezpečnostních událostí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Dle potřeby / při události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IT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Záznam incidentu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M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BEZ-001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Kontrola EZS – infrazávory, čidla, ústředna, přenos na PCO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Čtvrtletně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EZS_TECH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Protokol funkční zkoušky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M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BEZ-002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Kontrola CCTV – kamery, záznam, noční režim, vzdálený přístup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Čtvrtletně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EZS_TECH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Servisní list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M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BEZ-003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Kontrola venkovního, bezpečnostního a nouzového osvětlení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Pololetně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EL6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Servisní list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M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BEZ-004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Kontrola hasicích přístrojů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Ročně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PO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Doklad o kontrole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BEZ-006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Výjezd na poplach EZS / narušení areálu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Dle potřeby / při události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TECH, EZS_TECH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Záznam o zásahu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E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ARE-001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Kontrola oplocení, bran, zámků a značení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Čtvrtletně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AREAL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Servisní list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M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ARE-002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Údržba vegetace (sekání, odstranění náletů, okolí kontejnerů BESS)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Sezónně (dle počasí / vegetace)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AREAL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Záznam o provedení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M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</w:t>
            </w:r>
          </w:p>
        </w:tc>
      </w:tr>
    </w:tbl>
    <w:p>
      <w:pPr>
        <w:spacing w:after="40"/>
      </w:pPr>
    </w:p>
    <w:p>
      <w:pPr>
        <w:pStyle w:val="Nadpis2"/>
        <w:keepNext/>
      </w:pPr>
      <w:r>
        <w:rPr/>
        <w:t xml:space="preserve">Vyvedení výkonu – VN/NN, transformace, ochrany</w:t>
      </w:r>
    </w:p>
    <w:tbl>
      <w:tblPr>
        <w:tblStyle w:val="Tabulkasmkou2zvraznn2"/>
        <w:tblW w:type="auto" w:w="0"/>
        <w:jc w:val="center"/>
        <w:tblLook w:firstColumn="0" w:firstRow="1" w:lastColumn="0" w:lastRow="0" w:noHBand="0" w:noVBand="1" w:val="04A0"/>
      </w:tblPr>
      <w:tblGrid>
        <w:gridCol w:w="992"/>
        <w:gridCol w:w="2835"/>
        <w:gridCol w:w="1077"/>
        <w:gridCol w:w="1247"/>
        <w:gridCol w:w="1871"/>
        <w:gridCol w:w="567"/>
        <w:gridCol w:w="822"/>
      </w:tblGrid>
      <w:tr>
        <w:trPr>
          <w:cantSplit w:val="true"/>
          <w:tblHeader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Činnost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Perioda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Provádí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Výstup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P/M/E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OEM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BOP-001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Vizuální kontrola VN rozvodny / předávací stanice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Čtvrtletně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EL6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Servisní list, fotodokumentace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BOP-002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Údržba VN rozvaděčů – mechanická funkce spínacích prvků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Ročně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EL7, EL6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Protokol údržby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BOP-003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Pravidelná revize VN zařízení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Jednou za 2 roky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RT_E1B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Revizní zpráva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BOP-004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Zkouška ochran VN (sekundární injekce) a vypínacích obvodů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Jednou za 4 roky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OCHRANAR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Protokol zkoušky ochran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E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BOP-005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Funkční zkouška dálkového řízení PDS (RTU / ŘVO)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Ročně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OCHRANAR, EL6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Protokol zkoušky s dispečinkem PDS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BOP-006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Vizuální kontrola transformátoru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Čtvrtletně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EL6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Servisní list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BOP-007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Rozbor transformátorového oleje (DGA, průrazné napětí, vlhkost)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Jednou za 3 roky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EL7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Protokol laboratoře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E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BOP-009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Vizuální kontrola NN rozvaděčů vlastní spotřeby a hlavních NN rozvaděčů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Čtvrtletně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EL6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Servisní list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BOP-010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Termovizní kontrola VN/NN rozvaděčů a spojů pod zatížením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Ročně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TERMO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Termografická zpráva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BOP-011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Pravidelná revize NN zařízení (AC, vlastní spotřeba)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Jednou za 2 roky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RT_E2B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Revizní zpráva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BOP-013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Kontrola UPS a zkouška autonomie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Ročně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EL6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Protokol zkoušky autonomie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BOP-015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Kontrola kabelových tras, šachet a kabelových koncovek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Ročně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EL6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Servisní list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</w:t>
            </w:r>
          </w:p>
        </w:tc>
      </w:tr>
    </w:tbl>
    <w:p>
      <w:pPr>
        <w:spacing w:after="40"/>
      </w:pPr>
    </w:p>
    <w:p>
      <w:pPr>
        <w:pStyle w:val="Nadpis2"/>
        <w:keepNext/>
      </w:pPr>
      <w:r>
        <w:rPr/>
        <w:t xml:space="preserve">Fotovoltaická elektrárna (10501)</w:t>
      </w:r>
    </w:p>
    <w:tbl>
      <w:tblPr>
        <w:tblStyle w:val="Tabulkasmkou2zvraznn2"/>
        <w:tblW w:type="auto" w:w="0"/>
        <w:jc w:val="center"/>
        <w:tblLook w:firstColumn="0" w:firstRow="1" w:lastColumn="0" w:lastRow="0" w:noHBand="0" w:noVBand="1" w:val="04A0"/>
      </w:tblPr>
      <w:tblGrid>
        <w:gridCol w:w="992"/>
        <w:gridCol w:w="2835"/>
        <w:gridCol w:w="1077"/>
        <w:gridCol w:w="1247"/>
        <w:gridCol w:w="1871"/>
        <w:gridCol w:w="567"/>
        <w:gridCol w:w="822"/>
      </w:tblGrid>
      <w:tr>
        <w:trPr>
          <w:cantSplit w:val="true"/>
          <w:tblHeader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Činnost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Perioda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Provádí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Výstup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P/M/E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OEM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FVE-001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Vizuální kontrola FV modulů a kabeláže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Pololetně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TECH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Servisní list, fotodokumentace vad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FVE-002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Kontrola nosné konstrukce, ukotvení a uzemnění konstrukce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Ročně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TECH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Servisní list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FVE-005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Termografická kontrola FV pole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Ročně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TERMO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Termografická zpráva dle IEC TS 62446-3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FVE-006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Měření I-V charakteristik stringů (výběrově)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Ročně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EL6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Protokol měření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E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FVE-008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Kontrola stringových střídačů – stav, chybové logy, chlazení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Pololetně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EL6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Servisní list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RES/OEM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FVE-011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Pravidelná revize FVE – DC a AC strana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Jednou za 2 roky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RT_E2B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Revizní zpráva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FVE-013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Vyhodnocení PR a degradace, reklamace výkonu modulů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Ročně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ADMIN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Kapitola v roční technické zprávě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</w:t>
            </w:r>
          </w:p>
        </w:tc>
      </w:tr>
    </w:tbl>
    <w:p>
      <w:pPr>
        <w:spacing w:after="40"/>
      </w:pPr>
    </w:p>
    <w:p>
      <w:pPr>
        <w:pStyle w:val="Nadpis2"/>
        <w:keepNext/>
      </w:pPr>
      <w:r>
        <w:rPr/>
        <w:t xml:space="preserve">Bateriové úložiště energie (10502)</w:t>
      </w:r>
    </w:p>
    <w:tbl>
      <w:tblPr>
        <w:tblStyle w:val="Tabulkasmkou2zvraznn2"/>
        <w:tblW w:type="auto" w:w="0"/>
        <w:jc w:val="center"/>
        <w:tblLook w:firstColumn="0" w:firstRow="1" w:lastColumn="0" w:lastRow="0" w:noHBand="0" w:noVBand="1" w:val="04A0"/>
      </w:tblPr>
      <w:tblGrid>
        <w:gridCol w:w="992"/>
        <w:gridCol w:w="2835"/>
        <w:gridCol w:w="1077"/>
        <w:gridCol w:w="1247"/>
        <w:gridCol w:w="1871"/>
        <w:gridCol w:w="567"/>
        <w:gridCol w:w="822"/>
      </w:tblGrid>
      <w:tr>
        <w:trPr>
          <w:cantSplit w:val="true"/>
          <w:tblHeader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Činnost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Perioda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Provádí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Výstup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P/M/E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OEM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BESS-001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Vyhodnocení SoC/SoH, napětí a teplot článků (odchylky, balancování)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Měsíčně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DISP, OEM_BESS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Kapitola BESS v měsíčním reportu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RES/OEM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BESS-002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Kontrola plnění záručních podmínek OEM (cykly, C-rate, teploty, SoC okno)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Měsíčně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ADMIN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Záznam v měsíčním reportu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RES/OEM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BESS-003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Vizuální kontrola kontejnerů BESS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Měsíčně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TECH, OEM_BESS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Servisní list, fotodokumentace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RES/OEM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BESS-004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Kontrola bateriových racků a modulů – spoje, kabeláž, BMS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Ročně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OEM_BESS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Protokol údržby dle OEM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RES/OEM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BESS-005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Kalibrace SoC (řízené plné nabití / vybití)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Čtvrtletně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OEM_BESS, DISP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Záznam v CMMS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RES/OEM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BESS-006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Kapacitní test (SoH) a test účinnosti RTE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Ročně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OEM_BESS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Protokol kapacitního testu, výpočet RTE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RES/OEM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BESS-007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Termovizní kontrola racků, DC rozvaděčů a spojů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Ročně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TERMO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Termografická zpráva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BESS-008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Údržba PCS / bateriových střídačů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Pololetně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OEM_INV, EL6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Protokol údržby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RES/OEM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BESS-009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Měření kvality elektřiny a harmonických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Ročně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EL6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Protokol měření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E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BESS-010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Kontrola kapalinového chlazení – hladina, tlak, úniky, čerpadla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Měsíčně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TECH, OEM_BESS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Servisní list s naměřenými hodnotami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RES/OEM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BESS-011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Čištění kondenzátoru / výměníku chilleru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Pololetně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TECH, OEM_BESS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Servisní list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RES/OEM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BESS-012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Rozbor a výměna chladicí kapaliny (glykol)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Ročně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OEM_BESS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Protokol rozboru (pH, koncentrace, vodivost)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RES/OEM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BESS-014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Kontrola těsnosti okruhů s F-plyny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Ročně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FPLYN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Záznam o kontrole těsnosti, evidence F-plynů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BESS-015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Kontrola detekce plynů a kouře, odvětrání a deflagračních prvků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Pololetně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EPS_TECH, OEM_BESS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Protokol funkční zkoušky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RES/OEM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BESS-016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Kalibrace detektorů plynů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Ročně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EPS_TECH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Kalibrační protokol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BESS-017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Kontrola provozuschopnosti hasicího systému BESS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Ročně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EPS_TECH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Doklad o kontrole provozuschopnosti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BESS-018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Zkouška nouzového vypnutí (E-STOP) a vazeb na ochrany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Ročně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OEM_BESS, EL6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Protokol zkoušky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RES/OEM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BESS-019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Kontrola EMS / PPC – nastavení, limity, komunikace s agregátorem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Čtvrtletně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IT, OEM_BESS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Záznam v CMMS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RES/OEM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BESS-020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Aktualizace firmware BMS / PCS / EMS dle OEM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Ročně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OEM_BESS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Registr verzí firmware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RES/OEM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BESS-021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Pravidelná revize BESS – DC a AC strana, uzemnění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Jednou za 2 roky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RT_E2B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Revizní zpráva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BESS-022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Kontrola pomocného napájení a UPS řídicích systémů BESS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Ročně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EL6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Protokol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BESS-023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Kontrola kontejneru – nátěry, těsnění, střecha, kotvení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Ročně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TECH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Servisní list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RES/OEM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BESS-024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Roční preventivní údržba dle O&amp;M manuálu OEM (komplexní)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Ročně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OEM_BESS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Protokol OEM / RES jako autorizovaného partnera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RES/OEM</w:t>
            </w:r>
          </w:p>
        </w:tc>
      </w:tr>
    </w:tbl>
    <w:p>
      <w:pPr>
        <w:spacing w:after="40"/>
      </w:pPr>
    </w:p>
    <w:p>
      <w:r>
        <w:rPr>
          <w:color w:val="555F5A"/>
          <w:sz w:val="15"/>
        </w:rPr>
        <w:t xml:space="preserve">Kvalifikace: ADMIN = Asset / technický manažer RES; AREAL = Pracovník údržby areálu (mimo el. zařízení, s poučením o rizicích); DISP = Dispečer monitoringu RES; EL6 = Elektrotechnik dle § 6 NV č. 194/2022 Sb.; EL7 = Vedoucí elektrotechnik dle § 7 NV č. 194/2022 Sb.; EPS_TECH = Technik EPS / SHZ s oprávněním výrobce systému; EZS_TECH = Technik zabezpečovacích a kamerových systémů; FPLYN = Osoba s certifikátem pro práci s F-plyny (nař. (EU) 2024/573); IT = Specialista IT/OT a kybernetické bezpečnosti; OCHRANAR = Specialista ochran a řídicích systémů VN (sekundární technika); OEM_BESS = Technik autorizovaný výrobcem BESS (certifikát OEM); OEM_INV = Technik autorizovaný výrobcem střídačů / PCS; PO = Odborně způsobilá osoba / technik PO (zák. 133/1985 Sb., vyhl. 246/2001 Sb.); RT_E1B = Revizní technik E1B – el. zařízení bez omezení napětí (§ 8 NV 194/2022 Sb., příl. 3 NV 190/2022 Sb.); RT_E2B = Revizní technik E2B – el. zařízení do 1 kV AC / 1,5 kV DC; TECH = Servisní technik RES / servisního partnera (osoba poučená dle § 4 NV 194/2022 Sb.); TERMO = Termograf s certifikací min. úrovně 1 (ČSN EN ISO 9712 / ISO 18436-7)</w:t>
      </w:r>
    </w:p>
    <w:p>
      <w:pPr>
        <w:pStyle w:val="Nadpis1"/>
        <w:keepNext/>
      </w:pPr>
      <w:r>
        <w:rPr/>
        <w:t>E. Reakční doby (SLA)</w:t>
      </w:r>
    </w:p>
    <w:p>
      <w:r>
        <w:rPr>
          <w:sz w:val="18"/>
        </w:rPr>
        <w:t xml:space="preserve">Profil SLA: </w:t>
      </w:r>
      <w:r>
        <w:rPr>
          <w:b/>
          <w:sz w:val="18"/>
        </w:rPr>
        <w:t xml:space="preserve">Standard (výchozí, splňuje požadavky banky)</w:t>
      </w:r>
      <w:r>
        <w:rPr>
          <w:sz w:val="18"/>
        </w:rPr>
        <w:t>. Definice Priorit a pravidla měření lhůt jsou uvedeny v Příloze 6 Smlouvy.</w:t>
      </w:r>
    </w:p>
    <w:tbl>
      <w:tblPr>
        <w:tblStyle w:val="Tabulkasmkou2zvraznn2"/>
        <w:tblW w:type="auto" w:w="0"/>
        <w:jc w:val="center"/>
        <w:tblLook w:firstColumn="0" w:firstRow="1" w:lastColumn="0" w:lastRow="0" w:noHBand="0" w:noVBand="1" w:val="04A0"/>
      </w:tblPr>
      <w:tblGrid>
        <w:gridCol w:w="1928"/>
        <w:gridCol w:w="1701"/>
        <w:gridCol w:w="2041"/>
        <w:gridCol w:w="1701"/>
        <w:gridCol w:w="1814"/>
      </w:tblGrid>
      <w:tr>
        <w:trPr>
          <w:cantSplit w:val="true"/>
          <w:tblHeader w:val="true"/>
        </w:trPr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Priorita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Reakce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Příjezd na místo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Dočasné opatření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Odstranění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 xml:space="preserve">P1 – Kritická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1 h (24/7)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8 h (24/7)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24 h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72 h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 xml:space="preserve">P2 – Vysoká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2 h (24/7)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24 h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48 h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5 pracovních dnů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 xml:space="preserve">P3 – Střední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4 h v pracovní době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3 pracovní dny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10 pracovních dnů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 xml:space="preserve">P4 – Nízká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1 pracovní den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při nejbližší plánované návštěvě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30 dnů</w:t>
            </w:r>
          </w:p>
        </w:tc>
      </w:tr>
    </w:tbl>
    <w:p>
      <w:pPr>
        <w:spacing w:after="40"/>
      </w:pPr>
    </w:p>
    <w:p>
      <w:r>
        <w:rPr>
          <w:color w:val="0B3D2E"/>
          <w:sz w:val="18"/>
        </w:rPr>
        <w:t>V souladu s požadavky financující banky činí Doba odstranění kritické Poruchy (P1) nejvýše 72 hodin.</w:t>
      </w:r>
    </w:p>
    <w:p>
      <w:pPr>
        <w:pStyle w:val="Nadpis1"/>
        <w:keepNext/>
      </w:pPr>
      <w:r>
        <w:rPr/>
        <w:t>F. Garantovaná Technická dostupnost</w:t>
      </w:r>
    </w:p>
    <w:tbl>
      <w:tblPr>
        <w:tblStyle w:val="Tabulkasmkou2zvraznn2"/>
        <w:tblW w:type="auto" w:w="0"/>
        <w:jc w:val="center"/>
        <w:tblLook w:firstColumn="0" w:firstRow="1" w:lastColumn="0" w:lastRow="0" w:noHBand="0" w:noVBand="1" w:val="04A0"/>
      </w:tblPr>
      <w:tblGrid>
        <w:gridCol w:w="2835"/>
        <w:gridCol w:w="3402"/>
        <w:gridCol w:w="2948"/>
      </w:tblGrid>
      <w:tr>
        <w:trPr>
          <w:cantSplit w:val="true"/>
          <w:tblHeader w:val="true"/>
        </w:trPr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Asset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Garantovaná roční Technická dostupnost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Metodika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10501 – FVE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 xml:space="preserve">98,0 %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Příloha 2, čl. 2.1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10502 – BESS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 xml:space="preserve">97,0 %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Příloha 2, čl. 2.2</w:t>
            </w:r>
          </w:p>
        </w:tc>
      </w:tr>
    </w:tbl>
    <w:p>
      <w:pPr>
        <w:spacing w:after="40"/>
      </w:pPr>
    </w:p>
    <w:p>
      <w:pPr>
        <w:pStyle w:val="Nadpis1"/>
        <w:keepNext/>
      </w:pPr>
      <w:r>
        <w:rPr/>
        <w:t>G. Cena</w:t>
      </w:r>
    </w:p>
    <w:tbl>
      <w:tblPr>
        <w:tblStyle w:val="Tabulkasmkou2zvraznn2"/>
        <w:tblW w:type="auto" w:w="0"/>
        <w:jc w:val="center"/>
        <w:tblLook w:firstColumn="0" w:firstRow="1" w:lastColumn="0" w:lastRow="0" w:noHBand="0" w:noVBand="1" w:val="04A0"/>
      </w:tblPr>
      <w:tblGrid>
        <w:gridCol w:w="3515"/>
        <w:gridCol w:w="1701"/>
        <w:gridCol w:w="1814"/>
        <w:gridCol w:w="2154"/>
      </w:tblGrid>
      <w:tr>
        <w:trPr>
          <w:cantSplit w:val="true"/>
          <w:tblHeader w:val="true"/>
        </w:trPr>
        <w:tc>
          <w:tcPr>
            <w:tcW w:type="dxa" w:w="3515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Položka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Základ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Jednotková cena</w:t>
            </w:r>
          </w:p>
        </w:tc>
        <w:tc>
          <w:tcPr>
            <w:tcW w:type="dxa" w:w="2154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Roční cena (Kč bez DPH)</w:t>
            </w:r>
          </w:p>
        </w:tc>
      </w:tr>
      <w:tr>
        <w:trPr>
          <w:cantSplit w:val="true"/>
        </w:trPr>
        <w:tc>
          <w:tcPr>
            <w:tcW w:type="dxa" w:w="3515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Základní servis + moduly – FVE 10501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4 950 kWp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75 Kč/kWp</w:t>
            </w:r>
          </w:p>
        </w:tc>
        <w:tc>
          <w:tcPr>
            <w:tcW w:type="dxa" w:w="2154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371 250 Kč</w:t>
            </w:r>
          </w:p>
        </w:tc>
      </w:tr>
      <w:tr>
        <w:trPr>
          <w:cantSplit w:val="true"/>
        </w:trPr>
        <w:tc>
          <w:tcPr>
            <w:tcW w:type="dxa" w:w="3515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Základní servis + moduly – BESS 10502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25 644 kWh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18 Kč/kWh</w:t>
            </w:r>
          </w:p>
        </w:tc>
        <w:tc>
          <w:tcPr>
            <w:tcW w:type="dxa" w:w="2154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461 592 Kč</w:t>
            </w:r>
          </w:p>
        </w:tc>
      </w:tr>
      <w:tr>
        <w:trPr>
          <w:cantSplit w:val="true"/>
        </w:trPr>
        <w:tc>
          <w:tcPr>
            <w:tcW w:type="dxa" w:w="3515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Technický management a monitoring lokality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lokalita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paušál</w:t>
            </w:r>
          </w:p>
        </w:tc>
        <w:tc>
          <w:tcPr>
            <w:tcW w:type="dxa" w:w="2154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120 000 Kč</w:t>
            </w:r>
          </w:p>
        </w:tc>
      </w:tr>
      <w:tr>
        <w:trPr>
          <w:cantSplit w:val="true"/>
        </w:trPr>
        <w:tc>
          <w:tcPr>
            <w:tcW w:type="dxa" w:w="3515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Roční Paušál celkem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</w:p>
        </w:tc>
        <w:tc>
          <w:tcPr>
            <w:tcW w:type="dxa" w:w="1814"/>
          </w:tcPr>
          <w:p>
            <w:pPr>
              <w:spacing w:after="0" w:line="240" w:lineRule="auto"/>
            </w:pPr>
          </w:p>
        </w:tc>
        <w:tc>
          <w:tcPr>
            <w:tcW w:type="dxa" w:w="2154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 xml:space="preserve">952 842 Kč</w:t>
            </w:r>
          </w:p>
        </w:tc>
      </w:tr>
    </w:tbl>
    <w:p>
      <w:pPr>
        <w:spacing w:after="40"/>
      </w:pPr>
    </w:p>
    <w:tbl>
      <w:tblPr>
        <w:tblStyle w:val="Tabulkasmkou2zvraznn2"/>
        <w:tblW w:type="auto" w:w="0"/>
        <w:jc w:val="center"/>
        <w:tblLook w:firstColumn="0" w:firstRow="0" w:lastColumn="0" w:lastRow="0" w:noHBand="0" w:noVBand="1" w:val="0420"/>
      </w:tblPr>
      <w:tblGrid>
        <w:gridCol w:w="3118"/>
        <w:gridCol w:w="5953"/>
      </w:tblGrid>
      <w:tr>
        <w:trPr>
          <w:cantSplit w:val="true"/>
        </w:trPr>
        <w:tc>
          <w:tcPr>
            <w:tcW w:type="dxa" w:w="3118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Limit práce korektivní údržby v Paušálu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80 hodin / rok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Roční limit náhradních dílů v Paušálu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100 000 Kč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Fakturace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čtvrtletně zpětně, splatnost 30 dnů</w:t>
            </w:r>
          </w:p>
        </w:tc>
      </w:tr>
    </w:tbl>
    <w:p>
      <w:pPr>
        <w:spacing w:after="40"/>
      </w:pPr>
    </w:p>
    <w:p>
      <w:r>
        <w:rPr>
          <w:color w:val="555F5A"/>
          <w:sz w:val="18"/>
        </w:rPr>
        <w:t xml:space="preserve">ILUSTRATIVNÍ CENY – slouží jen k ověření šablony, nejsou nabídkou.</w:t>
      </w:r>
    </w:p>
    <w:p>
      <w:pPr>
        <w:pStyle w:val="Nadpis1"/>
        <w:keepNext/>
      </w:pPr>
      <w:r>
        <w:rPr/>
        <w:t>H. Strategické náhradní díly</w:t>
      </w:r>
    </w:p>
    <w:tbl>
      <w:tblPr>
        <w:tblStyle w:val="Tabulkasmkou2zvraznn2"/>
        <w:tblW w:type="auto" w:w="0"/>
        <w:jc w:val="center"/>
        <w:tblLook w:firstColumn="0" w:firstRow="1" w:lastColumn="0" w:lastRow="0" w:noHBand="0" w:noVBand="1" w:val="04A0"/>
      </w:tblPr>
      <w:tblGrid>
        <w:gridCol w:w="3969"/>
        <w:gridCol w:w="1247"/>
        <w:gridCol w:w="1134"/>
        <w:gridCol w:w="2835"/>
      </w:tblGrid>
      <w:tr>
        <w:trPr>
          <w:cantSplit w:val="true"/>
          <w:tblHeader w:val="true"/>
        </w:trPr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Položka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Asset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Množství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Umístění / zajištění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Bateriový modul [typ]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10502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[ks]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sklad lokality / OEM do 48 h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Řídicí deska BMS / BCU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10502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sklad RES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Čerpadlo chladicího okruhu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10502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sklad RES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Stringový střídač [typ]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10501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sklad lokality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Pojistky VN, svodiče přepětí DC/AC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lokalita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sada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sklad lokality</w:t>
            </w:r>
          </w:p>
        </w:tc>
      </w:tr>
    </w:tbl>
    <w:p>
      <w:pPr>
        <w:spacing w:after="40"/>
      </w:pPr>
    </w:p>
    <w:p>
      <w:pPr>
        <w:pStyle w:val="Nadpis1"/>
        <w:keepNext/>
      </w:pPr>
      <w:r>
        <w:rPr/>
        <w:t>I. Kontakty Lokality</w:t>
      </w:r>
    </w:p>
    <w:tbl>
      <w:tblPr>
        <w:tblStyle w:val="Tabulkasmkou2zvraznn2"/>
        <w:tblW w:type="auto" w:w="0"/>
        <w:jc w:val="center"/>
        <w:tblLook w:firstColumn="0" w:firstRow="1" w:lastColumn="0" w:lastRow="0" w:noHBand="0" w:noVBand="1" w:val="04A0"/>
      </w:tblPr>
      <w:tblGrid>
        <w:gridCol w:w="2381"/>
        <w:gridCol w:w="2268"/>
        <w:gridCol w:w="1814"/>
        <w:gridCol w:w="2721"/>
      </w:tblGrid>
      <w:tr>
        <w:trPr>
          <w:cantSplit w:val="true"/>
          <w:tblHeader w:val="true"/>
        </w:trPr>
        <w:tc>
          <w:tcPr>
            <w:tcW w:type="dxa" w:w="2381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Role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Jméno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Telefon</w:t>
            </w:r>
          </w:p>
        </w:tc>
        <w:tc>
          <w:tcPr>
            <w:tcW w:type="dxa" w:w="2721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E-mail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Technik lokality RES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[jméno]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[tel]</w:t>
            </w:r>
          </w:p>
        </w:tc>
        <w:tc>
          <w:tcPr>
            <w:tcW w:type="dxa" w:w="2721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[email]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Dispečink PDS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[tel]</w:t>
            </w:r>
          </w:p>
        </w:tc>
        <w:tc>
          <w:tcPr>
            <w:tcW w:type="dxa" w:w="2721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/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Agregátor – dispečink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[tel]</w:t>
            </w:r>
          </w:p>
        </w:tc>
        <w:tc>
          <w:tcPr>
            <w:tcW w:type="dxa" w:w="2721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[email]</w:t>
            </w:r>
          </w:p>
        </w:tc>
      </w:tr>
    </w:tbl>
    <w:p>
      <w:pPr>
        <w:spacing w:after="40"/>
      </w:pPr>
    </w:p>
    <w:p/>
    <w:p>
      <w:pPr>
        <w:keepNext/>
      </w:pPr>
      <w:r>
        <w:rPr/>
        <w:t xml:space="preserve">V Havlíčkově Brodě dne [DATUM]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</w:tcPr>
          <w:p>
            <w:r>
              <w:rPr>
                <w:b/>
              </w:rPr>
              <w:t>Za Objednatele:</w:t>
            </w: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  <w:r>
              <w:rPr/>
              <w:t>……………………………………………</w:t>
            </w:r>
          </w:p>
          <w:p>
            <w:pPr>
              <w:spacing w:after="0"/>
            </w:pPr>
            <w:r>
              <w:rPr/>
              <w:t xml:space="preserve">[jméno]</w:t>
            </w:r>
          </w:p>
          <w:p>
            <w:pPr>
              <w:spacing w:after="0"/>
            </w:pPr>
            <w:r>
              <w:rPr/>
              <w:t xml:space="preserve">[jednatel]</w:t>
            </w:r>
          </w:p>
        </w:tc>
        <w:tc>
          <w:tcPr>
            <w:tcW w:type="dxa" w:w="4535"/>
          </w:tcPr>
          <w:p>
            <w:r>
              <w:rPr>
                <w:b/>
              </w:rPr>
              <w:t>Za Zhotovitele:</w:t>
            </w: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  <w:r>
              <w:rPr/>
              <w:t>……………………………………………</w:t>
            </w:r>
          </w:p>
          <w:p>
            <w:pPr>
              <w:spacing w:after="0"/>
            </w:pPr>
            <w:r>
              <w:rPr/>
              <w:t xml:space="preserve">[jméno]</w:t>
            </w:r>
          </w:p>
          <w:p>
            <w:pPr>
              <w:spacing w:after="0"/>
            </w:pPr>
            <w:r>
              <w:rPr/>
              <w:t xml:space="preserve">[jednatel]</w:t>
            </w:r>
          </w:p>
        </w:tc>
      </w:tr>
    </w:tbl>
    <w:sectPr w:rsidR="00970C61" w:rsidRPr="00970C61">
      <w:headerReference w:type="even" r:id="rId12"/>
      <w:headerReference w:type="default" r:id="rId13"/>
      <w:footerReference w:type="default" r:id="rId14"/>
      <w:headerReference w:type="first" r:id="rId15"/>
      <w:footerReference w:type="first" r:id="rId18"/>
      <w:footerReference w:type="even" r:id="rId1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6BFB3" w14:textId="77777777" w:rsidR="00D232D6" w:rsidRDefault="00D232D6" w:rsidP="00AB34C7">
      <w:pPr>
        <w:spacing w:after="0" w:line="240" w:lineRule="auto"/>
      </w:pPr>
      <w:r>
        <w:separator/>
      </w:r>
    </w:p>
  </w:endnote>
  <w:endnote w:type="continuationSeparator" w:id="0">
    <w:p w14:paraId="42E53157" w14:textId="77777777" w:rsidR="00D232D6" w:rsidRDefault="00D232D6" w:rsidP="00AB34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swald">
    <w:charset w:val="EE"/>
    <w:family w:val="auto"/>
    <w:pitch w:val="variable"/>
    <w:sig w:usb0="2000020F" w:usb1="00000000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704C2" w14:textId="62B2E2B7" w:rsidR="00AB34C7" w:rsidRDefault="006B6681">
    <w:pPr>
      <w:pStyle w:val="Zpat"/>
    </w:pPr>
    <w:r>
      <w:rPr>
        <w:noProof/>
      </w:rPr>
      <mc:AlternateContent>
        <mc:Choice Requires="wps">
          <w:drawing>
            <wp:anchor distT="0" distB="0" distL="114300" distR="114300" simplePos="0" relativeHeight="251665920" behindDoc="0" locked="0" layoutInCell="1" allowOverlap="1" wp14:anchorId="45D003CD" wp14:editId="768A58D2">
              <wp:simplePos x="0" y="0"/>
              <wp:positionH relativeFrom="page">
                <wp:posOffset>1833245</wp:posOffset>
              </wp:positionH>
              <wp:positionV relativeFrom="paragraph">
                <wp:posOffset>95885</wp:posOffset>
              </wp:positionV>
              <wp:extent cx="6400800" cy="342900"/>
              <wp:effectExtent l="0" t="0" r="0" b="0"/>
              <wp:wrapNone/>
              <wp:docPr id="1891657152" name="Textové po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00800" cy="3429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C0A10CA" w14:textId="707FF94D" w:rsidR="006B6681" w:rsidRPr="00AB34C7" w:rsidRDefault="006B6681" w:rsidP="006B6681">
                          <w:pPr>
                            <w:pStyle w:val="Zpat"/>
                            <w:rPr>
                              <w:color w:val="148FCB"/>
                              <w:szCs w:val="20"/>
                            </w:rPr>
                          </w:pPr>
                          <w:proofErr w:type="spellStart"/>
                          <w:r w:rsidRPr="00AB34C7">
                            <w:rPr>
                              <w:b/>
                              <w:bCs/>
                              <w:szCs w:val="20"/>
                            </w:rPr>
                            <w:t>Revoltum</w:t>
                          </w:r>
                          <w:proofErr w:type="spellEnd"/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bCs/>
                              <w:szCs w:val="20"/>
                            </w:rPr>
                            <w:t>Engineering</w:t>
                          </w:r>
                          <w:proofErr w:type="spellEnd"/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&amp; </w:t>
                          </w:r>
                          <w:proofErr w:type="spellStart"/>
                          <w:r>
                            <w:rPr>
                              <w:b/>
                              <w:bCs/>
                              <w:szCs w:val="20"/>
                            </w:rPr>
                            <w:t>Services</w:t>
                          </w:r>
                          <w:proofErr w:type="spellEnd"/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, </w:t>
                          </w:r>
                          <w:proofErr w:type="spellStart"/>
                          <w:r>
                            <w:rPr>
                              <w:b/>
                              <w:bCs/>
                              <w:szCs w:val="20"/>
                            </w:rPr>
                            <w:t>s.r.o</w:t>
                          </w:r>
                          <w:proofErr w:type="spellEnd"/>
                          <w:r>
                            <w:rPr>
                              <w:b/>
                              <w:bCs/>
                              <w:szCs w:val="20"/>
                            </w:rPr>
                            <w:t>.</w:t>
                          </w:r>
                          <w:r w:rsidRPr="006B6681">
                            <w:rPr>
                              <w:b/>
                              <w:bCs/>
                              <w:color w:val="00C667" w:themeColor="accent2"/>
                              <w:szCs w:val="20"/>
                            </w:rPr>
                            <w:t xml:space="preserve"> </w:t>
                          </w:r>
                          <w:r w:rsidRPr="006B6681">
                            <w:rPr>
                              <w:color w:val="00C667" w:themeColor="accent2"/>
                              <w:szCs w:val="20"/>
                            </w:rPr>
                            <w:t>|</w:t>
                          </w:r>
                          <w:r w:rsidRPr="00E259CB">
                            <w:rPr>
                              <w:szCs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Cs w:val="20"/>
                            </w:rPr>
                            <w:t>Havlířská</w:t>
                          </w:r>
                          <w:proofErr w:type="spellEnd"/>
                          <w:r>
                            <w:rPr>
                              <w:szCs w:val="20"/>
                            </w:rPr>
                            <w:t xml:space="preserve"> 1021, 568 01 Havlíčkův Brod</w:t>
                          </w:r>
                          <w:r w:rsidRPr="00E259CB">
                            <w:rPr>
                              <w:color w:val="148FCB"/>
                              <w:szCs w:val="20"/>
                            </w:rPr>
                            <w:t xml:space="preserve"> </w:t>
                          </w:r>
                          <w:proofErr w:type="gramStart"/>
                          <w:r w:rsidRPr="00E259CB">
                            <w:rPr>
                              <w:color w:val="148FCB"/>
                              <w:szCs w:val="20"/>
                            </w:rPr>
                            <w:t>|  </w:t>
                          </w:r>
                          <w:r w:rsidRPr="00E259CB">
                            <w:rPr>
                              <w:szCs w:val="20"/>
                            </w:rPr>
                            <w:t>IČ</w:t>
                          </w:r>
                          <w:proofErr w:type="gramEnd"/>
                          <w:r w:rsidRPr="00E259CB">
                            <w:rPr>
                              <w:szCs w:val="20"/>
                            </w:rPr>
                            <w:t xml:space="preserve">: </w:t>
                          </w:r>
                          <w:r w:rsidR="00282864" w:rsidRPr="00282864">
                            <w:rPr>
                              <w:szCs w:val="20"/>
                            </w:rPr>
                            <w:t>29713536</w:t>
                          </w:r>
                        </w:p>
                        <w:p w14:paraId="7932CC74" w14:textId="77777777" w:rsidR="006B6681" w:rsidRPr="00E259CB" w:rsidRDefault="006B6681" w:rsidP="006B6681">
                          <w:pPr>
                            <w:pStyle w:val="Zpat"/>
                            <w:rPr>
                              <w:szCs w:val="20"/>
                            </w:rPr>
                          </w:pPr>
                        </w:p>
                        <w:p w14:paraId="2CDA6B63" w14:textId="77777777" w:rsidR="006B6681" w:rsidRPr="00E259CB" w:rsidRDefault="006B6681" w:rsidP="006B6681">
                          <w:pPr>
                            <w:rPr>
                              <w:sz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D003CD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144.35pt;margin-top:7.55pt;width:7in;height:27pt;z-index:251665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" fillcolor="white [3201]" stroked="f" strokeweight=".5pt">
              <v:textbox>
                <w:txbxContent>
                  <w:p w14:paraId="0C0A10CA" w14:textId="707FF94D" w:rsidR="006B6681" w:rsidRPr="00AB34C7" w:rsidRDefault="006B6681" w:rsidP="006B6681">
                    <w:pPr>
                      <w:pStyle w:val="Zpat"/>
                      <w:rPr>
                        <w:color w:val="148FCB"/>
                        <w:szCs w:val="20"/>
                      </w:rPr>
                    </w:pPr>
                    <w:proofErr w:type="spellStart"/>
                    <w:r w:rsidRPr="00AB34C7">
                      <w:rPr>
                        <w:b/>
                        <w:bCs/>
                        <w:szCs w:val="20"/>
                      </w:rPr>
                      <w:t>Revoltum</w:t>
                    </w:r>
                    <w:proofErr w:type="spellEnd"/>
                    <w:r>
                      <w:rPr>
                        <w:b/>
                        <w:bCs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bCs/>
                        <w:szCs w:val="20"/>
                      </w:rPr>
                      <w:t>Engineering</w:t>
                    </w:r>
                    <w:proofErr w:type="spellEnd"/>
                    <w:r>
                      <w:rPr>
                        <w:b/>
                        <w:bCs/>
                        <w:szCs w:val="20"/>
                      </w:rPr>
                      <w:t xml:space="preserve"> &amp; </w:t>
                    </w:r>
                    <w:proofErr w:type="spellStart"/>
                    <w:r>
                      <w:rPr>
                        <w:b/>
                        <w:bCs/>
                        <w:szCs w:val="20"/>
                      </w:rPr>
                      <w:t>Services</w:t>
                    </w:r>
                    <w:proofErr w:type="spellEnd"/>
                    <w:r>
                      <w:rPr>
                        <w:b/>
                        <w:bCs/>
                        <w:szCs w:val="20"/>
                      </w:rPr>
                      <w:t xml:space="preserve">, </w:t>
                    </w:r>
                    <w:proofErr w:type="spellStart"/>
                    <w:r>
                      <w:rPr>
                        <w:b/>
                        <w:bCs/>
                        <w:szCs w:val="20"/>
                      </w:rPr>
                      <w:t>s.r.o</w:t>
                    </w:r>
                    <w:proofErr w:type="spellEnd"/>
                    <w:r>
                      <w:rPr>
                        <w:b/>
                        <w:bCs/>
                        <w:szCs w:val="20"/>
                      </w:rPr>
                      <w:t>.</w:t>
                    </w:r>
                    <w:r w:rsidRPr="006B6681">
                      <w:rPr>
                        <w:b/>
                        <w:bCs/>
                        <w:color w:val="00C667" w:themeColor="accent2"/>
                        <w:szCs w:val="20"/>
                      </w:rPr>
                      <w:t xml:space="preserve"> </w:t>
                    </w:r>
                    <w:r w:rsidRPr="006B6681">
                      <w:rPr>
                        <w:color w:val="00C667" w:themeColor="accent2"/>
                        <w:szCs w:val="20"/>
                      </w:rPr>
                      <w:t>|</w:t>
                    </w:r>
                    <w:r w:rsidRPr="00E259CB">
                      <w:rPr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szCs w:val="20"/>
                      </w:rPr>
                      <w:t>Havlířská</w:t>
                    </w:r>
                    <w:proofErr w:type="spellEnd"/>
                    <w:r>
                      <w:rPr>
                        <w:szCs w:val="20"/>
                      </w:rPr>
                      <w:t xml:space="preserve"> 1021, 568 01 Havlíčkův Brod</w:t>
                    </w:r>
                    <w:r w:rsidRPr="00E259CB">
                      <w:rPr>
                        <w:color w:val="148FCB"/>
                        <w:szCs w:val="20"/>
                      </w:rPr>
                      <w:t xml:space="preserve"> </w:t>
                    </w:r>
                    <w:proofErr w:type="gramStart"/>
                    <w:r w:rsidRPr="00E259CB">
                      <w:rPr>
                        <w:color w:val="148FCB"/>
                        <w:szCs w:val="20"/>
                      </w:rPr>
                      <w:t>|  </w:t>
                    </w:r>
                    <w:r w:rsidRPr="00E259CB">
                      <w:rPr>
                        <w:szCs w:val="20"/>
                      </w:rPr>
                      <w:t>IČ</w:t>
                    </w:r>
                    <w:proofErr w:type="gramEnd"/>
                    <w:r w:rsidRPr="00E259CB">
                      <w:rPr>
                        <w:szCs w:val="20"/>
                      </w:rPr>
                      <w:t xml:space="preserve">: </w:t>
                    </w:r>
                    <w:r w:rsidR="00282864" w:rsidRPr="00282864">
                      <w:rPr>
                        <w:szCs w:val="20"/>
                      </w:rPr>
                      <w:t>29713536</w:t>
                    </w:r>
                  </w:p>
                  <w:p w14:paraId="7932CC74" w14:textId="77777777" w:rsidR="006B6681" w:rsidRPr="00E259CB" w:rsidRDefault="006B6681" w:rsidP="006B6681">
                    <w:pPr>
                      <w:pStyle w:val="Zpat"/>
                      <w:rPr>
                        <w:szCs w:val="20"/>
                      </w:rPr>
                    </w:pPr>
                  </w:p>
                  <w:p w14:paraId="2CDA6B63" w14:textId="77777777" w:rsidR="006B6681" w:rsidRPr="00E259CB" w:rsidRDefault="006B6681" w:rsidP="006B6681">
                    <w:pPr>
                      <w:rPr>
                        <w:sz w:val="24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AD3520">
      <w:rPr>
        <w:noProof/>
      </w:rPr>
      <mc:AlternateContent>
        <mc:Choice Requires="wps">
          <w:drawing>
            <wp:anchor distT="0" distB="0" distL="114300" distR="114300" simplePos="0" relativeHeight="251656703" behindDoc="0" locked="0" layoutInCell="1" allowOverlap="1" wp14:anchorId="187020F5" wp14:editId="74124243">
              <wp:simplePos x="0" y="0"/>
              <wp:positionH relativeFrom="column">
                <wp:posOffset>-1223645</wp:posOffset>
              </wp:positionH>
              <wp:positionV relativeFrom="paragraph">
                <wp:posOffset>-219710</wp:posOffset>
              </wp:positionV>
              <wp:extent cx="2714625" cy="838200"/>
              <wp:effectExtent l="0" t="0" r="9525" b="0"/>
              <wp:wrapNone/>
              <wp:docPr id="620986048" name="Textové po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14625" cy="8382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A8BD5F1" w14:textId="61535EE2" w:rsidR="00AD3520" w:rsidRDefault="00AD3520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66BF0E5" wp14:editId="0D56EF7F">
                                <wp:extent cx="2029217" cy="897939"/>
                                <wp:effectExtent l="0" t="0" r="9525" b="0"/>
                                <wp:docPr id="424330945" name="Obrázek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24330945" name="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042854" cy="903973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7020F5" id="Textové pole 5" o:spid="_x0000_s1029" type="#_x0000_t202" style="position:absolute;margin-left:-96.35pt;margin-top:-17.3pt;width:213.75pt;height:66pt;z-index:25165670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" fillcolor="white [3201]" stroked="f" strokeweight=".5pt">
              <v:textbox>
                <w:txbxContent>
                  <w:p w14:paraId="2A8BD5F1" w14:textId="61535EE2" w:rsidR="00AD3520" w:rsidRDefault="00AD3520">
                    <w:r>
                      <w:rPr>
                        <w:noProof/>
                      </w:rPr>
                      <w:drawing>
                        <wp:inline distT="0" distB="0" distL="0" distR="0" wp14:anchorId="566BF0E5" wp14:editId="0D56EF7F">
                          <wp:extent cx="2029217" cy="897939"/>
                          <wp:effectExtent l="0" t="0" r="9525" b="0"/>
                          <wp:docPr id="424330945" name="Obrázek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24330945" name="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42854" cy="90397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1E38B" w14:textId="77777777" w:rsidR="00D232D6" w:rsidRDefault="00D232D6" w:rsidP="00AB34C7">
      <w:pPr>
        <w:spacing w:after="0" w:line="240" w:lineRule="auto"/>
      </w:pPr>
      <w:r>
        <w:separator/>
      </w:r>
    </w:p>
  </w:footnote>
  <w:footnote w:type="continuationSeparator" w:id="0">
    <w:p w14:paraId="48FDF839" w14:textId="77777777" w:rsidR="00D232D6" w:rsidRDefault="00D232D6" w:rsidP="00AB34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06F07" w14:textId="36DCED32" w:rsidR="00B30D32" w:rsidRDefault="00D232D6">
    <w:pPr>
      <w:pStyle w:val="Zhlav"/>
    </w:pPr>
    <w:r>
      <w:rPr>
        <w:noProof/>
      </w:rPr>
      <w:pict w14:anchorId="548473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7918563" o:spid="_x0000_s1032" type="#_x0000_t75" style="position:absolute;margin-left:0;margin-top:0;width:595.4pt;height:842.15pt;z-index:-251653632;mso-position-horizontal:center;mso-position-horizontal-relative:margin;mso-position-vertical:center;mso-position-vertical-relative:margin" o:allowincell="f">
          <v:imagedata r:id="rId1" o:title="odměna poukazy  (1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A6790" w14:textId="1BF009C1" w:rsidR="00AB34C7" w:rsidRDefault="00D15FCA">
    <w:pPr>
      <w:pStyle w:val="Zhlav"/>
    </w:pP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7DC81F04" wp14:editId="65F9DCEF">
              <wp:simplePos x="0" y="0"/>
              <wp:positionH relativeFrom="margin">
                <wp:posOffset>-118745</wp:posOffset>
              </wp:positionH>
              <wp:positionV relativeFrom="paragraph">
                <wp:posOffset>-106680</wp:posOffset>
              </wp:positionV>
              <wp:extent cx="4324350" cy="494030"/>
              <wp:effectExtent l="0" t="0" r="0" b="1270"/>
              <wp:wrapNone/>
              <wp:docPr id="1864795666" name="Textové po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24350" cy="4940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D746773" w14:textId="247A4E77" w:rsidR="001911B2" w:rsidRPr="001911B2" w:rsidRDefault="001911B2" w:rsidP="001911B2">
                          <w:pPr>
                            <w:rPr>
                              <w:rFonts w:ascii="Oswald" w:hAnsi="Oswald"/>
                              <w:color w:val="030422" w:themeColor="text1"/>
                              <w:sz w:val="28"/>
                              <w:szCs w:val="28"/>
                            </w:rPr>
                          </w:pPr>
                          <w:r w:rsidRPr="00D15FCA">
                            <w:rPr>
                              <w:rFonts w:ascii="Oswald" w:hAnsi="Oswald"/>
                              <w:b/>
                              <w:bCs/>
                              <w:color w:val="00C667"/>
                              <w:sz w:val="28"/>
                              <w:szCs w:val="28"/>
                            </w:rPr>
                            <w:t>Revoltujte</w:t>
                          </w:r>
                          <w:r w:rsidRPr="00D15FCA">
                            <w:rPr>
                              <w:rFonts w:ascii="Oswald" w:hAnsi="Oswald"/>
                              <w:color w:val="00C667"/>
                              <w:sz w:val="28"/>
                              <w:szCs w:val="28"/>
                            </w:rPr>
                            <w:t xml:space="preserve"> </w:t>
                          </w:r>
                          <w:r w:rsidRPr="001911B2">
                            <w:rPr>
                              <w:rFonts w:ascii="Oswald" w:hAnsi="Oswald"/>
                              <w:color w:val="030422" w:themeColor="text1"/>
                              <w:sz w:val="28"/>
                              <w:szCs w:val="28"/>
                            </w:rPr>
                            <w:t>s námi za moderní decentralizovanou</w:t>
                          </w:r>
                          <w:r w:rsidRPr="001911B2">
                            <w:rPr>
                              <w:rFonts w:ascii="Oswald" w:hAnsi="Oswald"/>
                              <w:color w:val="0268A6" w:themeColor="accent1"/>
                              <w:sz w:val="28"/>
                              <w:szCs w:val="28"/>
                            </w:rPr>
                            <w:t xml:space="preserve"> </w:t>
                          </w:r>
                          <w:r w:rsidRPr="00D15FCA">
                            <w:rPr>
                              <w:rFonts w:ascii="Oswald" w:hAnsi="Oswald"/>
                              <w:b/>
                              <w:bCs/>
                              <w:color w:val="00C667"/>
                              <w:sz w:val="28"/>
                              <w:szCs w:val="28"/>
                            </w:rPr>
                            <w:t>energetiku</w:t>
                          </w:r>
                        </w:p>
                        <w:p w14:paraId="5EA0C81B" w14:textId="1AFCD787" w:rsidR="00D970E7" w:rsidRPr="0012199B" w:rsidRDefault="00D970E7" w:rsidP="00D970E7">
                          <w:pPr>
                            <w:rPr>
                              <w:rFonts w:ascii="Oswald" w:hAnsi="Oswald"/>
                              <w:color w:val="D9D9D9" w:themeColor="background1" w:themeShade="D9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C81F04" id="_x0000_t202" coordsize="21600,21600" o:spt="202" path="m,l,21600r21600,l21600,xe">
              <v:stroke joinstyle="miter"/>
              <v:path gradientshapeok="t" o:connecttype="rect"/>
            </v:shapetype>
            <v:shape id="Textové pole 2" o:spid="_x0000_s1026" type="#_x0000_t202" style="position:absolute;margin-left:-9.35pt;margin-top:-8.4pt;width:340.5pt;height:38.9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" filled="f" stroked="f" strokeweight=".5pt">
              <v:textbox>
                <w:txbxContent>
                  <w:p w14:paraId="1D746773" w14:textId="247A4E77" w:rsidR="001911B2" w:rsidRPr="001911B2" w:rsidRDefault="001911B2" w:rsidP="001911B2">
                    <w:pPr>
                      <w:rPr>
                        <w:rFonts w:ascii="Oswald" w:hAnsi="Oswald"/>
                        <w:color w:val="030422" w:themeColor="text1"/>
                        <w:sz w:val="28"/>
                        <w:szCs w:val="28"/>
                      </w:rPr>
                    </w:pPr>
                    <w:r w:rsidRPr="00D15FCA">
                      <w:rPr>
                        <w:rFonts w:ascii="Oswald" w:hAnsi="Oswald"/>
                        <w:b/>
                        <w:bCs/>
                        <w:color w:val="00C667"/>
                        <w:sz w:val="28"/>
                        <w:szCs w:val="28"/>
                      </w:rPr>
                      <w:t>Revoltujte</w:t>
                    </w:r>
                    <w:r w:rsidRPr="00D15FCA">
                      <w:rPr>
                        <w:rFonts w:ascii="Oswald" w:hAnsi="Oswald"/>
                        <w:color w:val="00C667"/>
                        <w:sz w:val="28"/>
                        <w:szCs w:val="28"/>
                      </w:rPr>
                      <w:t xml:space="preserve"> </w:t>
                    </w:r>
                    <w:r w:rsidRPr="001911B2">
                      <w:rPr>
                        <w:rFonts w:ascii="Oswald" w:hAnsi="Oswald"/>
                        <w:color w:val="030422" w:themeColor="text1"/>
                        <w:sz w:val="28"/>
                        <w:szCs w:val="28"/>
                      </w:rPr>
                      <w:t>s námi za moderní decentralizovanou</w:t>
                    </w:r>
                    <w:r w:rsidRPr="001911B2">
                      <w:rPr>
                        <w:rFonts w:ascii="Oswald" w:hAnsi="Oswald"/>
                        <w:color w:val="0268A6" w:themeColor="accent1"/>
                        <w:sz w:val="28"/>
                        <w:szCs w:val="28"/>
                      </w:rPr>
                      <w:t xml:space="preserve"> </w:t>
                    </w:r>
                    <w:r w:rsidRPr="00D15FCA">
                      <w:rPr>
                        <w:rFonts w:ascii="Oswald" w:hAnsi="Oswald"/>
                        <w:b/>
                        <w:bCs/>
                        <w:color w:val="00C667"/>
                        <w:sz w:val="28"/>
                        <w:szCs w:val="28"/>
                      </w:rPr>
                      <w:t>energetiku</w:t>
                    </w:r>
                  </w:p>
                  <w:p w14:paraId="5EA0C81B" w14:textId="1AFCD787" w:rsidR="00D970E7" w:rsidRPr="0012199B" w:rsidRDefault="00D970E7" w:rsidP="00D970E7">
                    <w:pPr>
                      <w:rPr>
                        <w:rFonts w:ascii="Oswald" w:hAnsi="Oswald"/>
                        <w:color w:val="D9D9D9" w:themeColor="background1" w:themeShade="D9"/>
                        <w:sz w:val="28"/>
                        <w:szCs w:val="2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D232D6">
      <w:rPr>
        <w:noProof/>
      </w:rPr>
      <w:pict w14:anchorId="619E7D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7918564" o:spid="_x0000_s1033" type="#_x0000_t75" style="position:absolute;margin-left:0;margin-top:0;width:595.4pt;height:842.15pt;z-index:-251652608;mso-position-horizontal:center;mso-position-horizontal-relative:margin;mso-position-vertical:center;mso-position-vertical-relative:margin" o:allowincell="f">
          <v:imagedata r:id="rId1" o:title="odměna poukazy  (1)"/>
          <w10:wrap anchorx="margin" anchory="margin"/>
        </v:shape>
      </w:pict>
    </w:r>
    <w:r w:rsidR="00AB34C7"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5583017" wp14:editId="7241B521">
              <wp:simplePos x="0" y="0"/>
              <wp:positionH relativeFrom="column">
                <wp:posOffset>4491355</wp:posOffset>
              </wp:positionH>
              <wp:positionV relativeFrom="paragraph">
                <wp:posOffset>-306705</wp:posOffset>
              </wp:positionV>
              <wp:extent cx="2124075" cy="714375"/>
              <wp:effectExtent l="0" t="0" r="9525" b="9525"/>
              <wp:wrapNone/>
              <wp:docPr id="1598246730" name="Textové po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24075" cy="7143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014FF11" w14:textId="781AD046" w:rsidR="00AB34C7" w:rsidRDefault="003F166B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7B515E0" wp14:editId="39150360">
                                <wp:extent cx="1656080" cy="616585"/>
                                <wp:effectExtent l="0" t="0" r="1270" b="0"/>
                                <wp:docPr id="1057289583" name="Obrázek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57289583" name=""/>
                                        <pic:cNvPicPr/>
                                      </pic:nvPicPr>
                                      <pic:blipFill>
                                        <a:blip r:embed="rId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656080" cy="6165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583017" id="Textové pole 1" o:spid="_x0000_s1027" type="#_x0000_t202" style="position:absolute;margin-left:353.65pt;margin-top:-24.15pt;width:167.25pt;height:56.2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" fillcolor="white [3201]" stroked="f" strokeweight=".5pt">
              <v:textbox>
                <w:txbxContent>
                  <w:p w14:paraId="5014FF11" w14:textId="781AD046" w:rsidR="00AB34C7" w:rsidRDefault="003F166B">
                    <w:r>
                      <w:rPr>
                        <w:noProof/>
                      </w:rPr>
                      <w:drawing>
                        <wp:inline distT="0" distB="0" distL="0" distR="0" wp14:anchorId="37B515E0" wp14:editId="39150360">
                          <wp:extent cx="1656080" cy="616585"/>
                          <wp:effectExtent l="0" t="0" r="1270" b="0"/>
                          <wp:docPr id="1057289583" name="Obrázek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57289583" name=""/>
                                  <pic:cNvPicPr/>
                                </pic:nvPicPr>
                                <pic:blipFill>
                                  <a:blip r:embed="rId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656080" cy="61658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B383B" w14:textId="35F81C83" w:rsidR="00B30D32" w:rsidRDefault="00D232D6">
    <w:pPr>
      <w:pStyle w:val="Zhlav"/>
    </w:pPr>
    <w:r>
      <w:rPr>
        <w:noProof/>
      </w:rPr>
      <w:pict w14:anchorId="0A6A9B8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7918562" o:spid="_x0000_s1031" type="#_x0000_t75" style="position:absolute;margin-left:0;margin-top:0;width:595.4pt;height:842.15pt;z-index:-251654656;mso-position-horizontal:center;mso-position-horizontal-relative:margin;mso-position-vertical:center;mso-position-vertical-relative:margin" o:allowincell="f">
          <v:imagedata r:id="rId1" o:title="odměna poukazy  (1)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69.5pt;height:469.5pt" o:bullet="t">
        <v:imagedata r:id="rId1" o:title="blesk"/>
      </v:shape>
    </w:pict>
  </w:numPicBullet>
  <w:abstractNum w:abstractNumId="0" w15:restartNumberingAfterBreak="0">
    <w:nsid w:val="44011D14"/>
    <w:multiLevelType w:val="hybridMultilevel"/>
    <w:tmpl w:val="90A821B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4E1EB6"/>
    <w:multiLevelType w:val="hybridMultilevel"/>
    <w:tmpl w:val="BA90B33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FA4A5B"/>
    <w:multiLevelType w:val="hybridMultilevel"/>
    <w:tmpl w:val="3E407974"/>
    <w:lvl w:ilvl="0" w:tplc="7902B8B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4546159">
    <w:abstractNumId w:val="0"/>
  </w:num>
  <w:num w:numId="2" w16cid:durableId="332882171">
    <w:abstractNumId w:val="1"/>
  </w:num>
  <w:num w:numId="3" w16cid:durableId="12157718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4C7"/>
    <w:rsid w:val="000C7C3D"/>
    <w:rsid w:val="0012199B"/>
    <w:rsid w:val="001748CA"/>
    <w:rsid w:val="001911B2"/>
    <w:rsid w:val="001C174F"/>
    <w:rsid w:val="00234678"/>
    <w:rsid w:val="0025267F"/>
    <w:rsid w:val="00282864"/>
    <w:rsid w:val="00391179"/>
    <w:rsid w:val="003B29BC"/>
    <w:rsid w:val="003F166B"/>
    <w:rsid w:val="004032EA"/>
    <w:rsid w:val="004C635D"/>
    <w:rsid w:val="00513A38"/>
    <w:rsid w:val="00532E73"/>
    <w:rsid w:val="005845FA"/>
    <w:rsid w:val="005A61AC"/>
    <w:rsid w:val="005A78A0"/>
    <w:rsid w:val="005E19DB"/>
    <w:rsid w:val="00636B0F"/>
    <w:rsid w:val="0065390A"/>
    <w:rsid w:val="006B6681"/>
    <w:rsid w:val="007E6EF7"/>
    <w:rsid w:val="0083572B"/>
    <w:rsid w:val="00885AAD"/>
    <w:rsid w:val="00894A62"/>
    <w:rsid w:val="00970C61"/>
    <w:rsid w:val="009D50B3"/>
    <w:rsid w:val="009E1E0E"/>
    <w:rsid w:val="00A92C0C"/>
    <w:rsid w:val="00A97D11"/>
    <w:rsid w:val="00AB34C7"/>
    <w:rsid w:val="00AB4707"/>
    <w:rsid w:val="00AD3520"/>
    <w:rsid w:val="00B05C10"/>
    <w:rsid w:val="00B11537"/>
    <w:rsid w:val="00B30D32"/>
    <w:rsid w:val="00B93128"/>
    <w:rsid w:val="00BD515F"/>
    <w:rsid w:val="00C767C5"/>
    <w:rsid w:val="00CC3D28"/>
    <w:rsid w:val="00D15FCA"/>
    <w:rsid w:val="00D232D6"/>
    <w:rsid w:val="00D43E8F"/>
    <w:rsid w:val="00D52B99"/>
    <w:rsid w:val="00D970E7"/>
    <w:rsid w:val="00E06D3B"/>
    <w:rsid w:val="00E259CB"/>
    <w:rsid w:val="00E96C99"/>
    <w:rsid w:val="00F103CC"/>
    <w:rsid w:val="00F56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EA2ED3"/>
  <w15:chartTrackingRefBased/>
  <w15:docId w15:val="{DCDEB613-8587-40D8-91B1-70F97EDCB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D43E8F"/>
    <w:pPr>
      <w:spacing w:after="100" w:line="269" w:lineRule="auto"/>
    </w:pPr>
    <w:rPr>
      <w:rFonts w:ascii="Aptos Light" w:hAnsi="Aptos Light"/>
      <w:sz w:val="20"/>
    </w:rPr>
  </w:style>
  <w:style w:type="paragraph" w:styleId="Nadpis1">
    <w:name w:val="heading 1"/>
    <w:basedOn w:val="Normln"/>
    <w:next w:val="Normln"/>
    <w:link w:val="Nadpis1Char"/>
    <w:uiPriority w:val="9"/>
    <w:qFormat/>
    <w:rsid w:val="00D15FCA"/>
    <w:pPr>
      <w:keepNext/>
      <w:keepLines/>
      <w:spacing w:before="320" w:after="120"/>
      <w:outlineLvl w:val="0"/>
    </w:pPr>
    <w:rPr>
      <w:rFonts w:ascii="Aptos ExtraBold" w:eastAsiaTheme="majorEastAsia" w:hAnsi="Aptos ExtraBold" w:cstheme="majorBidi"/>
      <w:b/>
      <w:color w:val="00C667"/>
      <w:sz w:val="26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B34C7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color w:val="0B3D2E"/>
      <w:sz w:val="2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B34C7"/>
    <w:pPr>
      <w:keepNext/>
      <w:keepLines/>
      <w:spacing w:before="160" w:after="80"/>
      <w:outlineLvl w:val="2"/>
    </w:pPr>
    <w:rPr>
      <w:rFonts w:eastAsiaTheme="majorEastAsia" w:cstheme="majorBidi"/>
      <w:b/>
      <w:color w:val="0B3D2E"/>
      <w:sz w:val="20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B3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14D7C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B34C7"/>
    <w:pPr>
      <w:keepNext/>
      <w:keepLines/>
      <w:spacing w:before="80" w:after="40"/>
      <w:outlineLvl w:val="4"/>
    </w:pPr>
    <w:rPr>
      <w:rFonts w:eastAsiaTheme="majorEastAsia" w:cstheme="majorBidi"/>
      <w:color w:val="014D7C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B3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1015B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B34C7"/>
    <w:pPr>
      <w:keepNext/>
      <w:keepLines/>
      <w:spacing w:before="40" w:after="0"/>
      <w:outlineLvl w:val="6"/>
    </w:pPr>
    <w:rPr>
      <w:rFonts w:eastAsiaTheme="majorEastAsia" w:cstheme="majorBidi"/>
      <w:color w:val="1015B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B34C7"/>
    <w:pPr>
      <w:keepNext/>
      <w:keepLines/>
      <w:spacing w:after="0"/>
      <w:outlineLvl w:val="7"/>
    </w:pPr>
    <w:rPr>
      <w:rFonts w:eastAsiaTheme="majorEastAsia" w:cstheme="majorBidi"/>
      <w:i/>
      <w:iCs/>
      <w:color w:val="090B64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B34C7"/>
    <w:pPr>
      <w:keepNext/>
      <w:keepLines/>
      <w:spacing w:after="0"/>
      <w:outlineLvl w:val="8"/>
    </w:pPr>
    <w:rPr>
      <w:rFonts w:eastAsiaTheme="majorEastAsia" w:cstheme="majorBidi"/>
      <w:color w:val="090B64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15FCA"/>
    <w:rPr>
      <w:rFonts w:ascii="Aptos ExtraBold" w:eastAsiaTheme="majorEastAsia" w:hAnsi="Aptos ExtraBold" w:cstheme="majorBidi"/>
      <w:b/>
      <w:color w:val="00C667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B34C7"/>
    <w:rPr>
      <w:rFonts w:asciiTheme="majorHAnsi" w:eastAsiaTheme="majorEastAsia" w:hAnsiTheme="majorHAnsi" w:cstheme="majorBidi"/>
      <w:b/>
      <w:color w:val="0E2841" w:themeColor="text2"/>
      <w:sz w:val="28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B34C7"/>
    <w:rPr>
      <w:rFonts w:eastAsiaTheme="majorEastAsia" w:cstheme="majorBidi"/>
      <w:color w:val="014D7C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B34C7"/>
    <w:rPr>
      <w:rFonts w:eastAsiaTheme="majorEastAsia" w:cstheme="majorBidi"/>
      <w:i/>
      <w:iCs/>
      <w:color w:val="014D7C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B34C7"/>
    <w:rPr>
      <w:rFonts w:eastAsiaTheme="majorEastAsia" w:cstheme="majorBidi"/>
      <w:color w:val="014D7C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B34C7"/>
    <w:rPr>
      <w:rFonts w:eastAsiaTheme="majorEastAsia" w:cstheme="majorBidi"/>
      <w:i/>
      <w:iCs/>
      <w:color w:val="1015B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B34C7"/>
    <w:rPr>
      <w:rFonts w:eastAsiaTheme="majorEastAsia" w:cstheme="majorBidi"/>
      <w:color w:val="1015B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B34C7"/>
    <w:rPr>
      <w:rFonts w:eastAsiaTheme="majorEastAsia" w:cstheme="majorBidi"/>
      <w:i/>
      <w:iCs/>
      <w:color w:val="090B64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B34C7"/>
    <w:rPr>
      <w:rFonts w:eastAsiaTheme="majorEastAsia" w:cstheme="majorBidi"/>
      <w:color w:val="090B64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43E8F"/>
    <w:pPr>
      <w:spacing w:after="80" w:line="240" w:lineRule="auto"/>
      <w:contextualSpacing/>
    </w:pPr>
    <w:rPr>
      <w:rFonts w:ascii="Aptos ExtraBold" w:eastAsiaTheme="majorEastAsia" w:hAnsi="Aptos ExtraBold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43E8F"/>
    <w:rPr>
      <w:rFonts w:ascii="Aptos ExtraBold" w:eastAsiaTheme="majorEastAsia" w:hAnsi="Aptos ExtraBold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B34C7"/>
    <w:pPr>
      <w:numPr>
        <w:ilvl w:val="1"/>
      </w:numPr>
    </w:pPr>
    <w:rPr>
      <w:rFonts w:eastAsiaTheme="majorEastAsia" w:cstheme="majorBidi"/>
      <w:color w:val="030422" w:themeColor="text1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B34C7"/>
    <w:rPr>
      <w:rFonts w:ascii="Aptos Light" w:eastAsiaTheme="majorEastAsia" w:hAnsi="Aptos Light" w:cstheme="majorBidi"/>
      <w:color w:val="030422" w:themeColor="text1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B34C7"/>
    <w:pPr>
      <w:spacing w:before="160"/>
      <w:jc w:val="center"/>
    </w:pPr>
    <w:rPr>
      <w:i/>
      <w:iCs/>
      <w:color w:val="148FCB"/>
    </w:rPr>
  </w:style>
  <w:style w:type="character" w:customStyle="1" w:styleId="CittChar">
    <w:name w:val="Citát Char"/>
    <w:basedOn w:val="Standardnpsmoodstavce"/>
    <w:link w:val="Citt"/>
    <w:uiPriority w:val="29"/>
    <w:rsid w:val="00AB34C7"/>
    <w:rPr>
      <w:rFonts w:ascii="Aptos Light" w:hAnsi="Aptos Light"/>
      <w:i/>
      <w:iCs/>
      <w:color w:val="148FCB"/>
    </w:rPr>
  </w:style>
  <w:style w:type="paragraph" w:styleId="Odstavecseseznamem">
    <w:name w:val="List Paragraph"/>
    <w:basedOn w:val="Normln"/>
    <w:uiPriority w:val="34"/>
    <w:qFormat/>
    <w:rsid w:val="00AB34C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B34C7"/>
    <w:rPr>
      <w:i/>
      <w:iCs/>
      <w:color w:val="014D7C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B34C7"/>
    <w:pPr>
      <w:pBdr>
        <w:top w:val="single" w:sz="4" w:space="10" w:color="014D7C" w:themeColor="accent1" w:themeShade="BF"/>
        <w:bottom w:val="single" w:sz="4" w:space="10" w:color="014D7C" w:themeColor="accent1" w:themeShade="BF"/>
      </w:pBdr>
      <w:spacing w:before="360" w:after="360"/>
      <w:ind w:left="864" w:right="864"/>
      <w:jc w:val="center"/>
    </w:pPr>
    <w:rPr>
      <w:i/>
      <w:iCs/>
      <w:color w:val="014D7C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B34C7"/>
    <w:rPr>
      <w:i/>
      <w:iCs/>
      <w:color w:val="014D7C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B34C7"/>
    <w:rPr>
      <w:b/>
      <w:bCs/>
      <w:smallCaps/>
      <w:color w:val="014D7C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AB34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AB34C7"/>
  </w:style>
  <w:style w:type="paragraph" w:styleId="Zpat">
    <w:name w:val="footer"/>
    <w:basedOn w:val="Normln"/>
    <w:link w:val="ZpatChar"/>
    <w:uiPriority w:val="99"/>
    <w:unhideWhenUsed/>
    <w:rsid w:val="00AB34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AB34C7"/>
  </w:style>
  <w:style w:type="character" w:styleId="Hypertextovodkaz">
    <w:name w:val="Hyperlink"/>
    <w:basedOn w:val="Standardnpsmoodstavce"/>
    <w:uiPriority w:val="99"/>
    <w:unhideWhenUsed/>
    <w:rsid w:val="00AB34C7"/>
    <w:rPr>
      <w:color w:val="0268A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AB34C7"/>
    <w:rPr>
      <w:color w:val="605E5C"/>
      <w:shd w:val="clear" w:color="auto" w:fill="E1DFDD"/>
    </w:rPr>
  </w:style>
  <w:style w:type="character" w:styleId="Zdraznnjemn">
    <w:name w:val="Subtle Emphasis"/>
    <w:basedOn w:val="Standardnpsmoodstavce"/>
    <w:uiPriority w:val="19"/>
    <w:qFormat/>
    <w:rsid w:val="00AB34C7"/>
    <w:rPr>
      <w:i/>
      <w:iCs/>
      <w:color w:val="148FCB"/>
    </w:rPr>
  </w:style>
  <w:style w:type="character" w:styleId="Odkazjemn">
    <w:name w:val="Subtle Reference"/>
    <w:basedOn w:val="Standardnpsmoodstavce"/>
    <w:uiPriority w:val="31"/>
    <w:qFormat/>
    <w:rsid w:val="00AB34C7"/>
    <w:rPr>
      <w:smallCaps/>
      <w:color w:val="030422" w:themeColor="text1"/>
    </w:rPr>
  </w:style>
  <w:style w:type="table" w:styleId="Mkatabulky">
    <w:name w:val="Table Grid"/>
    <w:basedOn w:val="Normlntabulka"/>
    <w:uiPriority w:val="39"/>
    <w:rsid w:val="005845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ulkasmkou2zvraznn2">
    <w:name w:val="Grid Table 2 Accent 2"/>
    <w:basedOn w:val="Normlntabulka"/>
    <w:uiPriority w:val="47"/>
    <w:rsid w:val="005845FA"/>
    <w:pPr>
      <w:spacing w:after="0" w:line="240" w:lineRule="auto"/>
    </w:pPr>
    <w:tblPr>
      <w:tblStyleRowBandSize w:val="1"/>
      <w:tblStyleColBandSize w:val="1"/>
      <w:tblBorders>
        <w:top w:val="single" w:sz="2" w:space="0" w:color="43FFA4" w:themeColor="accent2" w:themeTint="99"/>
        <w:bottom w:val="single" w:sz="2" w:space="0" w:color="43FFA4" w:themeColor="accent2" w:themeTint="99"/>
        <w:insideH w:val="single" w:sz="2" w:space="0" w:color="43FFA4" w:themeColor="accent2" w:themeTint="99"/>
        <w:insideV w:val="single" w:sz="2" w:space="0" w:color="43FFA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3FFA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3FFA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FFE0" w:themeFill="accent2" w:themeFillTint="33"/>
      </w:tcPr>
    </w:tblStylePr>
    <w:tblStylePr w:type="band1Horz">
      <w:tblPr/>
      <w:tcPr>
        <w:shd w:val="clear" w:color="auto" w:fill="C0FFE0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hart" Target="charts/chart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cs-CZ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0" i="0" u="none" strike="noStrike" kern="1200" cap="none" spc="50" normalizeH="0" baseline="0">
              <a:solidFill>
                <a:schemeClr val="tx1"/>
              </a:solidFill>
              <a:latin typeface="+mj-lt"/>
              <a:ea typeface="+mj-ea"/>
              <a:cs typeface="+mj-cs"/>
            </a:defRPr>
          </a:pPr>
          <a:endParaRPr lang="cs-CZ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List1!$B$1</c:f>
              <c:strCache>
                <c:ptCount val="1"/>
                <c:pt idx="0">
                  <c:v>Řada 1</c:v>
                </c:pt>
              </c:strCache>
            </c:strRef>
          </c:tx>
          <c:spPr>
            <a:solidFill>
              <a:schemeClr val="accent1">
                <a:alpha val="70000"/>
              </a:schemeClr>
            </a:solidFill>
            <a:ln>
              <a:noFill/>
            </a:ln>
            <a:effectLst/>
          </c:spPr>
          <c:invertIfNegative val="0"/>
          <c:cat>
            <c:strRef>
              <c:f>List1!$A$2:$A$5</c:f>
              <c:strCache>
                <c:ptCount val="4"/>
                <c:pt idx="0">
                  <c:v>Kategorie 1</c:v>
                </c:pt>
                <c:pt idx="1">
                  <c:v>Kategorie 2</c:v>
                </c:pt>
                <c:pt idx="2">
                  <c:v>Kategorie 3</c:v>
                </c:pt>
                <c:pt idx="3">
                  <c:v>Kategorie 4</c:v>
                </c:pt>
              </c:strCache>
            </c:strRef>
          </c:cat>
          <c:val>
            <c:numRef>
              <c:f>List1!$B$2:$B$5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384-4C01-8B59-2DEBB205D630}"/>
            </c:ext>
          </c:extLst>
        </c:ser>
        <c:ser>
          <c:idx val="1"/>
          <c:order val="1"/>
          <c:tx>
            <c:strRef>
              <c:f>List1!$C$1</c:f>
              <c:strCache>
                <c:ptCount val="1"/>
                <c:pt idx="0">
                  <c:v>Řada 2</c:v>
                </c:pt>
              </c:strCache>
            </c:strRef>
          </c:tx>
          <c:spPr>
            <a:solidFill>
              <a:schemeClr val="accent2">
                <a:alpha val="70000"/>
              </a:schemeClr>
            </a:solidFill>
            <a:ln>
              <a:noFill/>
            </a:ln>
            <a:effectLst/>
          </c:spPr>
          <c:invertIfNegative val="0"/>
          <c:cat>
            <c:strRef>
              <c:f>List1!$A$2:$A$5</c:f>
              <c:strCache>
                <c:ptCount val="4"/>
                <c:pt idx="0">
                  <c:v>Kategorie 1</c:v>
                </c:pt>
                <c:pt idx="1">
                  <c:v>Kategorie 2</c:v>
                </c:pt>
                <c:pt idx="2">
                  <c:v>Kategorie 3</c:v>
                </c:pt>
                <c:pt idx="3">
                  <c:v>Kategorie 4</c:v>
                </c:pt>
              </c:strCache>
            </c:strRef>
          </c:cat>
          <c:val>
            <c:numRef>
              <c:f>List1!$C$2:$C$5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384-4C01-8B59-2DEBB205D630}"/>
            </c:ext>
          </c:extLst>
        </c:ser>
        <c:ser>
          <c:idx val="2"/>
          <c:order val="2"/>
          <c:tx>
            <c:strRef>
              <c:f>List1!$D$1</c:f>
              <c:strCache>
                <c:ptCount val="1"/>
                <c:pt idx="0">
                  <c:v>Řada 3</c:v>
                </c:pt>
              </c:strCache>
            </c:strRef>
          </c:tx>
          <c:spPr>
            <a:solidFill>
              <a:schemeClr val="accent3">
                <a:alpha val="70000"/>
              </a:schemeClr>
            </a:solidFill>
            <a:ln>
              <a:noFill/>
            </a:ln>
            <a:effectLst/>
          </c:spPr>
          <c:invertIfNegative val="0"/>
          <c:cat>
            <c:strRef>
              <c:f>List1!$A$2:$A$5</c:f>
              <c:strCache>
                <c:ptCount val="4"/>
                <c:pt idx="0">
                  <c:v>Kategorie 1</c:v>
                </c:pt>
                <c:pt idx="1">
                  <c:v>Kategorie 2</c:v>
                </c:pt>
                <c:pt idx="2">
                  <c:v>Kategorie 3</c:v>
                </c:pt>
                <c:pt idx="3">
                  <c:v>Kategorie 4</c:v>
                </c:pt>
              </c:strCache>
            </c:strRef>
          </c:cat>
          <c:val>
            <c:numRef>
              <c:f>List1!$D$2:$D$5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C384-4C01-8B59-2DEBB205D63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80"/>
        <c:overlap val="25"/>
        <c:axId val="1775460416"/>
        <c:axId val="1775459456"/>
      </c:barChart>
      <c:catAx>
        <c:axId val="17754604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587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none" spc="20" normalizeH="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775459456"/>
        <c:crosses val="autoZero"/>
        <c:auto val="1"/>
        <c:lblAlgn val="ctr"/>
        <c:lblOffset val="100"/>
        <c:noMultiLvlLbl val="0"/>
      </c:catAx>
      <c:valAx>
        <c:axId val="17754594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2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7754604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cs-CZ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solidFill>
        <a:schemeClr val="bg1"/>
      </a:solidFill>
      <a:round/>
    </a:ln>
    <a:effectLst/>
  </c:spPr>
  <c:txPr>
    <a:bodyPr/>
    <a:lstStyle/>
    <a:p>
      <a:pPr>
        <a:defRPr>
          <a:solidFill>
            <a:schemeClr val="tx1"/>
          </a:solidFill>
        </a:defRPr>
      </a:pPr>
      <a:endParaRPr lang="cs-CZ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587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 cap="none" spc="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70000"/>
        </a:schemeClr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70000"/>
        </a:schemeClr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>
            <a:alpha val="70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70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 baseline="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1600" b="0" i="0" kern="1200" cap="none" spc="5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587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 spc="20" baseline="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Motiv Office">
  <a:themeElements>
    <a:clrScheme name="Vlastní 2">
      <a:dk1>
        <a:srgbClr val="030422"/>
      </a:dk1>
      <a:lt1>
        <a:sysClr val="window" lastClr="FFFFFF"/>
      </a:lt1>
      <a:dk2>
        <a:srgbClr val="0E2841"/>
      </a:dk2>
      <a:lt2>
        <a:srgbClr val="C7D4DD"/>
      </a:lt2>
      <a:accent1>
        <a:srgbClr val="0268A6"/>
      </a:accent1>
      <a:accent2>
        <a:srgbClr val="00C667"/>
      </a:accent2>
      <a:accent3>
        <a:srgbClr val="215E99"/>
      </a:accent3>
      <a:accent4>
        <a:srgbClr val="00C667"/>
      </a:accent4>
      <a:accent5>
        <a:srgbClr val="153D64"/>
      </a:accent5>
      <a:accent6>
        <a:srgbClr val="C1E4F5"/>
      </a:accent6>
      <a:hlink>
        <a:srgbClr val="0268A6"/>
      </a:hlink>
      <a:folHlink>
        <a:srgbClr val="00C667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65447B676E6514A85FBD435744BA94D" ma:contentTypeVersion="12" ma:contentTypeDescription="Vytvoří nový dokument" ma:contentTypeScope="" ma:versionID="12401833dd7f5abdcdbbc48ff3c751a8">
  <xsd:schema xmlns:xsd="http://www.w3.org/2001/XMLSchema" xmlns:xs="http://www.w3.org/2001/XMLSchema" xmlns:p="http://schemas.microsoft.com/office/2006/metadata/properties" xmlns:ns2="d4e42a87-4aec-443b-b938-326c42aa8ac6" xmlns:ns3="d256a209-1051-4bc9-a74d-f766fb6e49f2" targetNamespace="http://schemas.microsoft.com/office/2006/metadata/properties" ma:root="true" ma:fieldsID="caad04536bce6beb3f67202f537c67f0" ns2:_="" ns3:_="">
    <xsd:import namespace="d4e42a87-4aec-443b-b938-326c42aa8ac6"/>
    <xsd:import namespace="d256a209-1051-4bc9-a74d-f766fb6e49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e42a87-4aec-443b-b938-326c42aa8a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7b1b0a06-c1e9-48ee-ba07-1b30d3b655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56a209-1051-4bc9-a74d-f766fb6e49f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d1798c0-1efb-4d78-ace2-034628b1f106}" ma:internalName="TaxCatchAll" ma:showField="CatchAllData" ma:web="d256a209-1051-4bc9-a74d-f766fb6e49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256a209-1051-4bc9-a74d-f766fb6e49f2" xsi:nil="true"/>
    <lcf76f155ced4ddcb4097134ff3c332f xmlns="d4e42a87-4aec-443b-b938-326c42aa8ac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D31ECB6-151B-447B-8FF2-68EE74BC347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6CAF55A-0D19-4888-8F4E-ACF172879EAE}"/>
</file>

<file path=customXml/itemProps3.xml><?xml version="1.0" encoding="utf-8"?>
<ds:datastoreItem xmlns:ds="http://schemas.openxmlformats.org/officeDocument/2006/customXml" ds:itemID="{F990D418-B82C-4931-AE16-B4B5ABE1D1A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910C53E-7136-43D1-8E5A-5B30EC65EAF2}">
  <ds:schemaRefs>
    <ds:schemaRef ds:uri="http://schemas.microsoft.com/office/2006/metadata/properties"/>
    <ds:schemaRef ds:uri="http://schemas.microsoft.com/office/infopath/2007/PartnerControls"/>
    <ds:schemaRef ds:uri="79186a21-2b32-43ea-9f36-2b16585ba2b5"/>
    <ds:schemaRef ds:uri="ba627341-5574-4969-881d-1dc12a9e439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Revoltum Engineering &amp; Services, s.r.o.</dc:creator>
  <cp:keywords/>
  <dc:description/>
  <cp:lastModifiedBy>Lenka Klimešová</cp:lastModifiedBy>
  <cp:revision>12</cp:revision>
  <cp:lastPrinted>2026-03-01T13:02:00Z</cp:lastPrinted>
  <dcterms:created xsi:type="dcterms:W3CDTF">2026-04-20T05:15:00Z</dcterms:created>
  <dcterms:modified xsi:type="dcterms:W3CDTF">2026-08-26T10:19:00Z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0x010100165447B676E6514A85FBD435744BA94D</vt:lpwstr>
  </property>
  <property fmtid="{D5CDD505-2E9C-101B-9397-08002B2CF9AE}" pid="3" name="MediaServiceImageTags">
    <vt:lpwstr/>
  </property>
</Properties>
</file>