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537B2" w14:textId="77777777" w:rsidR="0070154C" w:rsidRDefault="0070154C" w:rsidP="00B16292">
      <w:pPr>
        <w:spacing w:line="480" w:lineRule="auto"/>
        <w:jc w:val="center"/>
        <w:rPr>
          <w:rFonts w:ascii="Times New Roman" w:hAnsi="Times New Roman" w:cs="Times New Roman"/>
          <w:b/>
          <w:sz w:val="24"/>
        </w:rPr>
      </w:pPr>
    </w:p>
    <w:p w14:paraId="6C56992E" w14:textId="77777777" w:rsidR="009C1769" w:rsidRDefault="009C1769" w:rsidP="00B16292">
      <w:pPr>
        <w:spacing w:line="480" w:lineRule="auto"/>
        <w:jc w:val="center"/>
        <w:rPr>
          <w:rFonts w:ascii="Times New Roman" w:hAnsi="Times New Roman" w:cs="Times New Roman"/>
          <w:b/>
          <w:sz w:val="24"/>
        </w:rPr>
      </w:pPr>
    </w:p>
    <w:p w14:paraId="513F5AAB" w14:textId="77777777" w:rsidR="009C1769" w:rsidRDefault="009C1769" w:rsidP="00B16292">
      <w:pPr>
        <w:spacing w:line="480" w:lineRule="auto"/>
        <w:jc w:val="center"/>
        <w:rPr>
          <w:rFonts w:ascii="Times New Roman" w:hAnsi="Times New Roman" w:cs="Times New Roman"/>
          <w:b/>
          <w:sz w:val="24"/>
        </w:rPr>
      </w:pPr>
    </w:p>
    <w:p w14:paraId="06862DC3" w14:textId="77777777" w:rsidR="009C1769" w:rsidRDefault="009C1769" w:rsidP="00B16292">
      <w:pPr>
        <w:spacing w:line="480" w:lineRule="auto"/>
        <w:jc w:val="center"/>
        <w:rPr>
          <w:rFonts w:ascii="Times New Roman" w:hAnsi="Times New Roman" w:cs="Times New Roman"/>
          <w:b/>
          <w:sz w:val="24"/>
        </w:rPr>
      </w:pPr>
    </w:p>
    <w:p w14:paraId="64964AEF" w14:textId="77777777" w:rsidR="00546CB9" w:rsidRDefault="00546CB9" w:rsidP="00B16292">
      <w:pPr>
        <w:spacing w:line="480" w:lineRule="auto"/>
        <w:jc w:val="center"/>
        <w:rPr>
          <w:rFonts w:ascii="Times New Roman" w:hAnsi="Times New Roman" w:cs="Times New Roman"/>
          <w:b/>
          <w:sz w:val="24"/>
        </w:rPr>
      </w:pPr>
    </w:p>
    <w:p w14:paraId="74C59C65" w14:textId="1B22A065" w:rsidR="005F3ABC" w:rsidRPr="004F3934" w:rsidRDefault="005F3ABC" w:rsidP="005F3ABC">
      <w:pPr>
        <w:spacing w:line="480" w:lineRule="auto"/>
        <w:jc w:val="center"/>
        <w:rPr>
          <w:rFonts w:ascii="Times New Roman" w:hAnsi="Times New Roman" w:cs="Times New Roman"/>
          <w:sz w:val="24"/>
        </w:rPr>
      </w:pPr>
      <w:r w:rsidRPr="00463B46">
        <w:rPr>
          <w:rFonts w:ascii="Times New Roman" w:hAnsi="Times New Roman" w:cs="Times New Roman"/>
          <w:sz w:val="24"/>
          <w:highlight w:val="yellow"/>
        </w:rPr>
        <w:t>Working title:</w:t>
      </w:r>
      <w:r>
        <w:rPr>
          <w:rFonts w:ascii="Times New Roman" w:hAnsi="Times New Roman" w:cs="Times New Roman"/>
          <w:sz w:val="24"/>
        </w:rPr>
        <w:t xml:space="preserve"> </w:t>
      </w:r>
      <w:r w:rsidR="00234B2A">
        <w:rPr>
          <w:rFonts w:ascii="Times New Roman" w:hAnsi="Times New Roman" w:cs="Times New Roman"/>
          <w:sz w:val="24"/>
        </w:rPr>
        <w:t>Feature-based Attention and Reward: Insights from Steady-state Visually Evoked P</w:t>
      </w:r>
      <w:r w:rsidR="0047282E">
        <w:rPr>
          <w:rFonts w:ascii="Times New Roman" w:hAnsi="Times New Roman" w:cs="Times New Roman"/>
          <w:sz w:val="24"/>
        </w:rPr>
        <w:t>otentials</w:t>
      </w:r>
    </w:p>
    <w:p w14:paraId="455F6015" w14:textId="77777777" w:rsidR="00234B2A" w:rsidRDefault="00234B2A" w:rsidP="005F3ABC">
      <w:pPr>
        <w:spacing w:line="480" w:lineRule="auto"/>
        <w:jc w:val="center"/>
        <w:rPr>
          <w:rFonts w:ascii="Times New Roman" w:hAnsi="Times New Roman" w:cs="Times New Roman"/>
          <w:sz w:val="24"/>
        </w:rPr>
      </w:pPr>
    </w:p>
    <w:p w14:paraId="18625D64" w14:textId="240094F6" w:rsidR="005F3ABC" w:rsidRPr="0047282E" w:rsidRDefault="005F3ABC" w:rsidP="005F3ABC">
      <w:pPr>
        <w:spacing w:line="480" w:lineRule="auto"/>
        <w:jc w:val="center"/>
        <w:rPr>
          <w:rFonts w:ascii="Times New Roman" w:hAnsi="Times New Roman" w:cs="Times New Roman"/>
          <w:sz w:val="24"/>
          <w:vertAlign w:val="superscript"/>
        </w:rPr>
      </w:pPr>
      <w:r w:rsidRPr="004F3934">
        <w:rPr>
          <w:rFonts w:ascii="Times New Roman" w:hAnsi="Times New Roman" w:cs="Times New Roman"/>
          <w:sz w:val="24"/>
        </w:rPr>
        <w:t>Ivan Grahek</w:t>
      </w:r>
      <w:r w:rsidR="0047282E">
        <w:rPr>
          <w:rFonts w:ascii="Times New Roman" w:hAnsi="Times New Roman" w:cs="Times New Roman"/>
          <w:sz w:val="24"/>
          <w:vertAlign w:val="superscript"/>
        </w:rPr>
        <w:t>1+*</w:t>
      </w:r>
      <w:r w:rsidR="0047282E">
        <w:rPr>
          <w:rFonts w:ascii="Times New Roman" w:hAnsi="Times New Roman" w:cs="Times New Roman"/>
          <w:sz w:val="24"/>
        </w:rPr>
        <w:t>, Antonio Schettino</w:t>
      </w:r>
      <w:r w:rsidR="0047282E">
        <w:rPr>
          <w:rFonts w:ascii="Times New Roman" w:hAnsi="Times New Roman" w:cs="Times New Roman"/>
          <w:sz w:val="24"/>
          <w:vertAlign w:val="superscript"/>
        </w:rPr>
        <w:t>1+</w:t>
      </w:r>
      <w:r w:rsidRPr="004F3934">
        <w:rPr>
          <w:rFonts w:ascii="Times New Roman" w:hAnsi="Times New Roman" w:cs="Times New Roman"/>
          <w:sz w:val="24"/>
        </w:rPr>
        <w:t xml:space="preserve">, </w:t>
      </w:r>
      <w:r w:rsidR="0047282E">
        <w:rPr>
          <w:rFonts w:ascii="Times New Roman" w:hAnsi="Times New Roman" w:cs="Times New Roman"/>
          <w:sz w:val="24"/>
        </w:rPr>
        <w:t>Gilles Pourtois</w:t>
      </w:r>
      <w:r w:rsidR="0047282E">
        <w:rPr>
          <w:rFonts w:ascii="Times New Roman" w:hAnsi="Times New Roman" w:cs="Times New Roman"/>
          <w:sz w:val="24"/>
          <w:vertAlign w:val="superscript"/>
        </w:rPr>
        <w:t>1</w:t>
      </w:r>
      <w:r w:rsidRPr="004F3934">
        <w:rPr>
          <w:rFonts w:ascii="Times New Roman" w:hAnsi="Times New Roman" w:cs="Times New Roman"/>
          <w:sz w:val="24"/>
        </w:rPr>
        <w:t>, Ernst H.W. Koster</w:t>
      </w:r>
      <w:r w:rsidRPr="004F3934">
        <w:rPr>
          <w:rFonts w:ascii="Times New Roman" w:hAnsi="Times New Roman" w:cs="Times New Roman"/>
          <w:sz w:val="24"/>
          <w:vertAlign w:val="superscript"/>
        </w:rPr>
        <w:t>1</w:t>
      </w:r>
      <w:r w:rsidR="0047282E">
        <w:rPr>
          <w:rFonts w:ascii="Times New Roman" w:hAnsi="Times New Roman" w:cs="Times New Roman"/>
          <w:sz w:val="24"/>
        </w:rPr>
        <w:t xml:space="preserve">, &amp; </w:t>
      </w:r>
      <w:r w:rsidR="0047282E" w:rsidRPr="0047282E">
        <w:rPr>
          <w:rFonts w:ascii="Times New Roman" w:hAnsi="Times New Roman" w:cs="Times New Roman"/>
          <w:sz w:val="24"/>
        </w:rPr>
        <w:t>Søren K</w:t>
      </w:r>
      <w:r w:rsidR="0047282E">
        <w:rPr>
          <w:rFonts w:ascii="Times New Roman" w:hAnsi="Times New Roman" w:cs="Times New Roman"/>
          <w:sz w:val="24"/>
        </w:rPr>
        <w:t>.</w:t>
      </w:r>
      <w:r w:rsidR="0047282E" w:rsidRPr="0047282E">
        <w:rPr>
          <w:rFonts w:ascii="Times New Roman" w:hAnsi="Times New Roman" w:cs="Times New Roman"/>
          <w:sz w:val="24"/>
        </w:rPr>
        <w:t xml:space="preserve"> Andersen</w:t>
      </w:r>
      <w:r w:rsidR="0047282E">
        <w:rPr>
          <w:rFonts w:ascii="Times New Roman" w:hAnsi="Times New Roman" w:cs="Times New Roman"/>
          <w:sz w:val="24"/>
          <w:vertAlign w:val="superscript"/>
        </w:rPr>
        <w:t>2</w:t>
      </w:r>
    </w:p>
    <w:p w14:paraId="10A59581" w14:textId="77777777" w:rsidR="005F3ABC" w:rsidRPr="004F3934" w:rsidRDefault="005F3ABC" w:rsidP="005F3ABC">
      <w:pPr>
        <w:spacing w:after="0" w:line="480" w:lineRule="auto"/>
        <w:jc w:val="center"/>
        <w:rPr>
          <w:rFonts w:ascii="Times New Roman" w:hAnsi="Times New Roman" w:cs="Times New Roman"/>
          <w:sz w:val="24"/>
          <w:vertAlign w:val="superscript"/>
        </w:rPr>
      </w:pPr>
    </w:p>
    <w:p w14:paraId="3B6536FA" w14:textId="77777777" w:rsidR="005F3ABC" w:rsidRDefault="005F3ABC" w:rsidP="005F3ABC">
      <w:pPr>
        <w:pStyle w:val="ListParagraph"/>
        <w:numPr>
          <w:ilvl w:val="0"/>
          <w:numId w:val="23"/>
        </w:numPr>
        <w:spacing w:after="0" w:line="480" w:lineRule="auto"/>
        <w:rPr>
          <w:rFonts w:ascii="Times New Roman" w:hAnsi="Times New Roman" w:cs="Times New Roman"/>
          <w:i/>
          <w:sz w:val="24"/>
        </w:rPr>
      </w:pPr>
      <w:r w:rsidRPr="004F3934">
        <w:rPr>
          <w:rFonts w:ascii="Times New Roman" w:hAnsi="Times New Roman" w:cs="Times New Roman"/>
          <w:i/>
          <w:sz w:val="24"/>
        </w:rPr>
        <w:t>Department of Experimental Clinical and Health Psychology, Ghent University, Henri Dunantlaan 2, B-9000, Ghent, Belgium</w:t>
      </w:r>
    </w:p>
    <w:p w14:paraId="18BF8549" w14:textId="737213F1" w:rsidR="005F3ABC" w:rsidRPr="009508C9" w:rsidRDefault="009508C9" w:rsidP="009508C9">
      <w:pPr>
        <w:pStyle w:val="ListParagraph"/>
        <w:numPr>
          <w:ilvl w:val="0"/>
          <w:numId w:val="23"/>
        </w:numPr>
        <w:spacing w:after="0" w:line="480" w:lineRule="auto"/>
        <w:rPr>
          <w:rFonts w:ascii="Times New Roman" w:hAnsi="Times New Roman" w:cs="Times New Roman"/>
          <w:i/>
          <w:sz w:val="24"/>
        </w:rPr>
      </w:pPr>
      <w:r w:rsidRPr="009508C9">
        <w:rPr>
          <w:rFonts w:ascii="Times New Roman" w:hAnsi="Times New Roman" w:cs="Times New Roman"/>
          <w:i/>
          <w:sz w:val="24"/>
        </w:rPr>
        <w:t xml:space="preserve">School of Psychology, University of Aberdeen, William Guild Building, Aberdeen, AB24 3FX, United Kingdom </w:t>
      </w:r>
    </w:p>
    <w:p w14:paraId="06690735" w14:textId="77777777" w:rsidR="00546CB9" w:rsidRPr="006012E6" w:rsidRDefault="00546CB9" w:rsidP="006012E6">
      <w:pPr>
        <w:pStyle w:val="ListParagraph"/>
        <w:spacing w:after="0" w:line="480" w:lineRule="auto"/>
        <w:rPr>
          <w:rFonts w:ascii="Times New Roman" w:hAnsi="Times New Roman" w:cs="Times New Roman"/>
          <w:b/>
          <w:sz w:val="24"/>
        </w:rPr>
      </w:pPr>
    </w:p>
    <w:p w14:paraId="793E5DDA" w14:textId="77777777" w:rsidR="00AB4F3E" w:rsidRDefault="00AB4F3E">
      <w:pPr>
        <w:rPr>
          <w:rFonts w:ascii="Times New Roman" w:hAnsi="Times New Roman" w:cs="Times New Roman"/>
          <w:sz w:val="24"/>
        </w:rPr>
      </w:pPr>
    </w:p>
    <w:p w14:paraId="7A73ED13" w14:textId="77777777" w:rsidR="009508C9" w:rsidRDefault="009508C9">
      <w:pPr>
        <w:rPr>
          <w:rFonts w:ascii="Times New Roman" w:hAnsi="Times New Roman" w:cs="Times New Roman"/>
          <w:sz w:val="24"/>
        </w:rPr>
      </w:pPr>
    </w:p>
    <w:p w14:paraId="4C5ADABA" w14:textId="77777777" w:rsidR="009508C9" w:rsidRDefault="009508C9">
      <w:pPr>
        <w:rPr>
          <w:rFonts w:ascii="Times New Roman" w:hAnsi="Times New Roman" w:cs="Times New Roman"/>
          <w:sz w:val="24"/>
        </w:rPr>
      </w:pPr>
    </w:p>
    <w:p w14:paraId="76F5E0BD" w14:textId="77777777" w:rsidR="00234B2A" w:rsidRDefault="00234B2A">
      <w:pPr>
        <w:rPr>
          <w:rFonts w:ascii="Times New Roman" w:hAnsi="Times New Roman" w:cs="Times New Roman"/>
          <w:sz w:val="24"/>
        </w:rPr>
      </w:pPr>
    </w:p>
    <w:p w14:paraId="51BBAE11" w14:textId="77777777" w:rsidR="00234B2A" w:rsidRDefault="00234B2A">
      <w:pPr>
        <w:rPr>
          <w:rFonts w:ascii="Times New Roman" w:hAnsi="Times New Roman" w:cs="Times New Roman"/>
          <w:sz w:val="24"/>
        </w:rPr>
      </w:pPr>
    </w:p>
    <w:p w14:paraId="5485EFE7" w14:textId="77777777" w:rsidR="009508C9" w:rsidRDefault="009508C9">
      <w:pPr>
        <w:rPr>
          <w:rFonts w:ascii="Times New Roman" w:hAnsi="Times New Roman" w:cs="Times New Roman"/>
          <w:b/>
          <w:sz w:val="24"/>
        </w:rPr>
      </w:pPr>
    </w:p>
    <w:p w14:paraId="68A35A8C" w14:textId="77777777" w:rsidR="00546CB9" w:rsidRDefault="00F50A4B" w:rsidP="003E5AB6">
      <w:pPr>
        <w:pStyle w:val="Heading1"/>
        <w:spacing w:before="0"/>
      </w:pPr>
      <w:r w:rsidRPr="00F50A4B">
        <w:lastRenderedPageBreak/>
        <w:t>Abstract</w:t>
      </w:r>
    </w:p>
    <w:p w14:paraId="7A9403DE" w14:textId="77777777" w:rsidR="00C75204" w:rsidRPr="00C75204" w:rsidRDefault="00C75204" w:rsidP="00C75204"/>
    <w:p w14:paraId="11E88A9B" w14:textId="5EC52A73" w:rsidR="00180A9B" w:rsidRPr="00180A9B" w:rsidRDefault="00180A9B" w:rsidP="00180A9B">
      <w:pPr>
        <w:spacing w:line="480" w:lineRule="auto"/>
        <w:jc w:val="both"/>
      </w:pPr>
      <w:r>
        <w:rPr>
          <w:rFonts w:ascii="Times New Roman" w:hAnsi="Times New Roman" w:cs="Times New Roman"/>
          <w:sz w:val="24"/>
        </w:rPr>
        <w:t xml:space="preserve">Selective attention is thought to prioritize object features related to high rewards by increasing their saliency and decreasing the saliency of other features. This mechanism is proposed to be linked to the activity of the visual cortex. Electrophysiological studies have provided support for this account, but have focused on transient attention and neural activity when either high or low-rewarded feature is present. In this study we investigated the influence of reward presence and magnitude on the allocation of sustained feature-based attention using steady-state visual evoked potentials (SSVEPs). SSVEPs represent oscillatory responses of the visual cortex and allow for tracking of simultaneous allocation of attention toward multiple features. We recorded a 64-channel EEG in 40 participants while they completed the Random Dot Kinematogram task. Dots of two colors were tagged with different frequencies. On each trial participants were instructed to attend one of the colors and detect coherent movements. After the first block (baseline), participants were informed that they could earn rewards (training), and that the two colors were paired with high or low probability of earning a reward. In the third block (test) participants could not earn any rewards. Participants were faster and more accurate in the training and test blocks compared to baseline. No effect of reward magnitude on behavior was found. SSVEP amplitudes were increased for attended compared to unattended color. The amplitudes were decreased in training compared to baseline and test blocks. While the amplitude of the high-reward color remained the same across the blocks, the amplitude of the low-reward color was reduced in the training block. These results provide first evidence that SSVEPs can be used to detect the influence of rewards on feature-based sustained attention. Also, they provide an insight into the dynamics and trade-offs related to processing of features linked to different reward magnitudes. </w:t>
      </w:r>
    </w:p>
    <w:p w14:paraId="5DD58B7E" w14:textId="541412EB" w:rsidR="00EF0F5E" w:rsidRDefault="006B7FEC" w:rsidP="00EF0F5E">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Keywords: </w:t>
      </w:r>
      <w:r w:rsidR="009508C9">
        <w:rPr>
          <w:rFonts w:ascii="Times New Roman" w:hAnsi="Times New Roman" w:cs="Times New Roman"/>
          <w:sz w:val="24"/>
        </w:rPr>
        <w:t>attention</w:t>
      </w:r>
      <w:r>
        <w:rPr>
          <w:rFonts w:ascii="Times New Roman" w:hAnsi="Times New Roman" w:cs="Times New Roman"/>
          <w:sz w:val="24"/>
        </w:rPr>
        <w:t>;</w:t>
      </w:r>
      <w:r w:rsidR="00F00059">
        <w:rPr>
          <w:rFonts w:ascii="Times New Roman" w:hAnsi="Times New Roman" w:cs="Times New Roman"/>
          <w:sz w:val="24"/>
        </w:rPr>
        <w:t xml:space="preserve"> </w:t>
      </w:r>
      <w:r w:rsidR="009508C9">
        <w:rPr>
          <w:rFonts w:ascii="Times New Roman" w:hAnsi="Times New Roman" w:cs="Times New Roman"/>
          <w:sz w:val="24"/>
        </w:rPr>
        <w:t>EEG; feature-based attention; reward; motivation; steady-state visually evoked potentials; frequency tagging</w:t>
      </w:r>
    </w:p>
    <w:p w14:paraId="64554A6C" w14:textId="77777777" w:rsidR="00EF0F5E" w:rsidRDefault="00042B55" w:rsidP="003E5AB6">
      <w:pPr>
        <w:pStyle w:val="Heading1"/>
        <w:spacing w:before="0"/>
      </w:pPr>
      <w:r w:rsidRPr="00E21032">
        <w:t>Introduction</w:t>
      </w:r>
    </w:p>
    <w:p w14:paraId="7FF8EFA3" w14:textId="77777777" w:rsidR="0098037D" w:rsidRDefault="00B035F3" w:rsidP="00A733BB">
      <w:pPr>
        <w:spacing w:line="480" w:lineRule="auto"/>
        <w:jc w:val="both"/>
        <w:rPr>
          <w:rFonts w:ascii="Times New Roman" w:hAnsi="Times New Roman" w:cs="Times New Roman"/>
          <w:sz w:val="24"/>
        </w:rPr>
      </w:pPr>
      <w:r>
        <w:rPr>
          <w:rFonts w:ascii="Times New Roman" w:hAnsi="Times New Roman" w:cs="Times New Roman"/>
          <w:sz w:val="24"/>
        </w:rPr>
        <w:tab/>
      </w:r>
      <w:r w:rsidR="007F65AA">
        <w:rPr>
          <w:rFonts w:ascii="Times New Roman" w:hAnsi="Times New Roman" w:cs="Times New Roman"/>
          <w:sz w:val="24"/>
        </w:rPr>
        <w:t>Given the limited processing capacity, selective attention is crucial in choosing which stimuli will be processed</w:t>
      </w:r>
      <w:r w:rsidR="00293801">
        <w:rPr>
          <w:rFonts w:ascii="Times New Roman" w:hAnsi="Times New Roman" w:cs="Times New Roman"/>
          <w:sz w:val="24"/>
        </w:rPr>
        <w:t xml:space="preserve"> </w:t>
      </w:r>
      <w:r w:rsidR="00293801">
        <w:rPr>
          <w:rFonts w:ascii="Times New Roman" w:hAnsi="Times New Roman" w:cs="Times New Roman"/>
          <w:sz w:val="24"/>
        </w:rPr>
        <w:fldChar w:fldCharType="begin" w:fldLock="1"/>
      </w:r>
      <w:r w:rsidR="00293801">
        <w:rPr>
          <w:rFonts w:ascii="Times New Roman" w:hAnsi="Times New Roman" w:cs="Times New Roman"/>
          <w:sz w:val="24"/>
        </w:rPr>
        <w:instrText>ADDIN CSL_CITATION { "citationItems" : [ { "id" : "ITEM-1", "itemData" : { "DOI" : "10.1146/annurev.psych.093008.100427", "ISBN" : "1545-2085 (Electronic)\\n0066-4308 (Linking)", "ISSN" : "0066-4308", "PMID" : "19575619", "abstract" : "Attention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over\u2014the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 "author" : [ { "dropping-particle" : "", "family" : "Chun", "given" : "Marvin M.", "non-dropping-particle" : "", "parse-names" : false, "suffix" : "" }, { "dropping-particle" : "", "family" : "Golomb", "given" : "Julie D.", "non-dropping-particle" : "", "parse-names" : false, "suffix" : "" }, { "dropping-particle" : "", "family" : "Turk-Browne", "given" : "Nicholas B.", "non-dropping-particle" : "", "parse-names" : false, "suffix" : "" } ], "container-title" : "Annual Review of Psychology", "id" : "ITEM-1", "issue" : "1", "issued" : { "date-parts" : [ [ "2011" ] ] }, "page" : "73-101", "title" : "A Taxonomy of External and Internal Attention", "type" : "article-journal", "volume" : "62" }, "uris" : [ "http://www.mendeley.com/documents/?uuid=5e4f19ef-76d4-4ce3-86b1-193c5d86c134" ] }, { "id" : "ITEM-2", "itemData" : { "DOI" : "10.1146/annurev.ne.18.030195.001205", "ISBN" : "0147-006X (Print) 0147-006X (Linking)", "ISSN" : "0147-006X", "PMID" : "7605061", "abstract" : "The two basic phenomena that define the problem of visual attention can be illustrated in a simple example. Consider the arrays shown in each panel of Figure 1. In a typical experiment, before the arrays were presented, subjects would be asked to report letters ... \\n", "author" : [ { "dropping-particle" : "", "family" : "Desimone", "given" : "R.", "non-dropping-particle" : "", "parse-names" : false, "suffix" : "" }, { "dropping-particle" : "", "family" : "Duncan", "given" : "J.", "non-dropping-particle" : "", "parse-names" : false, "suffix" : "" } ], "container-title" : "Annual Review of Neuroscience", "id" : "ITEM-2", "issue" : "1", "issued" : { "date-parts" : [ [ "1995" ] ] }, "page" : "193-222", "title" : "Neural Mechanisms of Selective Visual", "type" : "article-journal", "volume" : "18" }, "uris" : [ "http://www.mendeley.com/documents/?uuid=7a17877d-9453-418b-8eb0-98ee5053647a" ] } ], "mendeley" : { "formattedCitation" : "(Chun et al., 2011; Desimone and Duncan, 1995)", "plainTextFormattedCitation" : "(Chun et al., 2011; Desimone and Duncan, 1995)", "previouslyFormattedCitation" : "(Chun et al., 2011; Desimone and Duncan, 1995)" }, "properties" : {  }, "schema" : "https://github.com/citation-style-language/schema/raw/master/csl-citation.json" }</w:instrText>
      </w:r>
      <w:r w:rsidR="00293801">
        <w:rPr>
          <w:rFonts w:ascii="Times New Roman" w:hAnsi="Times New Roman" w:cs="Times New Roman"/>
          <w:sz w:val="24"/>
        </w:rPr>
        <w:fldChar w:fldCharType="separate"/>
      </w:r>
      <w:r w:rsidR="00293801" w:rsidRPr="00293801">
        <w:rPr>
          <w:rFonts w:ascii="Times New Roman" w:hAnsi="Times New Roman" w:cs="Times New Roman"/>
          <w:noProof/>
          <w:sz w:val="24"/>
        </w:rPr>
        <w:t>(Chun et al., 2011; Desimone and Duncan, 1995)</w:t>
      </w:r>
      <w:r w:rsidR="00293801">
        <w:rPr>
          <w:rFonts w:ascii="Times New Roman" w:hAnsi="Times New Roman" w:cs="Times New Roman"/>
          <w:sz w:val="24"/>
        </w:rPr>
        <w:fldChar w:fldCharType="end"/>
      </w:r>
      <w:r w:rsidR="007F65AA">
        <w:rPr>
          <w:rFonts w:ascii="Times New Roman" w:hAnsi="Times New Roman" w:cs="Times New Roman"/>
          <w:sz w:val="24"/>
        </w:rPr>
        <w:t xml:space="preserve">. </w:t>
      </w:r>
      <w:r w:rsidR="00681D72">
        <w:rPr>
          <w:rFonts w:ascii="Times New Roman" w:hAnsi="Times New Roman" w:cs="Times New Roman"/>
          <w:sz w:val="24"/>
        </w:rPr>
        <w:t>Visual s</w:t>
      </w:r>
      <w:r w:rsidR="00293801">
        <w:rPr>
          <w:rFonts w:ascii="Times New Roman" w:hAnsi="Times New Roman" w:cs="Times New Roman"/>
          <w:sz w:val="24"/>
        </w:rPr>
        <w:t>elective attention</w:t>
      </w:r>
      <w:r w:rsidR="00E43CBB">
        <w:rPr>
          <w:rFonts w:ascii="Times New Roman" w:hAnsi="Times New Roman" w:cs="Times New Roman"/>
          <w:sz w:val="24"/>
        </w:rPr>
        <w:t xml:space="preserve"> (VSA)</w:t>
      </w:r>
      <w:r w:rsidR="00293801">
        <w:rPr>
          <w:rFonts w:ascii="Times New Roman" w:hAnsi="Times New Roman" w:cs="Times New Roman"/>
          <w:sz w:val="24"/>
        </w:rPr>
        <w:t xml:space="preserve"> prioritizes stimuli in accordance with current goals and knowledge </w:t>
      </w:r>
      <w:r w:rsidR="006E574B">
        <w:rPr>
          <w:rFonts w:ascii="Times New Roman" w:hAnsi="Times New Roman" w:cs="Times New Roman"/>
          <w:sz w:val="24"/>
        </w:rPr>
        <w:t>based on p</w:t>
      </w:r>
      <w:r w:rsidR="00293801">
        <w:rPr>
          <w:rFonts w:ascii="Times New Roman" w:hAnsi="Times New Roman" w:cs="Times New Roman"/>
          <w:sz w:val="24"/>
        </w:rPr>
        <w:t xml:space="preserve">revious learning </w:t>
      </w:r>
      <w:r w:rsidR="00293801">
        <w:rPr>
          <w:rFonts w:ascii="Times New Roman" w:hAnsi="Times New Roman" w:cs="Times New Roman"/>
          <w:sz w:val="24"/>
        </w:rPr>
        <w:fldChar w:fldCharType="begin" w:fldLock="1"/>
      </w:r>
      <w:r w:rsidR="00293801">
        <w:rPr>
          <w:rFonts w:ascii="Times New Roman" w:hAnsi="Times New Roman" w:cs="Times New Roman"/>
          <w:sz w:val="24"/>
        </w:rPr>
        <w:instrText>ADDIN CSL_CITATION { "citationItems" : [ { "id" : "ITEM-1", "itemData" : { "DOI" : "10.1016/j.visres.2012.12.005", "ISBN" : "0042-6989", "ISSN" : "00426989", "PMID" : "23262054", "abstract" : "Visual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 "author" : [ { "dropping-particle" : "", "family" : "Chelazzi", "given" : "Leonardo", "non-dropping-particle" : "", "parse-names" : false, "suffix" : "" }, { "dropping-particle" : "", "family" : "Perlato", "given" : "Andrea", "non-dropping-particle" : "", "parse-names" : false, "suffix" : "" }, { "dropping-particle" : "", "family" : "Santandrea", "given" : "Elisa", "non-dropping-particle" : "", "parse-names" : false, "suffix" : "" }, { "dropping-particle" : "", "family" : "Libera", "given" : "Chiara", "non-dropping-particle" : "Della", "parse-names" : false, "suffix" : "" } ], "container-title" : "Vision Research", "id" : "ITEM-1", "issued" : { "date-parts" : [ [ "2013" ] ] }, "page" : "58-62", "publisher" : "Elsevier Ltd", "title" : "Rewards teach visual selective attention", "type" : "article-journal", "volume" : "85" }, "uris" : [ "http://www.mendeley.com/documents/?uuid=32b99263-1c78-4ea2-a826-fea9bd9f805a" ] } ], "mendeley" : { "formattedCitation" : "(Chelazzi et al., 2013)", "plainTextFormattedCitation" : "(Chelazzi et al., 2013)", "previouslyFormattedCitation" : "(Chelazzi et al., 2013)" }, "properties" : {  }, "schema" : "https://github.com/citation-style-language/schema/raw/master/csl-citation.json" }</w:instrText>
      </w:r>
      <w:r w:rsidR="00293801">
        <w:rPr>
          <w:rFonts w:ascii="Times New Roman" w:hAnsi="Times New Roman" w:cs="Times New Roman"/>
          <w:sz w:val="24"/>
        </w:rPr>
        <w:fldChar w:fldCharType="separate"/>
      </w:r>
      <w:r w:rsidR="00293801" w:rsidRPr="00293801">
        <w:rPr>
          <w:rFonts w:ascii="Times New Roman" w:hAnsi="Times New Roman" w:cs="Times New Roman"/>
          <w:noProof/>
          <w:sz w:val="24"/>
        </w:rPr>
        <w:t>(Chelazzi et al., 2013)</w:t>
      </w:r>
      <w:r w:rsidR="00293801">
        <w:rPr>
          <w:rFonts w:ascii="Times New Roman" w:hAnsi="Times New Roman" w:cs="Times New Roman"/>
          <w:sz w:val="24"/>
        </w:rPr>
        <w:fldChar w:fldCharType="end"/>
      </w:r>
      <w:r w:rsidR="00293801">
        <w:rPr>
          <w:rFonts w:ascii="Times New Roman" w:hAnsi="Times New Roman" w:cs="Times New Roman"/>
          <w:sz w:val="24"/>
        </w:rPr>
        <w:t xml:space="preserve">. </w:t>
      </w:r>
      <w:r w:rsidR="00E43CBB">
        <w:rPr>
          <w:rFonts w:ascii="Times New Roman" w:hAnsi="Times New Roman" w:cs="Times New Roman"/>
          <w:sz w:val="24"/>
        </w:rPr>
        <w:t xml:space="preserve">Della Libera and Chelazzi were the first to show that </w:t>
      </w:r>
      <w:r w:rsidR="00DB3C42">
        <w:rPr>
          <w:rFonts w:ascii="Times New Roman" w:hAnsi="Times New Roman" w:cs="Times New Roman"/>
          <w:sz w:val="24"/>
        </w:rPr>
        <w:t xml:space="preserve">objects related with high rewards are easier to select as targets and harder to ignore as distractors, while the opposite is true for objects related to low rewards </w:t>
      </w:r>
      <w:r w:rsidR="00DB3C42">
        <w:rPr>
          <w:rFonts w:ascii="Times New Roman" w:hAnsi="Times New Roman" w:cs="Times New Roman"/>
          <w:sz w:val="24"/>
        </w:rPr>
        <w:fldChar w:fldCharType="begin" w:fldLock="1"/>
      </w:r>
      <w:r w:rsidR="00123D7D">
        <w:rPr>
          <w:rFonts w:ascii="Times New Roman" w:hAnsi="Times New Roman" w:cs="Times New Roman"/>
          <w:sz w:val="24"/>
        </w:rPr>
        <w:instrText>ADDIN CSL_CITATION { "citationItems" : [ { "id" : "ITEM-1", "itemData" : { "DOI" : "10.1111/j.1467-9280.2009.02360.x", "ISBN" : "0956-7976\\n1467-9280", "ISSN" : "09567976", "PMID" : "19422618", "abstract" : "Efficient goal-directed behavior in a crowded world is crucially mediated by visual selective attention (VSA), which regulates deployment of cognitive resources toward selected, behaviorally relevant visual objects. Acting as a filter on perceptual representations, VSA allows preferential processing of relevant objects and concurrently inhibits traces of irrelevant items, thus preventing harmful distraction. Recent evidence showed that monetary rewards for performance on VSA tasks strongly affect immediately subsequent deployment of attention; a typical aftereffect of VSA (negative priming) was found only following highly rewarded selections. Here we report a much more striking demonstration that the controlled delivery of monetary rewards also affects attentional processing several days later. Thus, the propensity to select or to ignore specific visual objects appears to be strongly biased by the more or less rewarding consequences of past attentional encounters with the same objects.", "author" : [ { "dropping-particle" : "", "family" : "Libera", "given" : "Chiara", "non-dropping-particle" : "Della", "parse-names" : false, "suffix" : "" }, { "dropping-particle" : "", "family" : "Chelazzi", "given" : "Leonardo", "non-dropping-particle" : "", "parse-names" : false, "suffix" : "" } ], "container-title" : "Psychological Science", "id" : "ITEM-1", "issue" : "6", "issued" : { "date-parts" : [ [ "2009" ] ] }, "page" : "778-784", "title" : "Learning to attend and to ignore is a matter of gains and losses", "type" : "article-journal", "volume" : "20" }, "uris" : [ "http://www.mendeley.com/documents/?uuid=45e6fa21-0796-4fec-bf7d-e583dc652a17" ] } ], "mendeley" : { "formattedCitation" : "(Della Libera and Chelazzi, 2009)", "plainTextFormattedCitation" : "(Della Libera and Chelazzi, 2009)", "previouslyFormattedCitation" : "(Della Libera and Chelazzi, 2009)" }, "properties" : {  }, "schema" : "https://github.com/citation-style-language/schema/raw/master/csl-citation.json" }</w:instrText>
      </w:r>
      <w:r w:rsidR="00DB3C42">
        <w:rPr>
          <w:rFonts w:ascii="Times New Roman" w:hAnsi="Times New Roman" w:cs="Times New Roman"/>
          <w:sz w:val="24"/>
        </w:rPr>
        <w:fldChar w:fldCharType="separate"/>
      </w:r>
      <w:r w:rsidR="00DB3C42" w:rsidRPr="00E43CBB">
        <w:rPr>
          <w:rFonts w:ascii="Times New Roman" w:hAnsi="Times New Roman" w:cs="Times New Roman"/>
          <w:noProof/>
          <w:sz w:val="24"/>
        </w:rPr>
        <w:t>(Della Libera and Chelazzi, 2009)</w:t>
      </w:r>
      <w:r w:rsidR="00DB3C42">
        <w:rPr>
          <w:rFonts w:ascii="Times New Roman" w:hAnsi="Times New Roman" w:cs="Times New Roman"/>
          <w:sz w:val="24"/>
        </w:rPr>
        <w:fldChar w:fldCharType="end"/>
      </w:r>
      <w:r w:rsidR="00123D7D">
        <w:rPr>
          <w:rFonts w:ascii="Times New Roman" w:hAnsi="Times New Roman" w:cs="Times New Roman"/>
          <w:sz w:val="24"/>
        </w:rPr>
        <w:t xml:space="preserve">. </w:t>
      </w:r>
    </w:p>
    <w:p w14:paraId="1903C39E" w14:textId="3E3AD836" w:rsidR="0098037D" w:rsidRDefault="0098037D" w:rsidP="0098037D">
      <w:pPr>
        <w:spacing w:line="480" w:lineRule="auto"/>
        <w:jc w:val="both"/>
        <w:rPr>
          <w:rFonts w:ascii="Times New Roman" w:hAnsi="Times New Roman" w:cs="Times New Roman"/>
          <w:sz w:val="24"/>
        </w:rPr>
      </w:pPr>
      <w:r>
        <w:rPr>
          <w:rFonts w:ascii="Times New Roman" w:hAnsi="Times New Roman" w:cs="Times New Roman"/>
          <w:sz w:val="24"/>
        </w:rPr>
        <w:t xml:space="preserve">“Alternative formulation: humans are more efficient to select targets associated with high rewards, but relatively inefficient at ignoring them when they are shown as distractors. </w:t>
      </w:r>
      <w:r w:rsidRPr="0098037D">
        <w:rPr>
          <w:rFonts w:ascii="Times New Roman" w:hAnsi="Times New Roman" w:cs="Times New Roman"/>
          <w:sz w:val="24"/>
        </w:rPr>
        <w:t>Interestingly, the ability to ignore a</w:t>
      </w:r>
      <w:r>
        <w:rPr>
          <w:rFonts w:ascii="Times New Roman" w:hAnsi="Times New Roman" w:cs="Times New Roman"/>
          <w:sz w:val="24"/>
        </w:rPr>
        <w:t xml:space="preserve"> </w:t>
      </w:r>
      <w:r w:rsidRPr="0098037D">
        <w:rPr>
          <w:rFonts w:ascii="Times New Roman" w:hAnsi="Times New Roman" w:cs="Times New Roman"/>
          <w:sz w:val="24"/>
        </w:rPr>
        <w:t>given distractor also improved when this was consistently followed</w:t>
      </w:r>
      <w:r>
        <w:rPr>
          <w:rFonts w:ascii="Times New Roman" w:hAnsi="Times New Roman" w:cs="Times New Roman"/>
          <w:sz w:val="24"/>
        </w:rPr>
        <w:t xml:space="preserve"> </w:t>
      </w:r>
      <w:r w:rsidRPr="0098037D">
        <w:rPr>
          <w:rFonts w:ascii="Times New Roman" w:hAnsi="Times New Roman" w:cs="Times New Roman"/>
          <w:sz w:val="24"/>
        </w:rPr>
        <w:t>by high (as opposed to low) rewards, whereas the ability to</w:t>
      </w:r>
      <w:r>
        <w:rPr>
          <w:rFonts w:ascii="Times New Roman" w:hAnsi="Times New Roman" w:cs="Times New Roman"/>
          <w:sz w:val="24"/>
        </w:rPr>
        <w:t xml:space="preserve"> </w:t>
      </w:r>
      <w:r w:rsidRPr="0098037D">
        <w:rPr>
          <w:rFonts w:ascii="Times New Roman" w:hAnsi="Times New Roman" w:cs="Times New Roman"/>
          <w:sz w:val="24"/>
        </w:rPr>
        <w:t>select the same items as targets became relatively impaired.</w:t>
      </w:r>
      <w:r>
        <w:rPr>
          <w:rFonts w:ascii="Times New Roman" w:hAnsi="Times New Roman" w:cs="Times New Roman"/>
          <w:sz w:val="24"/>
        </w:rPr>
        <w:t xml:space="preserve">” </w:t>
      </w:r>
      <w:r w:rsidRPr="0098037D">
        <w:rPr>
          <w:rFonts w:ascii="Times New Roman" w:hAnsi="Times New Roman" w:cs="Times New Roman"/>
          <w:sz w:val="24"/>
          <w:szCs w:val="24"/>
        </w:rPr>
        <w:t>“In summary, the present results provide evidence that reward has a direct impact on human vision that is independent of its role in strategy and endogenous attentional set. Our results suggest that the anterior cingulate cortex—a cortical expression of the mesolimbic dopamine system—plays a crucial role in this source of attentional control.”</w:t>
      </w:r>
    </w:p>
    <w:p w14:paraId="676B6B01" w14:textId="0C0E3B40" w:rsidR="00A733BB" w:rsidRDefault="00123D7D" w:rsidP="00A733BB">
      <w:pPr>
        <w:spacing w:line="480" w:lineRule="auto"/>
        <w:jc w:val="both"/>
        <w:rPr>
          <w:rFonts w:ascii="Times New Roman" w:hAnsi="Times New Roman" w:cs="Times New Roman"/>
          <w:sz w:val="24"/>
        </w:rPr>
      </w:pPr>
      <w:r>
        <w:rPr>
          <w:rFonts w:ascii="Times New Roman" w:hAnsi="Times New Roman" w:cs="Times New Roman"/>
          <w:sz w:val="24"/>
        </w:rPr>
        <w:t xml:space="preserve">Similar results were also found for features and locations related to different reward contingencies </w:t>
      </w:r>
      <w:r>
        <w:rPr>
          <w:rFonts w:ascii="Times New Roman" w:hAnsi="Times New Roman" w:cs="Times New Roman"/>
          <w:sz w:val="24"/>
        </w:rPr>
        <w:fldChar w:fldCharType="begin" w:fldLock="1"/>
      </w:r>
      <w:r w:rsidR="00A733BB">
        <w:rPr>
          <w:rFonts w:ascii="Times New Roman" w:hAnsi="Times New Roman" w:cs="Times New Roman"/>
          <w:sz w:val="24"/>
        </w:rPr>
        <w:instrText>ADDIN CSL_CITATION { "citationItems" : [ { "id" : "ITEM-1", "itemData" : { "DOI" : "10.3758/s13423-017-1380-y", "ISSN" : "15315320", "abstract" : "Visual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sug\u2026", "author" : [ { "dropping-particle" : "", "family" : "Failing", "given" : "Michel", "non-dropping-particle" : "", "parse-names" : false, "suffix" : "" }, { "dropping-particle" : "", "family" : "Theeuwes", "given" : "Jan", "non-dropping-particle" : "", "parse-names" : false, "suffix" : "" } ], "container-title" : "Psychonomic Bulletin and Review", "id" : "ITEM-1", "issued" : { "date-parts" : [ [ "2017" ] ] }, "page" : "1-25", "publisher" : "Psychonomic Bulletin &amp; Review", "title" : "Selection history: How reward modulates selectivity of visual attention", "type" : "article-journal" }, "uris" : [ "http://www.mendeley.com/documents/?uuid=83f24a00-4327-40fe-99b4-3137e0d2c26a" ] }, { "id" : "ITEM-2", "itemData" : { "DOI" : "10.1111/nyas.12957", "ISBN" : "1749-6632 (Electronic)\\r0077-8923 (Linking)", "ISSN" : "17496632", "PMID" : "26595376", "abstract" : "There is growing consensus that reward plays an important role in the control of attention. Until recently, reward was thought to influence attention indirectly by modulating task-specific motivation and its effects on voluntary control over selection. Such an account was consistent with the goal-directed (endogenous) versus stimulus-driven (exogenous) framework that had long dominated the field of attention research. Now, a different perspective is emerging. Demonstrations that previously reward-associated stimuli can automatically capture attention even when physically inconspicuous and task-irrelevant challenge previously held assumptions about attentional control. The idea that attentional selection can be value driven, reflecting a distinct and previously unrecognized control mechanism, has gained traction. Since these early demonstrations, the influence of reward learning on attention has rapidly become an area of intense investigation, sparking many new insights. The result is an emerging picture of how the reward system of the brain automatically biases information processing. Here, I review the progress that has been made in this area, synthesizing a wealth of recent evidence to provide an integrated, up-to-date account of value-driven attention and some of its broader implications.", "author" : [ { "dropping-particle" : "", "family" : "Anderson", "given" : "Brian A.", "non-dropping-particle" : "", "parse-names" : false, "suffix" : "" } ], "container-title" : "Annals of the New York Academy of Sciences", "id" : "ITEM-2", "issue" : "1", "issued" : { "date-parts" : [ [ "2016" ] ] }, "page" : "24-39", "title" : "The attention habit: How reward learning shapes attentional selection", "type" : "article-journal", "volume" : "1369" }, "uris" : [ "http://www.mendeley.com/documents/?uuid=bd59dcb3-a38e-40d4-8c32-43def30d92a0" ] } ], "mendeley" : { "formattedCitation" : "(Anderson, 2016; Failing and Theeuwes, 2017)", "manualFormatting" : "(for recent reviews see: Anderson, 2016; Failing and Theeuwes, 2017)", "plainTextFormattedCitation" : "(Anderson, 2016; Failing and Theeuwes, 2017)", "previouslyFormattedCitation" : "(Anderson, 2016; Failing and Theeuwes, 2017)" }, "properties" : {  }, "schema" : "https://github.com/citation-style-language/schema/raw/master/csl-citation.json" }</w:instrText>
      </w:r>
      <w:r>
        <w:rPr>
          <w:rFonts w:ascii="Times New Roman" w:hAnsi="Times New Roman" w:cs="Times New Roman"/>
          <w:sz w:val="24"/>
        </w:rPr>
        <w:fldChar w:fldCharType="separate"/>
      </w:r>
      <w:r w:rsidRPr="00123D7D">
        <w:rPr>
          <w:rFonts w:ascii="Times New Roman" w:hAnsi="Times New Roman" w:cs="Times New Roman"/>
          <w:noProof/>
          <w:sz w:val="24"/>
        </w:rPr>
        <w:t>(</w:t>
      </w:r>
      <w:r>
        <w:rPr>
          <w:rFonts w:ascii="Times New Roman" w:hAnsi="Times New Roman" w:cs="Times New Roman"/>
          <w:noProof/>
          <w:sz w:val="24"/>
        </w:rPr>
        <w:t xml:space="preserve">for recent reviews see: </w:t>
      </w:r>
      <w:r w:rsidRPr="00123D7D">
        <w:rPr>
          <w:rFonts w:ascii="Times New Roman" w:hAnsi="Times New Roman" w:cs="Times New Roman"/>
          <w:noProof/>
          <w:sz w:val="24"/>
        </w:rPr>
        <w:t>Anderson, 2016; Failing and Theeuwes, 2017)</w:t>
      </w:r>
      <w:r>
        <w:rPr>
          <w:rFonts w:ascii="Times New Roman" w:hAnsi="Times New Roman" w:cs="Times New Roman"/>
          <w:sz w:val="24"/>
        </w:rPr>
        <w:fldChar w:fldCharType="end"/>
      </w:r>
      <w:r>
        <w:rPr>
          <w:rFonts w:ascii="Times New Roman" w:hAnsi="Times New Roman" w:cs="Times New Roman"/>
          <w:sz w:val="24"/>
        </w:rPr>
        <w:t xml:space="preserve">. </w:t>
      </w:r>
      <w:r w:rsidR="00A733BB">
        <w:rPr>
          <w:rFonts w:ascii="Times New Roman" w:hAnsi="Times New Roman" w:cs="Times New Roman"/>
          <w:sz w:val="24"/>
        </w:rPr>
        <w:t xml:space="preserve">The mechanisms through which rewards influence selective attention are a matter of intensive empirical and theoretical work. However, most researchers in the field agree that rewarded locations, objects, and object features are prioritized by increasing their saliency, while the saliency of the other locations, objects, and object features is reduced. This mechanism is commonly linked to the activity of the neurons in the </w:t>
      </w:r>
      <w:r w:rsidR="00A733BB">
        <w:rPr>
          <w:rFonts w:ascii="Times New Roman" w:hAnsi="Times New Roman" w:cs="Times New Roman"/>
          <w:sz w:val="24"/>
        </w:rPr>
        <w:lastRenderedPageBreak/>
        <w:t xml:space="preserve">visual cortex </w:t>
      </w:r>
      <w:r w:rsidR="00A733BB">
        <w:rPr>
          <w:rFonts w:ascii="Times New Roman" w:hAnsi="Times New Roman" w:cs="Times New Roman"/>
          <w:sz w:val="24"/>
        </w:rPr>
        <w:fldChar w:fldCharType="begin" w:fldLock="1"/>
      </w:r>
      <w:r w:rsidR="00A733BB">
        <w:rPr>
          <w:rFonts w:ascii="Times New Roman" w:hAnsi="Times New Roman" w:cs="Times New Roman"/>
          <w:sz w:val="24"/>
        </w:rPr>
        <w:instrText>ADDIN CSL_CITATION { "citationItems" : [ { "id" : "ITEM-1", "itemData" : { "DOI" : "10.1016/j.tics.2009.11.005", "ISBN" : "13646613", "ISSN" : "13646613", "PMID" : "20060771", "abstract" : "How does the brain learn those visual features that are relevant for behavior? In this article, we focus on two factors that guide plasticity of visual representations. First, reinforcers cause the global release of diffusive neuromodulatory signals that gate plasticity. Second, attentional feedback signals highlight the chain of neurons between sensory and motor cortex responsible for the selected action. We here propose that the attentional feedback signals guide learning by suppressing plasticity of irrelevant features while permitting the learning of relevant ones. By hypothesizing that sensory signals that are too weak to be perceived can escape from this inhibitory feedback, we bring attentional learning theories and theories that emphasized the importance of neuromodulatory signals into a single, unified framework. \u00a9 2009 Elsevier Ltd. All rights reserved.", "author" : [ { "dropping-particle" : "", "family" : "Roelfsema", "given" : "Pieter R.", "non-dropping-particle" : "", "parse-names" : false, "suffix" : "" }, { "dropping-particle" : "", "family" : "Ooyen", "given" : "Arjen", "non-dropping-particle" : "van", "parse-names" : false, "suffix" : "" }, { "dropping-particle" : "", "family" : "Watanabe", "given" : "Takeo", "non-dropping-particle" : "", "parse-names" : false, "suffix" : "" } ], "container-title" : "Trends in Cognitive Sciences", "id" : "ITEM-1", "issue" : "2", "issued" : { "date-parts" : [ [ "2010" ] ] }, "page" : "64-71", "title" : "Perceptual learning rules based on reinforcers and attention", "type" : "article-journal", "volume" : "14" }, "uris" : [ "http://www.mendeley.com/documents/?uuid=44209895-d2c3-4380-a87e-7e20d12b9145" ] } ], "mendeley" : { "formattedCitation" : "(Roelfsema et al., 2010)", "plainTextFormattedCitation" : "(Roelfsema et al., 2010)", "previouslyFormattedCitation" : "(Roelfsema et al., 2010)" }, "properties" : {  }, "schema" : "https://github.com/citation-style-language/schema/raw/master/csl-citation.json" }</w:instrText>
      </w:r>
      <w:r w:rsidR="00A733BB">
        <w:rPr>
          <w:rFonts w:ascii="Times New Roman" w:hAnsi="Times New Roman" w:cs="Times New Roman"/>
          <w:sz w:val="24"/>
        </w:rPr>
        <w:fldChar w:fldCharType="separate"/>
      </w:r>
      <w:r w:rsidR="00A733BB" w:rsidRPr="009214B6">
        <w:rPr>
          <w:rFonts w:ascii="Times New Roman" w:hAnsi="Times New Roman" w:cs="Times New Roman"/>
          <w:noProof/>
          <w:sz w:val="24"/>
        </w:rPr>
        <w:t>(Roelfsema et al., 2010)</w:t>
      </w:r>
      <w:r w:rsidR="00A733BB">
        <w:rPr>
          <w:rFonts w:ascii="Times New Roman" w:hAnsi="Times New Roman" w:cs="Times New Roman"/>
          <w:sz w:val="24"/>
        </w:rPr>
        <w:fldChar w:fldCharType="end"/>
      </w:r>
      <w:r w:rsidR="00A733BB">
        <w:rPr>
          <w:rFonts w:ascii="Times New Roman" w:hAnsi="Times New Roman" w:cs="Times New Roman"/>
          <w:sz w:val="24"/>
        </w:rPr>
        <w:t xml:space="preserve">. This idea has received a significant amount of support in fMRI and ERP studies. </w:t>
      </w:r>
      <w:r w:rsidR="00A733BB">
        <w:rPr>
          <w:rFonts w:ascii="Times New Roman" w:hAnsi="Times New Roman" w:cs="Times New Roman"/>
          <w:sz w:val="24"/>
        </w:rPr>
        <w:tab/>
      </w:r>
    </w:p>
    <w:p w14:paraId="3ACAD4DC" w14:textId="1254DDEE" w:rsidR="00C4343E" w:rsidRDefault="00C4343E" w:rsidP="00C4343E">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It is known that there is a bottom-up effect, but here we wanted to look at what happens when participants strategically change their attentional set. </w:t>
      </w:r>
    </w:p>
    <w:p w14:paraId="785AE6E4" w14:textId="3DDA37E9" w:rsidR="00C4343E" w:rsidRPr="00C4343E" w:rsidRDefault="00C4343E" w:rsidP="00A733BB">
      <w:pPr>
        <w:spacing w:line="480" w:lineRule="auto"/>
        <w:jc w:val="both"/>
        <w:rPr>
          <w:rFonts w:ascii="Times New Roman" w:hAnsi="Times New Roman" w:cs="Times New Roman"/>
          <w:b/>
          <w:sz w:val="24"/>
        </w:rPr>
      </w:pPr>
      <w:r w:rsidRPr="00C4343E">
        <w:rPr>
          <w:rFonts w:ascii="Times New Roman" w:hAnsi="Times New Roman" w:cs="Times New Roman"/>
          <w:b/>
          <w:sz w:val="24"/>
        </w:rPr>
        <w:t xml:space="preserve">Hickey &amp; van </w:t>
      </w:r>
      <w:proofErr w:type="spellStart"/>
      <w:r w:rsidRPr="00C4343E">
        <w:rPr>
          <w:rFonts w:ascii="Times New Roman" w:hAnsi="Times New Roman" w:cs="Times New Roman"/>
          <w:b/>
          <w:sz w:val="24"/>
        </w:rPr>
        <w:t>Peelen</w:t>
      </w:r>
      <w:proofErr w:type="spellEnd"/>
      <w:r w:rsidRPr="00C4343E">
        <w:rPr>
          <w:rFonts w:ascii="Times New Roman" w:hAnsi="Times New Roman" w:cs="Times New Roman"/>
          <w:b/>
          <w:sz w:val="24"/>
        </w:rPr>
        <w:t>, 2017</w:t>
      </w:r>
    </w:p>
    <w:p w14:paraId="5A385322" w14:textId="12A0B84B" w:rsidR="00C4343E" w:rsidRDefault="00C4343E" w:rsidP="00C4343E">
      <w:pPr>
        <w:spacing w:line="480" w:lineRule="auto"/>
        <w:jc w:val="both"/>
        <w:rPr>
          <w:rFonts w:ascii="Times New Roman" w:hAnsi="Times New Roman" w:cs="Times New Roman"/>
          <w:sz w:val="24"/>
        </w:rPr>
      </w:pPr>
      <w:r w:rsidRPr="00C4343E">
        <w:rPr>
          <w:rFonts w:ascii="Times New Roman" w:hAnsi="Times New Roman" w:cs="Times New Roman"/>
          <w:sz w:val="24"/>
        </w:rPr>
        <w:t>When reward is linked to a discrete category, for example, if</w:t>
      </w:r>
      <w:r>
        <w:rPr>
          <w:rFonts w:ascii="Times New Roman" w:hAnsi="Times New Roman" w:cs="Times New Roman"/>
          <w:sz w:val="24"/>
        </w:rPr>
        <w:t xml:space="preserve"> </w:t>
      </w:r>
      <w:r w:rsidRPr="00C4343E">
        <w:rPr>
          <w:rFonts w:ascii="Times New Roman" w:hAnsi="Times New Roman" w:cs="Times New Roman"/>
          <w:sz w:val="24"/>
        </w:rPr>
        <w:t>detecting “people”’ in a scene always results in high-magnitude</w:t>
      </w:r>
      <w:r>
        <w:rPr>
          <w:rFonts w:ascii="Times New Roman" w:hAnsi="Times New Roman" w:cs="Times New Roman"/>
          <w:sz w:val="24"/>
        </w:rPr>
        <w:t xml:space="preserve"> </w:t>
      </w:r>
      <w:r w:rsidRPr="00C4343E">
        <w:rPr>
          <w:rFonts w:ascii="Times New Roman" w:hAnsi="Times New Roman" w:cs="Times New Roman"/>
          <w:sz w:val="24"/>
        </w:rPr>
        <w:t>reward, then humans and other animals will look out for these</w:t>
      </w:r>
      <w:r>
        <w:rPr>
          <w:rFonts w:ascii="Times New Roman" w:hAnsi="Times New Roman" w:cs="Times New Roman"/>
          <w:sz w:val="24"/>
        </w:rPr>
        <w:t xml:space="preserve"> </w:t>
      </w:r>
      <w:r w:rsidRPr="00C4343E">
        <w:rPr>
          <w:rFonts w:ascii="Times New Roman" w:hAnsi="Times New Roman" w:cs="Times New Roman"/>
          <w:sz w:val="24"/>
        </w:rPr>
        <w:t>objects and this involves the establishment of top-down attentional</w:t>
      </w:r>
      <w:r>
        <w:rPr>
          <w:rFonts w:ascii="Times New Roman" w:hAnsi="Times New Roman" w:cs="Times New Roman"/>
          <w:sz w:val="24"/>
        </w:rPr>
        <w:t xml:space="preserve"> </w:t>
      </w:r>
      <w:r w:rsidRPr="00C4343E">
        <w:rPr>
          <w:rFonts w:ascii="Times New Roman" w:hAnsi="Times New Roman" w:cs="Times New Roman"/>
          <w:sz w:val="24"/>
        </w:rPr>
        <w:t>set. Attentional set changes how stimuli are encoded and,</w:t>
      </w:r>
      <w:r>
        <w:rPr>
          <w:rFonts w:ascii="Times New Roman" w:hAnsi="Times New Roman" w:cs="Times New Roman"/>
          <w:sz w:val="24"/>
        </w:rPr>
        <w:t xml:space="preserve"> </w:t>
      </w:r>
      <w:r w:rsidRPr="00C4343E">
        <w:rPr>
          <w:rFonts w:ascii="Times New Roman" w:hAnsi="Times New Roman" w:cs="Times New Roman"/>
          <w:sz w:val="24"/>
        </w:rPr>
        <w:t>though interesting in its own right, this effect is theoretically</w:t>
      </w:r>
      <w:r>
        <w:rPr>
          <w:rFonts w:ascii="Times New Roman" w:hAnsi="Times New Roman" w:cs="Times New Roman"/>
          <w:sz w:val="24"/>
        </w:rPr>
        <w:t xml:space="preserve"> </w:t>
      </w:r>
      <w:r w:rsidRPr="00C4343E">
        <w:rPr>
          <w:rFonts w:ascii="Times New Roman" w:hAnsi="Times New Roman" w:cs="Times New Roman"/>
          <w:sz w:val="24"/>
        </w:rPr>
        <w:t>distinct from the direct, low-level, and nonstrategic impact of</w:t>
      </w:r>
      <w:r>
        <w:rPr>
          <w:rFonts w:ascii="Times New Roman" w:hAnsi="Times New Roman" w:cs="Times New Roman"/>
          <w:sz w:val="24"/>
        </w:rPr>
        <w:t xml:space="preserve"> </w:t>
      </w:r>
      <w:r w:rsidRPr="00C4343E">
        <w:rPr>
          <w:rFonts w:ascii="Times New Roman" w:hAnsi="Times New Roman" w:cs="Times New Roman"/>
          <w:sz w:val="24"/>
        </w:rPr>
        <w:t>reward feedback on already-encoded representations that is the</w:t>
      </w:r>
      <w:r>
        <w:rPr>
          <w:rFonts w:ascii="Times New Roman" w:hAnsi="Times New Roman" w:cs="Times New Roman"/>
          <w:sz w:val="24"/>
        </w:rPr>
        <w:t xml:space="preserve"> </w:t>
      </w:r>
      <w:r w:rsidRPr="00C4343E">
        <w:rPr>
          <w:rFonts w:ascii="Times New Roman" w:hAnsi="Times New Roman" w:cs="Times New Roman"/>
          <w:sz w:val="24"/>
        </w:rPr>
        <w:t>focus of the current study (Hickey et al., 2010a; Maunsell, 2004).</w:t>
      </w:r>
    </w:p>
    <w:p w14:paraId="7C5EADD8" w14:textId="1C9C8DE3" w:rsidR="009214B6" w:rsidRDefault="004F24BD" w:rsidP="0015680F">
      <w:pPr>
        <w:spacing w:line="480" w:lineRule="auto"/>
        <w:jc w:val="both"/>
        <w:rPr>
          <w:rFonts w:ascii="Times New Roman" w:hAnsi="Times New Roman" w:cs="Times New Roman"/>
          <w:sz w:val="24"/>
        </w:rPr>
      </w:pPr>
      <w:r>
        <w:rPr>
          <w:rFonts w:ascii="Times New Roman" w:hAnsi="Times New Roman" w:cs="Times New Roman"/>
          <w:sz w:val="24"/>
        </w:rPr>
        <w:tab/>
      </w:r>
      <w:r w:rsidR="009214B6">
        <w:rPr>
          <w:rFonts w:ascii="Times New Roman" w:hAnsi="Times New Roman" w:cs="Times New Roman"/>
          <w:sz w:val="24"/>
        </w:rPr>
        <w:t xml:space="preserve">Most of the human behavioral and neural data supporting the idea of facilitation of reward-related stimuli and suppression of other stimuli comes from cueing and visual search tasks. When it comes to feature-based attention, most of the work is based on visual search paradigms in which different features present in briefly presented search arrays are related to different reward contingencies. This approach has been useful for mapping brain responses to transient stimuli related to different reward schedules. However, these designs carry </w:t>
      </w:r>
      <w:r w:rsidR="00DE5BC3">
        <w:rPr>
          <w:rFonts w:ascii="Times New Roman" w:hAnsi="Times New Roman" w:cs="Times New Roman"/>
          <w:sz w:val="24"/>
        </w:rPr>
        <w:t>several</w:t>
      </w:r>
      <w:r w:rsidR="009214B6">
        <w:rPr>
          <w:rFonts w:ascii="Times New Roman" w:hAnsi="Times New Roman" w:cs="Times New Roman"/>
          <w:sz w:val="24"/>
        </w:rPr>
        <w:t xml:space="preserve"> problems. First, given that different features appear in different locations in the search array, it is hard to disentangle the contribution of feature-based from the contribution of spatial attention to the reward effects on attention. Second, these paradigms allow for investigating only transient effects of reward on attention, while </w:t>
      </w:r>
      <w:r w:rsidR="00DE5BC3">
        <w:rPr>
          <w:rFonts w:ascii="Times New Roman" w:hAnsi="Times New Roman" w:cs="Times New Roman"/>
          <w:sz w:val="24"/>
        </w:rPr>
        <w:t xml:space="preserve">there is no possibility of investigating more sustained allocation of attention </w:t>
      </w:r>
      <w:r w:rsidR="00DE5BC3">
        <w:rPr>
          <w:rFonts w:ascii="Times New Roman" w:hAnsi="Times New Roman" w:cs="Times New Roman"/>
          <w:sz w:val="24"/>
        </w:rPr>
        <w:lastRenderedPageBreak/>
        <w:t xml:space="preserve">towards certain features. </w:t>
      </w:r>
      <w:r w:rsidR="0090622D">
        <w:rPr>
          <w:rFonts w:ascii="Times New Roman" w:hAnsi="Times New Roman" w:cs="Times New Roman"/>
          <w:sz w:val="24"/>
        </w:rPr>
        <w:t>Finally</w:t>
      </w:r>
      <w:r w:rsidR="00DE5BC3">
        <w:rPr>
          <w:rFonts w:ascii="Times New Roman" w:hAnsi="Times New Roman" w:cs="Times New Roman"/>
          <w:sz w:val="24"/>
        </w:rPr>
        <w:t xml:space="preserve">, these paradigms do not allow for simultaneous measurements of attention allocation towards stimuli related to different values. </w:t>
      </w:r>
    </w:p>
    <w:p w14:paraId="1D1D4B6B" w14:textId="25D8B262" w:rsidR="00555B1B" w:rsidRDefault="00555B1B" w:rsidP="007B3943">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Recording steady-state visually-evoked potentials (SSVEPs) offers possibilities to overcome these issues. SSVEPs represent oscillatory responses of the visual cortex that have the same frequency as the driving visual stimulus </w:t>
      </w:r>
      <w:r>
        <w:rPr>
          <w:rFonts w:ascii="Times New Roman" w:hAnsi="Times New Roman" w:cs="Times New Roman"/>
          <w:sz w:val="24"/>
        </w:rPr>
        <w:fldChar w:fldCharType="begin" w:fldLock="1"/>
      </w:r>
      <w:r>
        <w:rPr>
          <w:rFonts w:ascii="Times New Roman" w:hAnsi="Times New Roman" w:cs="Times New Roman"/>
          <w:sz w:val="24"/>
        </w:rPr>
        <w:instrText>ADDIN CSL_CITATION { "citationItems" : [ { "id" : "ITEM-1", "itemData" : { "DOI" : "10.1167/15.6.4.doi", "ISSN" : "1534-7362", "PMID" : "26024451", "abstract" : "Periodic visual stimulation and analysis of the resulting steady-state visual evoked potentials were first introduced over 80 years ago as a means to study visual sensation and perception. From the first single-channel recording of responses to modulated light to the present use of sophisticated digital displays composed of complex visual stimuli and high-density recording arrays, steady-state methods have been applied in a broad range of scientific and applied settings. The purpose of this article is to describe the fundamental stimulation paradigms for steady-state visual evoked potentials and to illustrate these principles through research findings across a range of applications in vision science.", "author" : [ { "dropping-particle" : "", "family" : "Norcia", "given" : "Anthony M", "non-dropping-particle" : "", "parse-names" : false, "suffix" : "" }, { "dropping-particle" : "", "family" : "Appelbaum", "given" : "L Gregory", "non-dropping-particle" : "", "parse-names" : false, "suffix" : "" }, { "dropping-particle" : "", "family" : "Ales", "given" : "Justin M", "non-dropping-particle" : "", "parse-names" : false, "suffix" : "" }, { "dropping-particle" : "", "family" : "Cottereau", "given" : "Benoit R", "non-dropping-particle" : "", "parse-names" : false, "suffix" : "" }, { "dropping-particle" : "", "family" : "Rossion", "given" : "Bruno", "non-dropping-particle" : "", "parse-names" : false, "suffix" : "" } ], "container-title" : "Journal of vision", "id" : "ITEM-1", "issue" : "6", "issued" : { "date-parts" : [ [ "2015" ] ] }, "page" : "1-46", "title" : "The steady-state visual evoked potential in vision research : A review", "type" : "article-journal", "volume" : "15" }, "uris" : [ "http://www.mendeley.com/documents/?uuid=53ea226a-46b8-47b9-a25f-f7ddb564e489" ] } ], "mendeley" : { "formattedCitation" : "(Norcia et al., 2015)", "plainTextFormattedCitation" : "(Norcia et al., 2015)", "previouslyFormattedCitation" : "(Norcia et al., 2015)" }, "properties" : {  }, "schema" : "https://github.com/citation-style-language/schema/raw/master/csl-citation.json" }</w:instrText>
      </w:r>
      <w:r>
        <w:rPr>
          <w:rFonts w:ascii="Times New Roman" w:hAnsi="Times New Roman" w:cs="Times New Roman"/>
          <w:sz w:val="24"/>
        </w:rPr>
        <w:fldChar w:fldCharType="separate"/>
      </w:r>
      <w:r w:rsidRPr="00555B1B">
        <w:rPr>
          <w:rFonts w:ascii="Times New Roman" w:hAnsi="Times New Roman" w:cs="Times New Roman"/>
          <w:noProof/>
          <w:sz w:val="24"/>
        </w:rPr>
        <w:t>(Norcia et al., 2015)</w:t>
      </w:r>
      <w:r>
        <w:rPr>
          <w:rFonts w:ascii="Times New Roman" w:hAnsi="Times New Roman" w:cs="Times New Roman"/>
          <w:sz w:val="24"/>
        </w:rPr>
        <w:fldChar w:fldCharType="end"/>
      </w:r>
      <w:r>
        <w:rPr>
          <w:rFonts w:ascii="Times New Roman" w:hAnsi="Times New Roman" w:cs="Times New Roman"/>
          <w:sz w:val="24"/>
        </w:rPr>
        <w:t xml:space="preserve">. </w:t>
      </w:r>
      <w:r w:rsidR="0090622D">
        <w:rPr>
          <w:rFonts w:ascii="Times New Roman" w:hAnsi="Times New Roman" w:cs="Times New Roman"/>
          <w:sz w:val="24"/>
        </w:rPr>
        <w:t xml:space="preserve">They are generated by the primary visual cortex (V1-V3)[REF]. </w:t>
      </w:r>
      <w:r>
        <w:rPr>
          <w:rFonts w:ascii="Times New Roman" w:hAnsi="Times New Roman" w:cs="Times New Roman"/>
          <w:sz w:val="24"/>
        </w:rPr>
        <w:t xml:space="preserve">SSVEPs allow for the study of simultaneous allocation of selective attention towards multiple stimuli. Each of those stimuli can be flickering at different frequencies which will produce SSVEPs at those respective frequencies. </w:t>
      </w:r>
      <w:r w:rsidR="007361D7">
        <w:rPr>
          <w:rFonts w:ascii="Times New Roman" w:hAnsi="Times New Roman" w:cs="Times New Roman"/>
          <w:sz w:val="24"/>
        </w:rPr>
        <w:t>SSVEPs have been particularly useful in the study of attention because t</w:t>
      </w:r>
      <w:r>
        <w:rPr>
          <w:rFonts w:ascii="Times New Roman" w:hAnsi="Times New Roman" w:cs="Times New Roman"/>
          <w:sz w:val="24"/>
        </w:rPr>
        <w:t xml:space="preserve">he amplitude of </w:t>
      </w:r>
      <w:r w:rsidR="007361D7">
        <w:rPr>
          <w:rFonts w:ascii="Times New Roman" w:hAnsi="Times New Roman" w:cs="Times New Roman"/>
          <w:sz w:val="24"/>
        </w:rPr>
        <w:t>SSVEPs is reliably increased by spatial and</w:t>
      </w:r>
      <w:r>
        <w:rPr>
          <w:rFonts w:ascii="Times New Roman" w:hAnsi="Times New Roman" w:cs="Times New Roman"/>
          <w:sz w:val="24"/>
        </w:rPr>
        <w:t xml:space="preserve"> feature-based attention</w:t>
      </w:r>
      <w:r w:rsidR="007361D7">
        <w:rPr>
          <w:rFonts w:ascii="Times New Roman" w:hAnsi="Times New Roman" w:cs="Times New Roman"/>
          <w:sz w:val="24"/>
        </w:rPr>
        <w:t xml:space="preserve"> </w:t>
      </w:r>
      <w:r w:rsidR="007361D7">
        <w:rPr>
          <w:rFonts w:ascii="Times New Roman" w:hAnsi="Times New Roman" w:cs="Times New Roman"/>
          <w:sz w:val="24"/>
        </w:rPr>
        <w:fldChar w:fldCharType="begin" w:fldLock="1"/>
      </w:r>
      <w:r w:rsidR="007361D7">
        <w:rPr>
          <w:rFonts w:ascii="Times New Roman" w:hAnsi="Times New Roman" w:cs="Times New Roman"/>
          <w:sz w:val="24"/>
        </w:rPr>
        <w:instrText>ADDIN CSL_CITATION { "citationItems" : [ { "id" : "ITEM-1", "itemData" : { "author" : [ { "dropping-particle" : "", "family" : "Andersen", "given" : "S. K.", "non-dropping-particle" : "", "parse-names" : false, "suffix" : "" }, { "dropping-particle" : "", "family" : "M\u00fcller", "given" : "M. M.", "non-dropping-particle" : "", "parse-names" : false, "suffix" : "" }, { "dropping-particle" : "", "family" : "Hillyard", "given" : "S. A.", "non-dropping-particle" : "", "parse-names" : false, "suffix" : "" } ], "container-title" : "Cognitive neuroscience of attention", "id" : "ITEM-1", "issued" : { "date-parts" : [ [ "2012" ] ] }, "page" : "197-216", "title" : "Tracking the allocation of attention in visual scenes with steady-state evoked potentials", "type" : "chapter" }, "uris" : [ "http://www.mendeley.com/documents/?uuid=28c20374-5264-4d18-9c59-9fc65e0360cf" ] } ], "mendeley" : { "formattedCitation" : "(Andersen et al., 2012)", "plainTextFormattedCitation" : "(Andersen et al., 2012)", "previouslyFormattedCitation" : "(Andersen et al., 2012)" }, "properties" : {  }, "schema" : "https://github.com/citation-style-language/schema/raw/master/csl-citation.json" }</w:instrText>
      </w:r>
      <w:r w:rsidR="007361D7">
        <w:rPr>
          <w:rFonts w:ascii="Times New Roman" w:hAnsi="Times New Roman" w:cs="Times New Roman"/>
          <w:sz w:val="24"/>
        </w:rPr>
        <w:fldChar w:fldCharType="separate"/>
      </w:r>
      <w:r w:rsidR="007361D7" w:rsidRPr="007361D7">
        <w:rPr>
          <w:rFonts w:ascii="Times New Roman" w:hAnsi="Times New Roman" w:cs="Times New Roman"/>
          <w:noProof/>
          <w:sz w:val="24"/>
        </w:rPr>
        <w:t>(Andersen et al., 2012)</w:t>
      </w:r>
      <w:r w:rsidR="007361D7">
        <w:rPr>
          <w:rFonts w:ascii="Times New Roman" w:hAnsi="Times New Roman" w:cs="Times New Roman"/>
          <w:sz w:val="24"/>
        </w:rPr>
        <w:fldChar w:fldCharType="end"/>
      </w:r>
      <w:r>
        <w:rPr>
          <w:rFonts w:ascii="Times New Roman" w:hAnsi="Times New Roman" w:cs="Times New Roman"/>
          <w:sz w:val="24"/>
        </w:rPr>
        <w:t xml:space="preserve">. </w:t>
      </w:r>
      <w:r w:rsidR="00D14292">
        <w:rPr>
          <w:rFonts w:ascii="Times New Roman" w:hAnsi="Times New Roman" w:cs="Times New Roman"/>
          <w:sz w:val="24"/>
        </w:rPr>
        <w:t xml:space="preserve">The application of SSVEPs has allowed for a clear experimental dissociation between spatial and feature-based </w:t>
      </w:r>
      <w:r w:rsidR="0090622D">
        <w:rPr>
          <w:rFonts w:ascii="Times New Roman" w:hAnsi="Times New Roman" w:cs="Times New Roman"/>
          <w:sz w:val="24"/>
        </w:rPr>
        <w:t xml:space="preserve">selective </w:t>
      </w:r>
      <w:r w:rsidR="00D14292">
        <w:rPr>
          <w:rFonts w:ascii="Times New Roman" w:hAnsi="Times New Roman" w:cs="Times New Roman"/>
          <w:sz w:val="24"/>
        </w:rPr>
        <w:t xml:space="preserve">attention </w:t>
      </w:r>
      <w:r w:rsidR="00D14292">
        <w:rPr>
          <w:rFonts w:ascii="Times New Roman" w:hAnsi="Times New Roman" w:cs="Times New Roman"/>
          <w:sz w:val="24"/>
        </w:rPr>
        <w:fldChar w:fldCharType="begin" w:fldLock="1"/>
      </w:r>
      <w:r w:rsidR="00D14292">
        <w:rPr>
          <w:rFonts w:ascii="Times New Roman" w:hAnsi="Times New Roman" w:cs="Times New Roman"/>
          <w:sz w:val="24"/>
        </w:rPr>
        <w:instrText>ADDIN CSL_CITATION { "citationItems" : [ { "id" : "ITEM-1", "itemData" : { "DOI" : "10.1073/pnas.0606668103", "ISBN" : "0027-8424 (Print)\\r0027-8424 (Linking)", "ISSN" : "0027-8424", "PMID" : "16956975", "abstract" : "We used an electrophysiological measure of selective stimulus processing (the steady-state visual evoked potential, SSVEP) to investigate feature-specific attention to color cues. Subjects viewed a display consisting of spatially intermingled red and blue dots that continually shifted their positions at random. The red and blue dots flickered at different frequencies and thereby elicited distinguishable SSVEP signals in the visual cortex. Paying attention selectively to either the red or blue dot population produced an enhanced amplitude of its frequency-tagged SSVEP, which was localized by source modeling to early levels of the visual cortex. A control experiment showed that this selection was based on color rather than flicker frequency cues. This signal amplification of attended color items provides an empirical basis for the rapid identification of feature conjunctions during visual search, as proposed by \"guided search\" models.", "author" : [ { "dropping-particle" : "", "family" : "Muller", "given" : "M. M.", "non-dropping-particle" : "", "parse-names" : false, "suffix" : "" }, { "dropping-particle" : "", "family" : "Andersen", "given" : "S.", "non-dropping-particle" : "", "parse-names" : false, "suffix" : "" }, { "dropping-particle" : "", "family" : "Trujillo", "given" : "N. J.", "non-dropping-particle" : "", "parse-names" : false, "suffix" : "" }, { "dropping-particle" : "", "family" : "Valdes-Sosa", "given" : "P.", "non-dropping-particle" : "", "parse-names" : false, "suffix" : "" }, { "dropping-particle" : "", "family" : "Malinowski", "given" : "P.", "non-dropping-particle" : "", "parse-names" : false, "suffix" : "" }, { "dropping-particle" : "", "family" : "Hillyard", "given" : "S. A.", "non-dropping-particle" : "", "parse-names" : false, "suffix" : "" } ], "container-title" : "Proceedings of the National Academy of Sciences", "id" : "ITEM-1", "issue" : "38", "issued" : { "date-parts" : [ [ "2006" ] ] }, "page" : "14250-14254", "title" : "Feature-selective attention enhances color signals in early visual areas of the human brain", "type" : "article-journal", "volume" : "103" }, "uris" : [ "http://www.mendeley.com/documents/?uuid=d58febe2-e333-40aa-9136-21f86120d7e7" ] } ], "mendeley" : { "formattedCitation" : "(Muller et al., 2006)", "plainTextFormattedCitation" : "(Muller et al., 2006)", "previouslyFormattedCitation" : "(Muller et al., 2006)" }, "properties" : {  }, "schema" : "https://github.com/citation-style-language/schema/raw/master/csl-citation.json" }</w:instrText>
      </w:r>
      <w:r w:rsidR="00D14292">
        <w:rPr>
          <w:rFonts w:ascii="Times New Roman" w:hAnsi="Times New Roman" w:cs="Times New Roman"/>
          <w:sz w:val="24"/>
        </w:rPr>
        <w:fldChar w:fldCharType="separate"/>
      </w:r>
      <w:r w:rsidR="00D14292" w:rsidRPr="00D14292">
        <w:rPr>
          <w:rFonts w:ascii="Times New Roman" w:hAnsi="Times New Roman" w:cs="Times New Roman"/>
          <w:noProof/>
          <w:sz w:val="24"/>
        </w:rPr>
        <w:t>(Muller et al., 2006)</w:t>
      </w:r>
      <w:r w:rsidR="00D14292">
        <w:rPr>
          <w:rFonts w:ascii="Times New Roman" w:hAnsi="Times New Roman" w:cs="Times New Roman"/>
          <w:sz w:val="24"/>
        </w:rPr>
        <w:fldChar w:fldCharType="end"/>
      </w:r>
      <w:r w:rsidR="00D14292">
        <w:rPr>
          <w:rFonts w:ascii="Times New Roman" w:hAnsi="Times New Roman" w:cs="Times New Roman"/>
          <w:sz w:val="24"/>
        </w:rPr>
        <w:t xml:space="preserve"> and for tracking the time-course of feature-based attention </w:t>
      </w:r>
      <w:r w:rsidR="00D14292">
        <w:rPr>
          <w:rFonts w:ascii="Times New Roman" w:hAnsi="Times New Roman" w:cs="Times New Roman"/>
          <w:sz w:val="24"/>
        </w:rPr>
        <w:fldChar w:fldCharType="begin" w:fldLock="1"/>
      </w:r>
      <w:r w:rsidR="00D14292">
        <w:rPr>
          <w:rFonts w:ascii="Times New Roman" w:hAnsi="Times New Roman" w:cs="Times New Roman"/>
          <w:sz w:val="24"/>
        </w:rPr>
        <w:instrText>ADDIN CSL_CITATION { "citationItems" : [ { "id" : "ITEM-1", "itemData" : { "DOI" : "10.1073/pnas.1002436107", "ISBN" : "1091-6490 (Electronic)\\r0027-8424 (Linking)", "ISSN" : "1091-6490", "PMID" : "20643918", "abstract" : "A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 "author" : [ { "dropping-particle" : "", "family" : "Andersen", "given" : "S K", "non-dropping-particle" : "", "parse-names" : false, "suffix" : "" }, { "dropping-particle" : "", "family" : "M\u00fcller", "given" : "M M", "non-dropping-particle" : "", "parse-names" : false, "suffix" : "" } ], "container-title" : "Proceedings of the National Academy of Sciences of the United States of America", "id" : "ITEM-1", "issue" : "31", "issued" : { "date-parts" : [ [ "2010" ] ] }, "page" : "13878-82", "title" : "Behavioral performance follows the time course of neural facilitation and suppression during cued shifts of feature-selective attention.", "type" : "article-journal", "volume" : "107" }, "uris" : [ "http://www.mendeley.com/documents/?uuid=4a5f2140-be6d-49d6-81c4-ac2ed9193f74" ] } ], "mendeley" : { "formattedCitation" : "(Andersen and M\u00fcller, 2010)", "plainTextFormattedCitation" : "(Andersen and M\u00fcller, 2010)", "previouslyFormattedCitation" : "(Andersen and M\u00fcller, 2010)" }, "properties" : {  }, "schema" : "https://github.com/citation-style-language/schema/raw/master/csl-citation.json" }</w:instrText>
      </w:r>
      <w:r w:rsidR="00D14292">
        <w:rPr>
          <w:rFonts w:ascii="Times New Roman" w:hAnsi="Times New Roman" w:cs="Times New Roman"/>
          <w:sz w:val="24"/>
        </w:rPr>
        <w:fldChar w:fldCharType="separate"/>
      </w:r>
      <w:r w:rsidR="00D14292" w:rsidRPr="00D14292">
        <w:rPr>
          <w:rFonts w:ascii="Times New Roman" w:hAnsi="Times New Roman" w:cs="Times New Roman"/>
          <w:noProof/>
          <w:sz w:val="24"/>
        </w:rPr>
        <w:t>(Andersen and Müller, 2010)</w:t>
      </w:r>
      <w:r w:rsidR="00D14292">
        <w:rPr>
          <w:rFonts w:ascii="Times New Roman" w:hAnsi="Times New Roman" w:cs="Times New Roman"/>
          <w:sz w:val="24"/>
        </w:rPr>
        <w:fldChar w:fldCharType="end"/>
      </w:r>
      <w:r w:rsidR="00D14292">
        <w:rPr>
          <w:rFonts w:ascii="Times New Roman" w:hAnsi="Times New Roman" w:cs="Times New Roman"/>
          <w:sz w:val="24"/>
        </w:rPr>
        <w:t xml:space="preserve">. </w:t>
      </w:r>
      <w:r w:rsidR="0090622D">
        <w:rPr>
          <w:rFonts w:ascii="Times New Roman" w:hAnsi="Times New Roman" w:cs="Times New Roman"/>
          <w:sz w:val="24"/>
        </w:rPr>
        <w:t xml:space="preserve">To summarize, SSVEPs provide a signal of good signal-to-noise ratio which enables: tracking simultaneous allocation of attention across multiple stimuli of different features; provide a measure of sustained attention; </w:t>
      </w:r>
      <w:r w:rsidR="004B1193">
        <w:rPr>
          <w:rFonts w:ascii="Times New Roman" w:hAnsi="Times New Roman" w:cs="Times New Roman"/>
          <w:sz w:val="24"/>
        </w:rPr>
        <w:t xml:space="preserve">and </w:t>
      </w:r>
      <w:r w:rsidR="0090622D">
        <w:rPr>
          <w:rFonts w:ascii="Times New Roman" w:hAnsi="Times New Roman" w:cs="Times New Roman"/>
          <w:sz w:val="24"/>
        </w:rPr>
        <w:t xml:space="preserve">can dissociate between spatial and feature-based attention. </w:t>
      </w:r>
    </w:p>
    <w:p w14:paraId="2076F2E4" w14:textId="77777777" w:rsidR="008A37A1" w:rsidRPr="00F514A9" w:rsidRDefault="008A37A1" w:rsidP="008A37A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the present study we aimed to better understand the influence of rewards on feature-based selective attention by simultaneously looking into the amount of attention allocated towards stimuli linked to high and low reward probabilities. We recorded the SSVEPs in conditions when participants attended colors linked to either high or low reward probabilities. This allowed for making a clear distinction between the effect of attention and the effect of reward magnitude. Finally, our experiment consisted out of three phases (baseline, acquisition, and extinction) that </w:t>
      </w:r>
      <w:r>
        <w:rPr>
          <w:rFonts w:ascii="Times New Roman" w:hAnsi="Times New Roman" w:cs="Times New Roman"/>
          <w:sz w:val="24"/>
        </w:rPr>
        <w:lastRenderedPageBreak/>
        <w:t xml:space="preserve">allowed us to investigate the influence of reward probability on attention when rewards are present, but also when they are no longer relevant. </w:t>
      </w:r>
    </w:p>
    <w:p w14:paraId="3CE46156" w14:textId="77777777" w:rsidR="008A37A1" w:rsidRDefault="008A37A1" w:rsidP="007B3943">
      <w:pPr>
        <w:spacing w:line="480" w:lineRule="auto"/>
        <w:ind w:firstLine="720"/>
        <w:jc w:val="both"/>
        <w:rPr>
          <w:rFonts w:ascii="Times New Roman" w:hAnsi="Times New Roman" w:cs="Times New Roman"/>
          <w:sz w:val="24"/>
        </w:rPr>
      </w:pPr>
    </w:p>
    <w:p w14:paraId="762B2433" w14:textId="77777777" w:rsidR="00555B1B" w:rsidRPr="000C7DEE" w:rsidRDefault="00555B1B" w:rsidP="00555B1B">
      <w:pPr>
        <w:spacing w:line="480" w:lineRule="auto"/>
        <w:jc w:val="both"/>
        <w:rPr>
          <w:rFonts w:ascii="Times New Roman" w:hAnsi="Times New Roman" w:cs="Times New Roman"/>
          <w:b/>
          <w:sz w:val="24"/>
        </w:rPr>
      </w:pPr>
      <w:r w:rsidRPr="000C7DEE">
        <w:rPr>
          <w:rFonts w:ascii="Times New Roman" w:hAnsi="Times New Roman" w:cs="Times New Roman"/>
          <w:b/>
          <w:sz w:val="24"/>
        </w:rPr>
        <w:t>Andersen et al., 2012</w:t>
      </w:r>
    </w:p>
    <w:p w14:paraId="7B82BCFF" w14:textId="11B1E321" w:rsidR="00555B1B" w:rsidRDefault="0090622D" w:rsidP="00555B1B">
      <w:pPr>
        <w:spacing w:line="480" w:lineRule="auto"/>
        <w:jc w:val="both"/>
        <w:rPr>
          <w:rFonts w:ascii="Times New Roman" w:hAnsi="Times New Roman" w:cs="Times New Roman"/>
          <w:sz w:val="24"/>
        </w:rPr>
      </w:pPr>
      <w:r>
        <w:rPr>
          <w:rFonts w:ascii="Times New Roman" w:hAnsi="Times New Roman" w:cs="Times New Roman"/>
          <w:sz w:val="24"/>
        </w:rPr>
        <w:t xml:space="preserve"> </w:t>
      </w:r>
      <w:r w:rsidR="00555B1B">
        <w:rPr>
          <w:rFonts w:ascii="Times New Roman" w:hAnsi="Times New Roman" w:cs="Times New Roman"/>
          <w:sz w:val="24"/>
        </w:rPr>
        <w:t>“In typical visual search paradigms, each element of the search display is presented at a unique location, and hence spatial locations and features are confounded”</w:t>
      </w:r>
    </w:p>
    <w:p w14:paraId="61997726"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 xml:space="preserve">SSVEPs scale with the amount of attention: </w:t>
      </w:r>
      <w:proofErr w:type="spellStart"/>
      <w:r w:rsidRPr="0033469E">
        <w:rPr>
          <w:rFonts w:ascii="Times New Roman" w:hAnsi="Times New Roman" w:cs="Times New Roman"/>
          <w:sz w:val="24"/>
        </w:rPr>
        <w:t>Toffanin</w:t>
      </w:r>
      <w:proofErr w:type="spellEnd"/>
      <w:r w:rsidRPr="0033469E">
        <w:rPr>
          <w:rFonts w:ascii="Times New Roman" w:hAnsi="Times New Roman" w:cs="Times New Roman"/>
          <w:sz w:val="24"/>
        </w:rPr>
        <w:t>, P., de Jong, R., Johnson, A., &amp; Martens, S. (2009). Using frequency tagging to quantify attentional deployment in a visual divided attention task. International Journal of Psychophysiology, 72(3), 289-298.</w:t>
      </w:r>
    </w:p>
    <w:p w14:paraId="577CD807" w14:textId="77777777" w:rsidR="00555B1B" w:rsidRPr="009B4EF7" w:rsidRDefault="00555B1B" w:rsidP="00555B1B">
      <w:pPr>
        <w:spacing w:line="480" w:lineRule="auto"/>
        <w:jc w:val="both"/>
        <w:rPr>
          <w:rFonts w:ascii="Times New Roman" w:hAnsi="Times New Roman" w:cs="Times New Roman"/>
          <w:b/>
          <w:sz w:val="24"/>
        </w:rPr>
      </w:pPr>
      <w:r>
        <w:rPr>
          <w:rFonts w:ascii="Times New Roman" w:hAnsi="Times New Roman" w:cs="Times New Roman"/>
          <w:b/>
          <w:sz w:val="24"/>
        </w:rPr>
        <w:t>Norcia et al., 2015</w:t>
      </w:r>
    </w:p>
    <w:p w14:paraId="6B785B9B" w14:textId="77777777" w:rsidR="00555B1B" w:rsidRPr="000C7DEE" w:rsidRDefault="00555B1B" w:rsidP="00555B1B">
      <w:pPr>
        <w:spacing w:line="480" w:lineRule="auto"/>
        <w:jc w:val="both"/>
        <w:rPr>
          <w:rFonts w:ascii="Times New Roman" w:hAnsi="Times New Roman" w:cs="Times New Roman"/>
          <w:i/>
          <w:sz w:val="24"/>
        </w:rPr>
      </w:pPr>
      <w:r>
        <w:rPr>
          <w:rFonts w:ascii="Times New Roman" w:hAnsi="Times New Roman" w:cs="Times New Roman"/>
          <w:i/>
          <w:sz w:val="24"/>
        </w:rPr>
        <w:t>Advantages of SSVEPs</w:t>
      </w:r>
    </w:p>
    <w:p w14:paraId="035F4C10"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w:t>
      </w:r>
      <w:r w:rsidRPr="009B4EF7">
        <w:rPr>
          <w:rFonts w:ascii="Times New Roman" w:hAnsi="Times New Roman" w:cs="Times New Roman"/>
          <w:sz w:val="24"/>
        </w:rPr>
        <w:t>The SSVEP is particularly well suited to attention</w:t>
      </w:r>
      <w:r>
        <w:rPr>
          <w:rFonts w:ascii="Times New Roman" w:hAnsi="Times New Roman" w:cs="Times New Roman"/>
          <w:sz w:val="24"/>
        </w:rPr>
        <w:t xml:space="preserve"> </w:t>
      </w:r>
      <w:r w:rsidRPr="009B4EF7">
        <w:rPr>
          <w:rFonts w:ascii="Times New Roman" w:hAnsi="Times New Roman" w:cs="Times New Roman"/>
          <w:sz w:val="24"/>
        </w:rPr>
        <w:t>research questions, as it provides a high-SNR measure</w:t>
      </w:r>
      <w:r>
        <w:rPr>
          <w:rFonts w:ascii="Times New Roman" w:hAnsi="Times New Roman" w:cs="Times New Roman"/>
          <w:sz w:val="24"/>
        </w:rPr>
        <w:t xml:space="preserve"> </w:t>
      </w:r>
      <w:r w:rsidRPr="009B4EF7">
        <w:rPr>
          <w:rFonts w:ascii="Times New Roman" w:hAnsi="Times New Roman" w:cs="Times New Roman"/>
          <w:sz w:val="24"/>
        </w:rPr>
        <w:t>of neural activity that can be unambiguously associated</w:t>
      </w:r>
      <w:r>
        <w:rPr>
          <w:rFonts w:ascii="Times New Roman" w:hAnsi="Times New Roman" w:cs="Times New Roman"/>
          <w:sz w:val="24"/>
        </w:rPr>
        <w:t xml:space="preserve"> </w:t>
      </w:r>
      <w:r w:rsidRPr="009B4EF7">
        <w:rPr>
          <w:rFonts w:ascii="Times New Roman" w:hAnsi="Times New Roman" w:cs="Times New Roman"/>
          <w:sz w:val="24"/>
        </w:rPr>
        <w:t>with specific external stimuli, even when multiple</w:t>
      </w:r>
      <w:r>
        <w:rPr>
          <w:rFonts w:ascii="Times New Roman" w:hAnsi="Times New Roman" w:cs="Times New Roman"/>
          <w:sz w:val="24"/>
        </w:rPr>
        <w:t xml:space="preserve"> </w:t>
      </w:r>
      <w:r w:rsidRPr="009B4EF7">
        <w:rPr>
          <w:rFonts w:ascii="Times New Roman" w:hAnsi="Times New Roman" w:cs="Times New Roman"/>
          <w:sz w:val="24"/>
        </w:rPr>
        <w:t>stimuli are present at the same time. Importantly, it</w:t>
      </w:r>
      <w:r>
        <w:rPr>
          <w:rFonts w:ascii="Times New Roman" w:hAnsi="Times New Roman" w:cs="Times New Roman"/>
          <w:sz w:val="24"/>
        </w:rPr>
        <w:t xml:space="preserve"> </w:t>
      </w:r>
      <w:r w:rsidRPr="000C7DEE">
        <w:rPr>
          <w:rFonts w:ascii="Times New Roman" w:hAnsi="Times New Roman" w:cs="Times New Roman"/>
          <w:sz w:val="24"/>
          <w:highlight w:val="yellow"/>
        </w:rPr>
        <w:t>allows monitoring of responses made to stimuli that are outside of the focus of attention, something that is difficult to do with behavioral methods.</w:t>
      </w:r>
      <w:r w:rsidRPr="009B4EF7">
        <w:rPr>
          <w:rFonts w:ascii="Times New Roman" w:hAnsi="Times New Roman" w:cs="Times New Roman"/>
          <w:sz w:val="24"/>
        </w:rPr>
        <w:t xml:space="preserve"> Moreover, the</w:t>
      </w:r>
      <w:r>
        <w:rPr>
          <w:rFonts w:ascii="Times New Roman" w:hAnsi="Times New Roman" w:cs="Times New Roman"/>
          <w:sz w:val="24"/>
        </w:rPr>
        <w:t xml:space="preserve"> </w:t>
      </w:r>
      <w:r w:rsidRPr="009B4EF7">
        <w:rPr>
          <w:rFonts w:ascii="Times New Roman" w:hAnsi="Times New Roman" w:cs="Times New Roman"/>
          <w:sz w:val="24"/>
        </w:rPr>
        <w:t>SSVEP can be flexibly deployed over a number of</w:t>
      </w:r>
      <w:r>
        <w:rPr>
          <w:rFonts w:ascii="Times New Roman" w:hAnsi="Times New Roman" w:cs="Times New Roman"/>
          <w:sz w:val="24"/>
        </w:rPr>
        <w:t xml:space="preserve"> </w:t>
      </w:r>
      <w:r w:rsidRPr="009B4EF7">
        <w:rPr>
          <w:rFonts w:ascii="Times New Roman" w:hAnsi="Times New Roman" w:cs="Times New Roman"/>
          <w:sz w:val="24"/>
        </w:rPr>
        <w:t>configurations, including the tagging of both spatially</w:t>
      </w:r>
      <w:r>
        <w:rPr>
          <w:rFonts w:ascii="Times New Roman" w:hAnsi="Times New Roman" w:cs="Times New Roman"/>
          <w:sz w:val="24"/>
        </w:rPr>
        <w:t xml:space="preserve"> </w:t>
      </w:r>
      <w:r w:rsidRPr="009B4EF7">
        <w:rPr>
          <w:rFonts w:ascii="Times New Roman" w:hAnsi="Times New Roman" w:cs="Times New Roman"/>
          <w:sz w:val="24"/>
        </w:rPr>
        <w:t>distinct and spatially overlapping stimuli. In light of</w:t>
      </w:r>
      <w:r>
        <w:rPr>
          <w:rFonts w:ascii="Times New Roman" w:hAnsi="Times New Roman" w:cs="Times New Roman"/>
          <w:sz w:val="24"/>
        </w:rPr>
        <w:t xml:space="preserve"> </w:t>
      </w:r>
      <w:r w:rsidRPr="009B4EF7">
        <w:rPr>
          <w:rFonts w:ascii="Times New Roman" w:hAnsi="Times New Roman" w:cs="Times New Roman"/>
          <w:sz w:val="24"/>
        </w:rPr>
        <w:t>these attributes, the SSVEP approach has gained</w:t>
      </w:r>
      <w:r>
        <w:rPr>
          <w:rFonts w:ascii="Times New Roman" w:hAnsi="Times New Roman" w:cs="Times New Roman"/>
          <w:sz w:val="24"/>
        </w:rPr>
        <w:t xml:space="preserve"> </w:t>
      </w:r>
      <w:r w:rsidRPr="009B4EF7">
        <w:rPr>
          <w:rFonts w:ascii="Times New Roman" w:hAnsi="Times New Roman" w:cs="Times New Roman"/>
          <w:sz w:val="24"/>
        </w:rPr>
        <w:t>possibly its greatest utility in studies that have</w:t>
      </w:r>
      <w:r>
        <w:rPr>
          <w:rFonts w:ascii="Times New Roman" w:hAnsi="Times New Roman" w:cs="Times New Roman"/>
          <w:sz w:val="24"/>
        </w:rPr>
        <w:t xml:space="preserve"> </w:t>
      </w:r>
      <w:r w:rsidRPr="009B4EF7">
        <w:rPr>
          <w:rFonts w:ascii="Times New Roman" w:hAnsi="Times New Roman" w:cs="Times New Roman"/>
          <w:sz w:val="24"/>
        </w:rPr>
        <w:t>addressed the cognitive and neural mechanisms underlying volitional attention in human beings.</w:t>
      </w:r>
      <w:r>
        <w:rPr>
          <w:rFonts w:ascii="Times New Roman" w:hAnsi="Times New Roman" w:cs="Times New Roman"/>
          <w:sz w:val="24"/>
        </w:rPr>
        <w:t>”</w:t>
      </w:r>
    </w:p>
    <w:p w14:paraId="79F5B3F0" w14:textId="77777777" w:rsidR="00555B1B" w:rsidRPr="000C7DEE" w:rsidRDefault="00555B1B" w:rsidP="00555B1B">
      <w:pPr>
        <w:spacing w:line="480" w:lineRule="auto"/>
        <w:jc w:val="both"/>
        <w:rPr>
          <w:rFonts w:ascii="Times New Roman" w:hAnsi="Times New Roman" w:cs="Times New Roman"/>
          <w:i/>
          <w:sz w:val="24"/>
        </w:rPr>
      </w:pPr>
      <w:r>
        <w:rPr>
          <w:rFonts w:ascii="Times New Roman" w:hAnsi="Times New Roman" w:cs="Times New Roman"/>
          <w:i/>
          <w:sz w:val="24"/>
        </w:rPr>
        <w:t>Dissociating spatial and feature attention</w:t>
      </w:r>
    </w:p>
    <w:p w14:paraId="6204EBE1"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lastRenderedPageBreak/>
        <w:t>“</w:t>
      </w:r>
      <w:r w:rsidRPr="000C7DEE">
        <w:rPr>
          <w:rFonts w:ascii="Times New Roman" w:hAnsi="Times New Roman" w:cs="Times New Roman"/>
          <w:sz w:val="24"/>
        </w:rPr>
        <w:t>The multi-input SSVEP studies already discussed</w:t>
      </w:r>
      <w:r>
        <w:rPr>
          <w:rFonts w:ascii="Times New Roman" w:hAnsi="Times New Roman" w:cs="Times New Roman"/>
          <w:sz w:val="24"/>
        </w:rPr>
        <w:t xml:space="preserve"> </w:t>
      </w:r>
      <w:r w:rsidRPr="000C7DEE">
        <w:rPr>
          <w:rFonts w:ascii="Times New Roman" w:hAnsi="Times New Roman" w:cs="Times New Roman"/>
          <w:sz w:val="24"/>
        </w:rPr>
        <w:t>provide compelling evidence that volitional attention</w:t>
      </w:r>
      <w:r>
        <w:rPr>
          <w:rFonts w:ascii="Times New Roman" w:hAnsi="Times New Roman" w:cs="Times New Roman"/>
          <w:sz w:val="24"/>
        </w:rPr>
        <w:t xml:space="preserve"> </w:t>
      </w:r>
      <w:r w:rsidRPr="000C7DEE">
        <w:rPr>
          <w:rFonts w:ascii="Times New Roman" w:hAnsi="Times New Roman" w:cs="Times New Roman"/>
          <w:sz w:val="24"/>
        </w:rPr>
        <w:t>operates on spatially distinct regions of a scene to</w:t>
      </w:r>
      <w:r>
        <w:rPr>
          <w:rFonts w:ascii="Times New Roman" w:hAnsi="Times New Roman" w:cs="Times New Roman"/>
          <w:sz w:val="24"/>
        </w:rPr>
        <w:t xml:space="preserve"> </w:t>
      </w:r>
      <w:r w:rsidRPr="000C7DEE">
        <w:rPr>
          <w:rFonts w:ascii="Times New Roman" w:hAnsi="Times New Roman" w:cs="Times New Roman"/>
          <w:sz w:val="24"/>
        </w:rPr>
        <w:t>modulate neural processing in an adaptive, goal</w:t>
      </w:r>
      <w:r>
        <w:rPr>
          <w:rFonts w:ascii="Times New Roman" w:hAnsi="Times New Roman" w:cs="Times New Roman"/>
          <w:sz w:val="24"/>
        </w:rPr>
        <w:t xml:space="preserve"> </w:t>
      </w:r>
      <w:r w:rsidRPr="000C7DEE">
        <w:rPr>
          <w:rFonts w:ascii="Times New Roman" w:hAnsi="Times New Roman" w:cs="Times New Roman"/>
          <w:sz w:val="24"/>
        </w:rPr>
        <w:t>oriented manner. Ample evidence also exists that</w:t>
      </w:r>
      <w:r>
        <w:rPr>
          <w:rFonts w:ascii="Times New Roman" w:hAnsi="Times New Roman" w:cs="Times New Roman"/>
          <w:sz w:val="24"/>
        </w:rPr>
        <w:t xml:space="preserve"> </w:t>
      </w:r>
      <w:r w:rsidRPr="000C7DEE">
        <w:rPr>
          <w:rFonts w:ascii="Times New Roman" w:hAnsi="Times New Roman" w:cs="Times New Roman"/>
          <w:sz w:val="24"/>
        </w:rPr>
        <w:t>attention can operate in a nonspatial manner to</w:t>
      </w:r>
      <w:r>
        <w:rPr>
          <w:rFonts w:ascii="Times New Roman" w:hAnsi="Times New Roman" w:cs="Times New Roman"/>
          <w:sz w:val="24"/>
        </w:rPr>
        <w:t xml:space="preserve"> </w:t>
      </w:r>
      <w:r w:rsidRPr="000C7DEE">
        <w:rPr>
          <w:rFonts w:ascii="Times New Roman" w:hAnsi="Times New Roman" w:cs="Times New Roman"/>
          <w:sz w:val="24"/>
        </w:rPr>
        <w:t>enhance processing of particular visual features such as</w:t>
      </w:r>
      <w:r>
        <w:rPr>
          <w:rFonts w:ascii="Times New Roman" w:hAnsi="Times New Roman" w:cs="Times New Roman"/>
          <w:sz w:val="24"/>
        </w:rPr>
        <w:t xml:space="preserve"> </w:t>
      </w:r>
      <w:r w:rsidRPr="000C7DEE">
        <w:rPr>
          <w:rFonts w:ascii="Times New Roman" w:hAnsi="Times New Roman" w:cs="Times New Roman"/>
          <w:sz w:val="24"/>
        </w:rPr>
        <w:t>color, orientation, or direction of motion. Because the</w:t>
      </w:r>
      <w:r>
        <w:rPr>
          <w:rFonts w:ascii="Times New Roman" w:hAnsi="Times New Roman" w:cs="Times New Roman"/>
          <w:sz w:val="24"/>
        </w:rPr>
        <w:t xml:space="preserve"> </w:t>
      </w:r>
      <w:r w:rsidRPr="000C7DEE">
        <w:rPr>
          <w:rFonts w:ascii="Times New Roman" w:hAnsi="Times New Roman" w:cs="Times New Roman"/>
          <w:sz w:val="24"/>
        </w:rPr>
        <w:t>SSVEP can be obtained from multiple overlapping</w:t>
      </w:r>
      <w:r>
        <w:rPr>
          <w:rFonts w:ascii="Times New Roman" w:hAnsi="Times New Roman" w:cs="Times New Roman"/>
          <w:sz w:val="24"/>
        </w:rPr>
        <w:t xml:space="preserve"> </w:t>
      </w:r>
      <w:r w:rsidRPr="000C7DEE">
        <w:rPr>
          <w:rFonts w:ascii="Times New Roman" w:hAnsi="Times New Roman" w:cs="Times New Roman"/>
          <w:sz w:val="24"/>
        </w:rPr>
        <w:t>stimuli, this method has been particularly useful in</w:t>
      </w:r>
      <w:r>
        <w:rPr>
          <w:rFonts w:ascii="Times New Roman" w:hAnsi="Times New Roman" w:cs="Times New Roman"/>
          <w:sz w:val="24"/>
        </w:rPr>
        <w:t xml:space="preserve"> </w:t>
      </w:r>
      <w:r w:rsidRPr="000C7DEE">
        <w:rPr>
          <w:rFonts w:ascii="Times New Roman" w:hAnsi="Times New Roman" w:cs="Times New Roman"/>
          <w:sz w:val="24"/>
        </w:rPr>
        <w:t>elucidating the neural mechanisms underlying such</w:t>
      </w:r>
      <w:r>
        <w:rPr>
          <w:rFonts w:ascii="Times New Roman" w:hAnsi="Times New Roman" w:cs="Times New Roman"/>
          <w:sz w:val="24"/>
        </w:rPr>
        <w:t xml:space="preserve"> </w:t>
      </w:r>
      <w:r w:rsidRPr="000C7DEE">
        <w:rPr>
          <w:rFonts w:ascii="Times New Roman" w:hAnsi="Times New Roman" w:cs="Times New Roman"/>
          <w:sz w:val="24"/>
        </w:rPr>
        <w:t>feature-based attention.</w:t>
      </w:r>
    </w:p>
    <w:p w14:paraId="71DA13F1" w14:textId="77777777" w:rsidR="00555B1B"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w:t>
      </w:r>
      <w:r w:rsidRPr="000C7DEE">
        <w:rPr>
          <w:rFonts w:ascii="Times New Roman" w:hAnsi="Times New Roman" w:cs="Times New Roman"/>
          <w:sz w:val="24"/>
        </w:rPr>
        <w:t xml:space="preserve">Beginning in 2006, Muller, Andersen, and </w:t>
      </w:r>
      <w:proofErr w:type="spellStart"/>
      <w:r w:rsidRPr="000C7DEE">
        <w:rPr>
          <w:rFonts w:ascii="Times New Roman" w:hAnsi="Times New Roman" w:cs="Times New Roman"/>
          <w:sz w:val="24"/>
        </w:rPr>
        <w:t>Hillyard</w:t>
      </w:r>
      <w:proofErr w:type="spellEnd"/>
      <w:r>
        <w:rPr>
          <w:rFonts w:ascii="Times New Roman" w:hAnsi="Times New Roman" w:cs="Times New Roman"/>
          <w:sz w:val="24"/>
        </w:rPr>
        <w:t xml:space="preserve"> </w:t>
      </w:r>
      <w:r w:rsidRPr="000C7DEE">
        <w:rPr>
          <w:rFonts w:ascii="Times New Roman" w:hAnsi="Times New Roman" w:cs="Times New Roman"/>
          <w:sz w:val="24"/>
        </w:rPr>
        <w:t>conducted a series of elegant studies aimed at</w:t>
      </w:r>
      <w:r>
        <w:rPr>
          <w:rFonts w:ascii="Times New Roman" w:hAnsi="Times New Roman" w:cs="Times New Roman"/>
          <w:sz w:val="24"/>
        </w:rPr>
        <w:t xml:space="preserve"> </w:t>
      </w:r>
      <w:r w:rsidRPr="000C7DEE">
        <w:rPr>
          <w:rFonts w:ascii="Times New Roman" w:hAnsi="Times New Roman" w:cs="Times New Roman"/>
          <w:sz w:val="24"/>
        </w:rPr>
        <w:t>dissociating the influence of attention to features and</w:t>
      </w:r>
      <w:r>
        <w:rPr>
          <w:rFonts w:ascii="Times New Roman" w:hAnsi="Times New Roman" w:cs="Times New Roman"/>
          <w:sz w:val="24"/>
        </w:rPr>
        <w:t xml:space="preserve"> </w:t>
      </w:r>
      <w:r w:rsidRPr="000C7DEE">
        <w:rPr>
          <w:rFonts w:ascii="Times New Roman" w:hAnsi="Times New Roman" w:cs="Times New Roman"/>
          <w:sz w:val="24"/>
        </w:rPr>
        <w:t>feature conjunctions from the influence of spatial</w:t>
      </w:r>
      <w:r>
        <w:rPr>
          <w:rFonts w:ascii="Times New Roman" w:hAnsi="Times New Roman" w:cs="Times New Roman"/>
          <w:sz w:val="24"/>
        </w:rPr>
        <w:t xml:space="preserve"> </w:t>
      </w:r>
      <w:r w:rsidRPr="000C7DEE">
        <w:rPr>
          <w:rFonts w:ascii="Times New Roman" w:hAnsi="Times New Roman" w:cs="Times New Roman"/>
          <w:sz w:val="24"/>
        </w:rPr>
        <w:t>attention. These studies utilized overlapping fields of</w:t>
      </w:r>
      <w:r>
        <w:rPr>
          <w:rFonts w:ascii="Times New Roman" w:hAnsi="Times New Roman" w:cs="Times New Roman"/>
          <w:sz w:val="24"/>
        </w:rPr>
        <w:t xml:space="preserve"> </w:t>
      </w:r>
      <w:r w:rsidRPr="000C7DEE">
        <w:rPr>
          <w:rFonts w:ascii="Times New Roman" w:hAnsi="Times New Roman" w:cs="Times New Roman"/>
          <w:sz w:val="24"/>
        </w:rPr>
        <w:t>randomly moving red and blue colored (or in some</w:t>
      </w:r>
      <w:r>
        <w:rPr>
          <w:rFonts w:ascii="Times New Roman" w:hAnsi="Times New Roman" w:cs="Times New Roman"/>
          <w:sz w:val="24"/>
        </w:rPr>
        <w:t xml:space="preserve"> </w:t>
      </w:r>
      <w:r w:rsidRPr="000C7DEE">
        <w:rPr>
          <w:rFonts w:ascii="Times New Roman" w:hAnsi="Times New Roman" w:cs="Times New Roman"/>
          <w:sz w:val="24"/>
        </w:rPr>
        <w:t>cases achromatic) dots that were modulated at distinct</w:t>
      </w:r>
      <w:r>
        <w:rPr>
          <w:rFonts w:ascii="Times New Roman" w:hAnsi="Times New Roman" w:cs="Times New Roman"/>
          <w:sz w:val="24"/>
        </w:rPr>
        <w:t xml:space="preserve"> </w:t>
      </w:r>
      <w:r w:rsidRPr="000C7DEE">
        <w:rPr>
          <w:rFonts w:ascii="Times New Roman" w:hAnsi="Times New Roman" w:cs="Times New Roman"/>
          <w:sz w:val="24"/>
        </w:rPr>
        <w:t>frequencies (Figure 15).</w:t>
      </w:r>
      <w:r>
        <w:rPr>
          <w:rFonts w:ascii="Times New Roman" w:hAnsi="Times New Roman" w:cs="Times New Roman"/>
          <w:sz w:val="24"/>
        </w:rPr>
        <w:t>”</w:t>
      </w:r>
    </w:p>
    <w:p w14:paraId="563BF265" w14:textId="77777777" w:rsidR="00555B1B" w:rsidRPr="000C7DEE" w:rsidRDefault="00555B1B" w:rsidP="00555B1B">
      <w:pPr>
        <w:spacing w:line="480" w:lineRule="auto"/>
        <w:jc w:val="both"/>
        <w:rPr>
          <w:rFonts w:ascii="Times New Roman" w:hAnsi="Times New Roman" w:cs="Times New Roman"/>
          <w:i/>
          <w:sz w:val="24"/>
        </w:rPr>
      </w:pPr>
      <w:r>
        <w:rPr>
          <w:rFonts w:ascii="Times New Roman" w:hAnsi="Times New Roman" w:cs="Times New Roman"/>
          <w:i/>
          <w:sz w:val="24"/>
        </w:rPr>
        <w:t>Attended vs. unattended advantage</w:t>
      </w:r>
    </w:p>
    <w:p w14:paraId="54CEF19E" w14:textId="77777777" w:rsidR="00555B1B" w:rsidRPr="000C7DEE" w:rsidRDefault="00555B1B" w:rsidP="00555B1B">
      <w:pPr>
        <w:spacing w:line="480" w:lineRule="auto"/>
        <w:jc w:val="both"/>
        <w:rPr>
          <w:rFonts w:ascii="Times New Roman" w:hAnsi="Times New Roman" w:cs="Times New Roman"/>
          <w:sz w:val="24"/>
        </w:rPr>
      </w:pPr>
      <w:r>
        <w:rPr>
          <w:rFonts w:ascii="Times New Roman" w:hAnsi="Times New Roman" w:cs="Times New Roman"/>
          <w:sz w:val="24"/>
        </w:rPr>
        <w:t>“</w:t>
      </w:r>
      <w:r w:rsidRPr="000C7DEE">
        <w:rPr>
          <w:rFonts w:ascii="Times New Roman" w:hAnsi="Times New Roman" w:cs="Times New Roman"/>
          <w:sz w:val="24"/>
        </w:rPr>
        <w:t>Frequency tagging makes it possible to monitor the</w:t>
      </w:r>
      <w:r>
        <w:rPr>
          <w:rFonts w:ascii="Times New Roman" w:hAnsi="Times New Roman" w:cs="Times New Roman"/>
          <w:sz w:val="24"/>
        </w:rPr>
        <w:t xml:space="preserve"> </w:t>
      </w:r>
      <w:r w:rsidRPr="000C7DEE">
        <w:rPr>
          <w:rFonts w:ascii="Times New Roman" w:hAnsi="Times New Roman" w:cs="Times New Roman"/>
          <w:sz w:val="24"/>
        </w:rPr>
        <w:t>response to multiple stimuli that are simultaneously</w:t>
      </w:r>
      <w:r>
        <w:rPr>
          <w:rFonts w:ascii="Times New Roman" w:hAnsi="Times New Roman" w:cs="Times New Roman"/>
          <w:sz w:val="24"/>
        </w:rPr>
        <w:t xml:space="preserve"> </w:t>
      </w:r>
      <w:r w:rsidRPr="000C7DEE">
        <w:rPr>
          <w:rFonts w:ascii="Times New Roman" w:hAnsi="Times New Roman" w:cs="Times New Roman"/>
          <w:sz w:val="24"/>
        </w:rPr>
        <w:t>visible. This feature of the SSVEP makes it possible to</w:t>
      </w:r>
      <w:r>
        <w:rPr>
          <w:rFonts w:ascii="Times New Roman" w:hAnsi="Times New Roman" w:cs="Times New Roman"/>
          <w:sz w:val="24"/>
        </w:rPr>
        <w:t xml:space="preserve"> </w:t>
      </w:r>
      <w:r w:rsidRPr="000C7DEE">
        <w:rPr>
          <w:rFonts w:ascii="Times New Roman" w:hAnsi="Times New Roman" w:cs="Times New Roman"/>
          <w:sz w:val="24"/>
        </w:rPr>
        <w:t>measure the effects of allocating attention to spatial</w:t>
      </w:r>
      <w:r>
        <w:rPr>
          <w:rFonts w:ascii="Times New Roman" w:hAnsi="Times New Roman" w:cs="Times New Roman"/>
          <w:sz w:val="24"/>
        </w:rPr>
        <w:t xml:space="preserve"> </w:t>
      </w:r>
      <w:r w:rsidRPr="000C7DEE">
        <w:rPr>
          <w:rFonts w:ascii="Times New Roman" w:hAnsi="Times New Roman" w:cs="Times New Roman"/>
          <w:sz w:val="24"/>
        </w:rPr>
        <w:t>location even for stimuli that are outside of the focus of</w:t>
      </w:r>
      <w:r>
        <w:rPr>
          <w:rFonts w:ascii="Times New Roman" w:hAnsi="Times New Roman" w:cs="Times New Roman"/>
          <w:sz w:val="24"/>
        </w:rPr>
        <w:t xml:space="preserve"> </w:t>
      </w:r>
      <w:r w:rsidRPr="000C7DEE">
        <w:rPr>
          <w:rFonts w:ascii="Times New Roman" w:hAnsi="Times New Roman" w:cs="Times New Roman"/>
          <w:sz w:val="24"/>
        </w:rPr>
        <w:t>conscious attention. In the first application of the</w:t>
      </w:r>
      <w:r>
        <w:rPr>
          <w:rFonts w:ascii="Times New Roman" w:hAnsi="Times New Roman" w:cs="Times New Roman"/>
          <w:sz w:val="24"/>
        </w:rPr>
        <w:t xml:space="preserve"> </w:t>
      </w:r>
      <w:r w:rsidRPr="000C7DEE">
        <w:rPr>
          <w:rFonts w:ascii="Times New Roman" w:hAnsi="Times New Roman" w:cs="Times New Roman"/>
          <w:sz w:val="24"/>
        </w:rPr>
        <w:t>SSVEP to spatial attention (Morgan, Hansen, &amp;</w:t>
      </w:r>
      <w:r>
        <w:rPr>
          <w:rFonts w:ascii="Times New Roman" w:hAnsi="Times New Roman" w:cs="Times New Roman"/>
          <w:sz w:val="24"/>
        </w:rPr>
        <w:t xml:space="preserve"> </w:t>
      </w:r>
      <w:proofErr w:type="spellStart"/>
      <w:r w:rsidRPr="000C7DEE">
        <w:rPr>
          <w:rFonts w:ascii="Times New Roman" w:hAnsi="Times New Roman" w:cs="Times New Roman"/>
          <w:sz w:val="24"/>
        </w:rPr>
        <w:t>Hillyard</w:t>
      </w:r>
      <w:proofErr w:type="spellEnd"/>
      <w:r w:rsidRPr="000C7DEE">
        <w:rPr>
          <w:rFonts w:ascii="Times New Roman" w:hAnsi="Times New Roman" w:cs="Times New Roman"/>
          <w:sz w:val="24"/>
        </w:rPr>
        <w:t>, 1996), two strings of alphanumeric characters</w:t>
      </w:r>
      <w:r>
        <w:rPr>
          <w:rFonts w:ascii="Times New Roman" w:hAnsi="Times New Roman" w:cs="Times New Roman"/>
          <w:sz w:val="24"/>
        </w:rPr>
        <w:t xml:space="preserve"> </w:t>
      </w:r>
      <w:r w:rsidRPr="000C7DEE">
        <w:rPr>
          <w:rFonts w:ascii="Times New Roman" w:hAnsi="Times New Roman" w:cs="Times New Roman"/>
          <w:sz w:val="24"/>
        </w:rPr>
        <w:t xml:space="preserve">were presented in the left and right visual </w:t>
      </w:r>
      <w:proofErr w:type="spellStart"/>
      <w:r w:rsidRPr="000C7DEE">
        <w:rPr>
          <w:rFonts w:ascii="Times New Roman" w:hAnsi="Times New Roman" w:cs="Times New Roman"/>
          <w:sz w:val="24"/>
        </w:rPr>
        <w:t>hemifields</w:t>
      </w:r>
      <w:proofErr w:type="spellEnd"/>
    </w:p>
    <w:p w14:paraId="22182DF1" w14:textId="77777777" w:rsidR="00555B1B" w:rsidRDefault="00555B1B" w:rsidP="00555B1B">
      <w:pPr>
        <w:spacing w:line="480" w:lineRule="auto"/>
        <w:jc w:val="both"/>
        <w:rPr>
          <w:rFonts w:ascii="Times New Roman" w:hAnsi="Times New Roman" w:cs="Times New Roman"/>
          <w:sz w:val="24"/>
        </w:rPr>
      </w:pPr>
      <w:r w:rsidRPr="000C7DEE">
        <w:rPr>
          <w:rFonts w:ascii="Times New Roman" w:hAnsi="Times New Roman" w:cs="Times New Roman"/>
          <w:sz w:val="24"/>
        </w:rPr>
        <w:t>(Figure 13).</w:t>
      </w:r>
      <w:r>
        <w:rPr>
          <w:rFonts w:ascii="Times New Roman" w:hAnsi="Times New Roman" w:cs="Times New Roman"/>
          <w:sz w:val="24"/>
        </w:rPr>
        <w:t>”</w:t>
      </w:r>
    </w:p>
    <w:p w14:paraId="7794B73E" w14:textId="77777777" w:rsidR="00555B1B" w:rsidRDefault="00555B1B" w:rsidP="00555B1B">
      <w:pPr>
        <w:spacing w:line="480" w:lineRule="auto"/>
        <w:jc w:val="both"/>
        <w:rPr>
          <w:rFonts w:ascii="Times New Roman" w:hAnsi="Times New Roman" w:cs="Times New Roman"/>
          <w:b/>
          <w:sz w:val="24"/>
        </w:rPr>
      </w:pPr>
    </w:p>
    <w:p w14:paraId="1F46B219" w14:textId="77777777" w:rsidR="00555B1B" w:rsidRDefault="00555B1B" w:rsidP="00555B1B">
      <w:pPr>
        <w:spacing w:line="480" w:lineRule="auto"/>
        <w:jc w:val="both"/>
        <w:rPr>
          <w:rFonts w:ascii="Times New Roman" w:hAnsi="Times New Roman" w:cs="Times New Roman"/>
          <w:b/>
          <w:sz w:val="24"/>
        </w:rPr>
      </w:pPr>
    </w:p>
    <w:p w14:paraId="37654F16" w14:textId="2480ADB5" w:rsidR="00555B1B" w:rsidRPr="00555B1B" w:rsidRDefault="00555B1B" w:rsidP="00555B1B">
      <w:pPr>
        <w:spacing w:line="480" w:lineRule="auto"/>
        <w:jc w:val="both"/>
        <w:rPr>
          <w:rFonts w:ascii="Times New Roman" w:hAnsi="Times New Roman" w:cs="Times New Roman"/>
          <w:b/>
          <w:sz w:val="24"/>
        </w:rPr>
      </w:pPr>
      <w:r w:rsidRPr="00555B1B">
        <w:rPr>
          <w:rFonts w:ascii="Times New Roman" w:hAnsi="Times New Roman" w:cs="Times New Roman"/>
          <w:b/>
          <w:sz w:val="24"/>
        </w:rPr>
        <w:t>Soren chapter</w:t>
      </w:r>
    </w:p>
    <w:p w14:paraId="5ED7535A" w14:textId="07E304B7" w:rsidR="007B3943" w:rsidRDefault="007B3943" w:rsidP="00555B1B">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“SSVEPs allow us to register continuously the neuronal processes underlying the perception of each individual element in search displays (Soren chapter)”. “A number of studies have localized the major generators of the SSVEP to early visual cortical areas and the highest SSVEP amplitudes are commonly recorded at occipital and parietal electrodes. The specific cortical areas involved and their individual contributions to the total scalp-recorded signal appear to depend upon the driving frequency. For the SSVEP elicited by a pattern-reversing stimulus, which produces a percept of motion, combined SSVEP and fMRI recordings have identified early visual areas V1 (primary visual cortex) and the motion sensitive MT/V5 as the main generator sources with minor contributions from midoccipital (V3a) and ventral occipital (V4) areas.” In the PNAS paper: “the cortical currents giving rise to the SSVEP attention effect were localized to a region containing the early visual areas V1-V3.” </w:t>
      </w:r>
    </w:p>
    <w:p w14:paraId="3B45CE06" w14:textId="77777777" w:rsidR="008A37A1" w:rsidRDefault="007B3943" w:rsidP="0015680F">
      <w:pPr>
        <w:spacing w:line="480" w:lineRule="auto"/>
        <w:jc w:val="both"/>
        <w:rPr>
          <w:rFonts w:ascii="Times New Roman" w:hAnsi="Times New Roman" w:cs="Times New Roman"/>
          <w:sz w:val="24"/>
        </w:rPr>
      </w:pPr>
      <w:r>
        <w:rPr>
          <w:rFonts w:ascii="Times New Roman" w:hAnsi="Times New Roman" w:cs="Times New Roman"/>
          <w:sz w:val="24"/>
        </w:rPr>
        <w:tab/>
      </w:r>
    </w:p>
    <w:p w14:paraId="448ED108" w14:textId="7FFD8BAD" w:rsidR="00DE45E8" w:rsidRDefault="00DE45E8" w:rsidP="0015680F">
      <w:pPr>
        <w:spacing w:line="480" w:lineRule="auto"/>
        <w:jc w:val="both"/>
        <w:rPr>
          <w:rFonts w:ascii="Times New Roman" w:hAnsi="Times New Roman" w:cs="Times New Roman"/>
          <w:i/>
          <w:sz w:val="24"/>
        </w:rPr>
      </w:pPr>
      <w:r>
        <w:rPr>
          <w:rFonts w:ascii="Times New Roman" w:hAnsi="Times New Roman" w:cs="Times New Roman"/>
          <w:i/>
          <w:sz w:val="24"/>
        </w:rPr>
        <w:t>Chelazzi 2013</w:t>
      </w:r>
    </w:p>
    <w:p w14:paraId="35F5FC5E" w14:textId="16E86777" w:rsidR="00DE45E8" w:rsidRDefault="00DE45E8" w:rsidP="00DE45E8">
      <w:pPr>
        <w:spacing w:line="480" w:lineRule="auto"/>
        <w:jc w:val="both"/>
        <w:rPr>
          <w:rFonts w:ascii="Times New Roman" w:hAnsi="Times New Roman" w:cs="Times New Roman"/>
          <w:sz w:val="24"/>
        </w:rPr>
      </w:pPr>
      <w:r>
        <w:rPr>
          <w:rFonts w:ascii="Times New Roman" w:hAnsi="Times New Roman" w:cs="Times New Roman"/>
          <w:sz w:val="24"/>
        </w:rPr>
        <w:t>“</w:t>
      </w:r>
      <w:r w:rsidRPr="00DE45E8">
        <w:rPr>
          <w:rFonts w:ascii="Times New Roman" w:hAnsi="Times New Roman" w:cs="Times New Roman"/>
          <w:sz w:val="24"/>
        </w:rPr>
        <w:t>When performance is considered determinant for the achievement of rewards, then plasticity is observed at the level of the specific processes that enabled it (i.e., target selection and distracter inhibition), and learning takes the form of an instrumental type of adaptation (Della Libera &amp; Chelazzi, 2009). Differently, when rewards are viewed as random, fortuitous events, then a direct and passive association takes place between the perceived stimuli and the rewards that follow them</w:t>
      </w:r>
      <w:r>
        <w:rPr>
          <w:rFonts w:ascii="Times New Roman" w:hAnsi="Times New Roman" w:cs="Times New Roman"/>
          <w:sz w:val="24"/>
        </w:rPr>
        <w:t xml:space="preserve"> </w:t>
      </w:r>
      <w:r w:rsidRPr="00DE45E8">
        <w:rPr>
          <w:rFonts w:ascii="Times New Roman" w:hAnsi="Times New Roman" w:cs="Times New Roman"/>
          <w:sz w:val="24"/>
        </w:rPr>
        <w:t>(Della Libera, Perlato, &amp; Chelazzi, 2011).</w:t>
      </w:r>
      <w:r>
        <w:rPr>
          <w:rFonts w:ascii="Times New Roman" w:hAnsi="Times New Roman" w:cs="Times New Roman"/>
          <w:sz w:val="24"/>
        </w:rPr>
        <w:t>”</w:t>
      </w:r>
    </w:p>
    <w:p w14:paraId="6CD6084F" w14:textId="26077B00" w:rsidR="00DE45E8" w:rsidRDefault="00DE45E8" w:rsidP="00DE45E8">
      <w:pPr>
        <w:spacing w:line="480" w:lineRule="auto"/>
        <w:jc w:val="both"/>
        <w:rPr>
          <w:rFonts w:ascii="Times New Roman" w:hAnsi="Times New Roman" w:cs="Times New Roman"/>
          <w:sz w:val="24"/>
        </w:rPr>
      </w:pPr>
      <w:r>
        <w:rPr>
          <w:rFonts w:ascii="Times New Roman" w:hAnsi="Times New Roman" w:cs="Times New Roman"/>
          <w:sz w:val="24"/>
        </w:rPr>
        <w:t>“</w:t>
      </w:r>
      <w:r w:rsidRPr="00DE45E8">
        <w:rPr>
          <w:rFonts w:ascii="Times New Roman" w:hAnsi="Times New Roman" w:cs="Times New Roman"/>
          <w:sz w:val="24"/>
        </w:rPr>
        <w:t>Recent research suggests that both types of reward-based</w:t>
      </w:r>
      <w:r>
        <w:rPr>
          <w:rFonts w:ascii="Times New Roman" w:hAnsi="Times New Roman" w:cs="Times New Roman"/>
          <w:sz w:val="24"/>
        </w:rPr>
        <w:t xml:space="preserve"> </w:t>
      </w:r>
      <w:r w:rsidRPr="00DE45E8">
        <w:rPr>
          <w:rFonts w:ascii="Times New Roman" w:hAnsi="Times New Roman" w:cs="Times New Roman"/>
          <w:sz w:val="24"/>
        </w:rPr>
        <w:t>attentional learning involve brain</w:t>
      </w:r>
      <w:r>
        <w:rPr>
          <w:rFonts w:ascii="Times New Roman" w:hAnsi="Times New Roman" w:cs="Times New Roman"/>
          <w:sz w:val="24"/>
        </w:rPr>
        <w:t xml:space="preserve"> </w:t>
      </w:r>
      <w:r w:rsidRPr="00DE45E8">
        <w:rPr>
          <w:rFonts w:ascii="Times New Roman" w:hAnsi="Times New Roman" w:cs="Times New Roman"/>
          <w:sz w:val="24"/>
        </w:rPr>
        <w:t>structures usually associated</w:t>
      </w:r>
      <w:r>
        <w:rPr>
          <w:rFonts w:ascii="Times New Roman" w:hAnsi="Times New Roman" w:cs="Times New Roman"/>
          <w:sz w:val="24"/>
        </w:rPr>
        <w:t xml:space="preserve"> </w:t>
      </w:r>
      <w:r w:rsidRPr="00DE45E8">
        <w:rPr>
          <w:rFonts w:ascii="Times New Roman" w:hAnsi="Times New Roman" w:cs="Times New Roman"/>
          <w:sz w:val="24"/>
        </w:rPr>
        <w:t>with attentional control, including posterior parietal cortex (Krebs</w:t>
      </w:r>
      <w:r>
        <w:rPr>
          <w:rFonts w:ascii="Times New Roman" w:hAnsi="Times New Roman" w:cs="Times New Roman"/>
          <w:sz w:val="24"/>
        </w:rPr>
        <w:t xml:space="preserve"> </w:t>
      </w:r>
      <w:r w:rsidRPr="00DE45E8">
        <w:rPr>
          <w:rFonts w:ascii="Times New Roman" w:hAnsi="Times New Roman" w:cs="Times New Roman"/>
          <w:sz w:val="24"/>
        </w:rPr>
        <w:t>et al., 2011; Peck et al., 2009), and the processing of rewarding</w:t>
      </w:r>
      <w:r>
        <w:rPr>
          <w:rFonts w:ascii="Times New Roman" w:hAnsi="Times New Roman" w:cs="Times New Roman"/>
          <w:sz w:val="24"/>
        </w:rPr>
        <w:t xml:space="preserve"> </w:t>
      </w:r>
      <w:r w:rsidRPr="00DE45E8">
        <w:rPr>
          <w:rFonts w:ascii="Times New Roman" w:hAnsi="Times New Roman" w:cs="Times New Roman"/>
          <w:sz w:val="24"/>
        </w:rPr>
        <w:t xml:space="preserve">information, including the striatum </w:t>
      </w:r>
      <w:r w:rsidRPr="00DE45E8">
        <w:rPr>
          <w:rFonts w:ascii="Times New Roman" w:hAnsi="Times New Roman" w:cs="Times New Roman"/>
          <w:sz w:val="24"/>
        </w:rPr>
        <w:lastRenderedPageBreak/>
        <w:t xml:space="preserve">and the anterior cingulate cortex (Hickey, </w:t>
      </w:r>
      <w:proofErr w:type="spellStart"/>
      <w:r w:rsidRPr="00DE45E8">
        <w:rPr>
          <w:rFonts w:ascii="Times New Roman" w:hAnsi="Times New Roman" w:cs="Times New Roman"/>
          <w:sz w:val="24"/>
        </w:rPr>
        <w:t>Chelazzi</w:t>
      </w:r>
      <w:proofErr w:type="spellEnd"/>
      <w:r w:rsidRPr="00DE45E8">
        <w:rPr>
          <w:rFonts w:ascii="Times New Roman" w:hAnsi="Times New Roman" w:cs="Times New Roman"/>
          <w:sz w:val="24"/>
        </w:rPr>
        <w:t xml:space="preserve">, &amp; </w:t>
      </w:r>
      <w:proofErr w:type="spellStart"/>
      <w:r w:rsidRPr="00DE45E8">
        <w:rPr>
          <w:rFonts w:ascii="Times New Roman" w:hAnsi="Times New Roman" w:cs="Times New Roman"/>
          <w:sz w:val="24"/>
        </w:rPr>
        <w:t>Theeuwes</w:t>
      </w:r>
      <w:proofErr w:type="spellEnd"/>
      <w:r w:rsidRPr="00DE45E8">
        <w:rPr>
          <w:rFonts w:ascii="Times New Roman" w:hAnsi="Times New Roman" w:cs="Times New Roman"/>
          <w:sz w:val="24"/>
        </w:rPr>
        <w:t xml:space="preserve">, 2010a; </w:t>
      </w:r>
      <w:proofErr w:type="spellStart"/>
      <w:r w:rsidRPr="00DE45E8">
        <w:rPr>
          <w:rFonts w:ascii="Times New Roman" w:hAnsi="Times New Roman" w:cs="Times New Roman"/>
          <w:sz w:val="24"/>
        </w:rPr>
        <w:t>O’Doherty</w:t>
      </w:r>
      <w:proofErr w:type="spellEnd"/>
      <w:r w:rsidRPr="00DE45E8">
        <w:rPr>
          <w:rFonts w:ascii="Times New Roman" w:hAnsi="Times New Roman" w:cs="Times New Roman"/>
          <w:sz w:val="24"/>
        </w:rPr>
        <w:t>, 2004;</w:t>
      </w:r>
      <w:r>
        <w:rPr>
          <w:rFonts w:ascii="Times New Roman" w:hAnsi="Times New Roman" w:cs="Times New Roman"/>
          <w:sz w:val="24"/>
        </w:rPr>
        <w:t xml:space="preserve"> </w:t>
      </w:r>
      <w:r w:rsidRPr="00DE45E8">
        <w:rPr>
          <w:rFonts w:ascii="Times New Roman" w:hAnsi="Times New Roman" w:cs="Times New Roman"/>
          <w:sz w:val="24"/>
        </w:rPr>
        <w:t>Schultz, 2006; Weil et al., 2010). Moreover, and perhaps most</w:t>
      </w:r>
      <w:r>
        <w:rPr>
          <w:rFonts w:ascii="Times New Roman" w:hAnsi="Times New Roman" w:cs="Times New Roman"/>
          <w:sz w:val="24"/>
        </w:rPr>
        <w:t xml:space="preserve"> </w:t>
      </w:r>
      <w:r w:rsidRPr="00DE45E8">
        <w:rPr>
          <w:rFonts w:ascii="Times New Roman" w:hAnsi="Times New Roman" w:cs="Times New Roman"/>
          <w:sz w:val="24"/>
        </w:rPr>
        <w:t>interestingly, they can affect the neural representation of visual</w:t>
      </w:r>
      <w:r>
        <w:rPr>
          <w:rFonts w:ascii="Times New Roman" w:hAnsi="Times New Roman" w:cs="Times New Roman"/>
          <w:sz w:val="24"/>
        </w:rPr>
        <w:t xml:space="preserve"> </w:t>
      </w:r>
      <w:r w:rsidRPr="00DE45E8">
        <w:rPr>
          <w:rFonts w:ascii="Times New Roman" w:hAnsi="Times New Roman" w:cs="Times New Roman"/>
          <w:sz w:val="24"/>
        </w:rPr>
        <w:t xml:space="preserve">stimuli at the level of </w:t>
      </w:r>
      <w:proofErr w:type="spellStart"/>
      <w:r w:rsidRPr="00DE45E8">
        <w:rPr>
          <w:rFonts w:ascii="Times New Roman" w:hAnsi="Times New Roman" w:cs="Times New Roman"/>
          <w:sz w:val="24"/>
        </w:rPr>
        <w:t>extrastriate</w:t>
      </w:r>
      <w:proofErr w:type="spellEnd"/>
      <w:r w:rsidRPr="00DE45E8">
        <w:rPr>
          <w:rFonts w:ascii="Times New Roman" w:hAnsi="Times New Roman" w:cs="Times New Roman"/>
          <w:sz w:val="24"/>
        </w:rPr>
        <w:t xml:space="preserve"> visual cortex, including area V4</w:t>
      </w:r>
      <w:r>
        <w:rPr>
          <w:rFonts w:ascii="Times New Roman" w:hAnsi="Times New Roman" w:cs="Times New Roman"/>
          <w:sz w:val="24"/>
        </w:rPr>
        <w:t xml:space="preserve"> </w:t>
      </w:r>
      <w:r w:rsidRPr="00DE45E8">
        <w:rPr>
          <w:rFonts w:ascii="Times New Roman" w:hAnsi="Times New Roman" w:cs="Times New Roman"/>
          <w:sz w:val="24"/>
        </w:rPr>
        <w:t xml:space="preserve">and the </w:t>
      </w:r>
      <w:proofErr w:type="spellStart"/>
      <w:r w:rsidRPr="00DE45E8">
        <w:rPr>
          <w:rFonts w:ascii="Times New Roman" w:hAnsi="Times New Roman" w:cs="Times New Roman"/>
          <w:sz w:val="24"/>
        </w:rPr>
        <w:t>inferotemporal</w:t>
      </w:r>
      <w:proofErr w:type="spellEnd"/>
      <w:r w:rsidRPr="00DE45E8">
        <w:rPr>
          <w:rFonts w:ascii="Times New Roman" w:hAnsi="Times New Roman" w:cs="Times New Roman"/>
          <w:sz w:val="24"/>
        </w:rPr>
        <w:t xml:space="preserve"> cortex (</w:t>
      </w:r>
      <w:proofErr w:type="spellStart"/>
      <w:r w:rsidRPr="00DE45E8">
        <w:rPr>
          <w:rFonts w:ascii="Times New Roman" w:hAnsi="Times New Roman" w:cs="Times New Roman"/>
          <w:sz w:val="24"/>
        </w:rPr>
        <w:t>Frankó</w:t>
      </w:r>
      <w:proofErr w:type="spellEnd"/>
      <w:r w:rsidRPr="00DE45E8">
        <w:rPr>
          <w:rFonts w:ascii="Times New Roman" w:hAnsi="Times New Roman" w:cs="Times New Roman"/>
          <w:sz w:val="24"/>
        </w:rPr>
        <w:t xml:space="preserve">, Seitz, &amp; </w:t>
      </w:r>
      <w:proofErr w:type="spellStart"/>
      <w:r w:rsidRPr="00DE45E8">
        <w:rPr>
          <w:rFonts w:ascii="Times New Roman" w:hAnsi="Times New Roman" w:cs="Times New Roman"/>
          <w:sz w:val="24"/>
        </w:rPr>
        <w:t>Vogels</w:t>
      </w:r>
      <w:proofErr w:type="spellEnd"/>
      <w:r w:rsidRPr="00DE45E8">
        <w:rPr>
          <w:rFonts w:ascii="Times New Roman" w:hAnsi="Times New Roman" w:cs="Times New Roman"/>
          <w:sz w:val="24"/>
        </w:rPr>
        <w:t>, 2010;</w:t>
      </w:r>
      <w:r>
        <w:rPr>
          <w:rFonts w:ascii="Times New Roman" w:hAnsi="Times New Roman" w:cs="Times New Roman"/>
          <w:sz w:val="24"/>
        </w:rPr>
        <w:t xml:space="preserve"> </w:t>
      </w:r>
      <w:r w:rsidRPr="00DE45E8">
        <w:rPr>
          <w:rFonts w:ascii="Times New Roman" w:hAnsi="Times New Roman" w:cs="Times New Roman"/>
          <w:sz w:val="24"/>
        </w:rPr>
        <w:t xml:space="preserve">Hickey, </w:t>
      </w:r>
      <w:proofErr w:type="spellStart"/>
      <w:r w:rsidRPr="00DE45E8">
        <w:rPr>
          <w:rFonts w:ascii="Times New Roman" w:hAnsi="Times New Roman" w:cs="Times New Roman"/>
          <w:sz w:val="24"/>
        </w:rPr>
        <w:t>Chelazzi</w:t>
      </w:r>
      <w:proofErr w:type="spellEnd"/>
      <w:r w:rsidRPr="00DE45E8">
        <w:rPr>
          <w:rFonts w:ascii="Times New Roman" w:hAnsi="Times New Roman" w:cs="Times New Roman"/>
          <w:sz w:val="24"/>
        </w:rPr>
        <w:t xml:space="preserve">, &amp; </w:t>
      </w:r>
      <w:proofErr w:type="spellStart"/>
      <w:r w:rsidRPr="00DE45E8">
        <w:rPr>
          <w:rFonts w:ascii="Times New Roman" w:hAnsi="Times New Roman" w:cs="Times New Roman"/>
          <w:sz w:val="24"/>
        </w:rPr>
        <w:t>Theeuwes</w:t>
      </w:r>
      <w:proofErr w:type="spellEnd"/>
      <w:r w:rsidRPr="00DE45E8">
        <w:rPr>
          <w:rFonts w:ascii="Times New Roman" w:hAnsi="Times New Roman" w:cs="Times New Roman"/>
          <w:sz w:val="24"/>
        </w:rPr>
        <w:t xml:space="preserve">, 2010a; </w:t>
      </w:r>
      <w:proofErr w:type="spellStart"/>
      <w:r w:rsidRPr="00DE45E8">
        <w:rPr>
          <w:rFonts w:ascii="Times New Roman" w:hAnsi="Times New Roman" w:cs="Times New Roman"/>
          <w:sz w:val="24"/>
        </w:rPr>
        <w:t>Jagadeesh</w:t>
      </w:r>
      <w:proofErr w:type="spellEnd"/>
      <w:r w:rsidRPr="00DE45E8">
        <w:rPr>
          <w:rFonts w:ascii="Times New Roman" w:hAnsi="Times New Roman" w:cs="Times New Roman"/>
          <w:sz w:val="24"/>
        </w:rPr>
        <w:t xml:space="preserve"> et al., 2001;</w:t>
      </w:r>
      <w:r>
        <w:rPr>
          <w:rFonts w:ascii="Times New Roman" w:hAnsi="Times New Roman" w:cs="Times New Roman"/>
          <w:sz w:val="24"/>
        </w:rPr>
        <w:t xml:space="preserve"> </w:t>
      </w:r>
      <w:proofErr w:type="spellStart"/>
      <w:r w:rsidRPr="00DE45E8">
        <w:rPr>
          <w:rFonts w:ascii="Times New Roman" w:hAnsi="Times New Roman" w:cs="Times New Roman"/>
          <w:sz w:val="24"/>
        </w:rPr>
        <w:t>Mogami</w:t>
      </w:r>
      <w:proofErr w:type="spellEnd"/>
      <w:r w:rsidRPr="00DE45E8">
        <w:rPr>
          <w:rFonts w:ascii="Times New Roman" w:hAnsi="Times New Roman" w:cs="Times New Roman"/>
          <w:sz w:val="24"/>
        </w:rPr>
        <w:t xml:space="preserve"> &amp; Tanaka, 2006; </w:t>
      </w:r>
      <w:proofErr w:type="spellStart"/>
      <w:r w:rsidRPr="00DE45E8">
        <w:rPr>
          <w:rFonts w:ascii="Times New Roman" w:hAnsi="Times New Roman" w:cs="Times New Roman"/>
          <w:sz w:val="24"/>
        </w:rPr>
        <w:t>Pessiglione</w:t>
      </w:r>
      <w:proofErr w:type="spellEnd"/>
      <w:r w:rsidRPr="00DE45E8">
        <w:rPr>
          <w:rFonts w:ascii="Times New Roman" w:hAnsi="Times New Roman" w:cs="Times New Roman"/>
          <w:sz w:val="24"/>
        </w:rPr>
        <w:t xml:space="preserve"> et al., 2008; Weil et al.,</w:t>
      </w:r>
      <w:r>
        <w:rPr>
          <w:rFonts w:ascii="Times New Roman" w:hAnsi="Times New Roman" w:cs="Times New Roman"/>
          <w:sz w:val="24"/>
        </w:rPr>
        <w:t xml:space="preserve"> </w:t>
      </w:r>
      <w:r w:rsidRPr="00DE45E8">
        <w:rPr>
          <w:rFonts w:ascii="Times New Roman" w:hAnsi="Times New Roman" w:cs="Times New Roman"/>
          <w:sz w:val="24"/>
        </w:rPr>
        <w:t>2010), and this can occur even outside the context of a task as</w:t>
      </w:r>
      <w:r>
        <w:rPr>
          <w:rFonts w:ascii="Times New Roman" w:hAnsi="Times New Roman" w:cs="Times New Roman"/>
          <w:sz w:val="24"/>
        </w:rPr>
        <w:t xml:space="preserve"> </w:t>
      </w:r>
      <w:r w:rsidRPr="00DE45E8">
        <w:rPr>
          <w:rFonts w:ascii="Times New Roman" w:hAnsi="Times New Roman" w:cs="Times New Roman"/>
          <w:sz w:val="24"/>
        </w:rPr>
        <w:t>the result of the shear association of a stimulus with reward</w:t>
      </w:r>
      <w:r>
        <w:rPr>
          <w:rFonts w:ascii="Times New Roman" w:hAnsi="Times New Roman" w:cs="Times New Roman"/>
          <w:sz w:val="24"/>
        </w:rPr>
        <w:t xml:space="preserve"> </w:t>
      </w:r>
      <w:r w:rsidRPr="00DE45E8">
        <w:rPr>
          <w:rFonts w:ascii="Times New Roman" w:hAnsi="Times New Roman" w:cs="Times New Roman"/>
          <w:sz w:val="24"/>
        </w:rPr>
        <w:t>(</w:t>
      </w:r>
      <w:proofErr w:type="spellStart"/>
      <w:r w:rsidRPr="00DE45E8">
        <w:rPr>
          <w:rFonts w:ascii="Times New Roman" w:hAnsi="Times New Roman" w:cs="Times New Roman"/>
          <w:sz w:val="24"/>
        </w:rPr>
        <w:t>Frankó</w:t>
      </w:r>
      <w:proofErr w:type="spellEnd"/>
      <w:r w:rsidRPr="00DE45E8">
        <w:rPr>
          <w:rFonts w:ascii="Times New Roman" w:hAnsi="Times New Roman" w:cs="Times New Roman"/>
          <w:sz w:val="24"/>
        </w:rPr>
        <w:t xml:space="preserve">, Seitz, &amp; </w:t>
      </w:r>
      <w:proofErr w:type="spellStart"/>
      <w:r w:rsidRPr="00DE45E8">
        <w:rPr>
          <w:rFonts w:ascii="Times New Roman" w:hAnsi="Times New Roman" w:cs="Times New Roman"/>
          <w:sz w:val="24"/>
        </w:rPr>
        <w:t>Vogels</w:t>
      </w:r>
      <w:proofErr w:type="spellEnd"/>
      <w:r w:rsidRPr="00DE45E8">
        <w:rPr>
          <w:rFonts w:ascii="Times New Roman" w:hAnsi="Times New Roman" w:cs="Times New Roman"/>
          <w:sz w:val="24"/>
        </w:rPr>
        <w:t>, 2010)</w:t>
      </w:r>
      <w:r>
        <w:rPr>
          <w:rFonts w:ascii="Times New Roman" w:hAnsi="Times New Roman" w:cs="Times New Roman"/>
          <w:sz w:val="24"/>
        </w:rPr>
        <w:t>”</w:t>
      </w:r>
    </w:p>
    <w:p w14:paraId="08066C25" w14:textId="42DC1BD9" w:rsidR="00DE45E8" w:rsidRDefault="00DE45E8" w:rsidP="00DE45E8">
      <w:pPr>
        <w:spacing w:line="480" w:lineRule="auto"/>
        <w:jc w:val="both"/>
        <w:rPr>
          <w:rFonts w:ascii="Times New Roman" w:hAnsi="Times New Roman" w:cs="Times New Roman"/>
          <w:sz w:val="24"/>
        </w:rPr>
      </w:pPr>
      <w:r>
        <w:rPr>
          <w:rFonts w:ascii="Times New Roman" w:hAnsi="Times New Roman" w:cs="Times New Roman"/>
          <w:sz w:val="24"/>
        </w:rPr>
        <w:t>“</w:t>
      </w:r>
      <w:r w:rsidRPr="00DE45E8">
        <w:rPr>
          <w:rFonts w:ascii="Times New Roman" w:hAnsi="Times New Roman" w:cs="Times New Roman"/>
          <w:sz w:val="24"/>
        </w:rPr>
        <w:t>To sum up, the studies on attentional processing of stimuli associated with biased rewards reveal that when highly rewarded</w:t>
      </w:r>
      <w:r>
        <w:rPr>
          <w:rFonts w:ascii="Times New Roman" w:hAnsi="Times New Roman" w:cs="Times New Roman"/>
          <w:sz w:val="24"/>
        </w:rPr>
        <w:t xml:space="preserve"> </w:t>
      </w:r>
      <w:r w:rsidRPr="00DE45E8">
        <w:rPr>
          <w:rFonts w:ascii="Times New Roman" w:hAnsi="Times New Roman" w:cs="Times New Roman"/>
          <w:sz w:val="24"/>
        </w:rPr>
        <w:t>stimuli are task relevant they may lead to faster and more accurate</w:t>
      </w:r>
      <w:r>
        <w:rPr>
          <w:rFonts w:ascii="Times New Roman" w:hAnsi="Times New Roman" w:cs="Times New Roman"/>
          <w:sz w:val="24"/>
        </w:rPr>
        <w:t xml:space="preserve"> </w:t>
      </w:r>
      <w:r w:rsidRPr="00DE45E8">
        <w:rPr>
          <w:rFonts w:ascii="Times New Roman" w:hAnsi="Times New Roman" w:cs="Times New Roman"/>
          <w:sz w:val="24"/>
        </w:rPr>
        <w:t xml:space="preserve">performance in visual search tasks (Della </w:t>
      </w:r>
      <w:proofErr w:type="spellStart"/>
      <w:r w:rsidRPr="00DE45E8">
        <w:rPr>
          <w:rFonts w:ascii="Times New Roman" w:hAnsi="Times New Roman" w:cs="Times New Roman"/>
          <w:sz w:val="24"/>
        </w:rPr>
        <w:t>Libera</w:t>
      </w:r>
      <w:proofErr w:type="spellEnd"/>
      <w:r w:rsidRPr="00DE45E8">
        <w:rPr>
          <w:rFonts w:ascii="Times New Roman" w:hAnsi="Times New Roman" w:cs="Times New Roman"/>
          <w:sz w:val="24"/>
        </w:rPr>
        <w:t xml:space="preserve"> &amp; </w:t>
      </w:r>
      <w:proofErr w:type="spellStart"/>
      <w:r w:rsidRPr="00DE45E8">
        <w:rPr>
          <w:rFonts w:ascii="Times New Roman" w:hAnsi="Times New Roman" w:cs="Times New Roman"/>
          <w:sz w:val="24"/>
        </w:rPr>
        <w:t>Chelazzi</w:t>
      </w:r>
      <w:proofErr w:type="spellEnd"/>
      <w:r w:rsidRPr="00DE45E8">
        <w:rPr>
          <w:rFonts w:ascii="Times New Roman" w:hAnsi="Times New Roman" w:cs="Times New Roman"/>
          <w:sz w:val="24"/>
        </w:rPr>
        <w:t>, 2009;</w:t>
      </w:r>
      <w:r>
        <w:rPr>
          <w:rFonts w:ascii="Times New Roman" w:hAnsi="Times New Roman" w:cs="Times New Roman"/>
          <w:sz w:val="24"/>
        </w:rPr>
        <w:t xml:space="preserve"> </w:t>
      </w:r>
      <w:proofErr w:type="spellStart"/>
      <w:r w:rsidRPr="00DE45E8">
        <w:rPr>
          <w:rFonts w:ascii="Times New Roman" w:hAnsi="Times New Roman" w:cs="Times New Roman"/>
          <w:sz w:val="24"/>
        </w:rPr>
        <w:t>Kristjánsson</w:t>
      </w:r>
      <w:proofErr w:type="spellEnd"/>
      <w:r w:rsidRPr="00DE45E8">
        <w:rPr>
          <w:rFonts w:ascii="Times New Roman" w:hAnsi="Times New Roman" w:cs="Times New Roman"/>
          <w:sz w:val="24"/>
        </w:rPr>
        <w:t xml:space="preserve">, </w:t>
      </w:r>
      <w:proofErr w:type="spellStart"/>
      <w:r w:rsidRPr="00DE45E8">
        <w:rPr>
          <w:rFonts w:ascii="Times New Roman" w:hAnsi="Times New Roman" w:cs="Times New Roman"/>
          <w:sz w:val="24"/>
        </w:rPr>
        <w:t>Sigurjónsdóttir</w:t>
      </w:r>
      <w:proofErr w:type="spellEnd"/>
      <w:r w:rsidRPr="00DE45E8">
        <w:rPr>
          <w:rFonts w:ascii="Times New Roman" w:hAnsi="Times New Roman" w:cs="Times New Roman"/>
          <w:sz w:val="24"/>
        </w:rPr>
        <w:t>, &amp; Driver, 2010), and in the Stroop</w:t>
      </w:r>
      <w:r>
        <w:rPr>
          <w:rFonts w:ascii="Times New Roman" w:hAnsi="Times New Roman" w:cs="Times New Roman"/>
          <w:sz w:val="24"/>
        </w:rPr>
        <w:t xml:space="preserve"> </w:t>
      </w:r>
      <w:r w:rsidRPr="00DE45E8">
        <w:rPr>
          <w:rFonts w:ascii="Times New Roman" w:hAnsi="Times New Roman" w:cs="Times New Roman"/>
          <w:sz w:val="24"/>
        </w:rPr>
        <w:t>task (Krebs, Boehler, &amp; Woldorff, 2010; Krebs et al., 2011); they</w:t>
      </w:r>
      <w:r>
        <w:rPr>
          <w:rFonts w:ascii="Times New Roman" w:hAnsi="Times New Roman" w:cs="Times New Roman"/>
          <w:sz w:val="24"/>
        </w:rPr>
        <w:t xml:space="preserve"> </w:t>
      </w:r>
      <w:r w:rsidRPr="00DE45E8">
        <w:rPr>
          <w:rFonts w:ascii="Times New Roman" w:hAnsi="Times New Roman" w:cs="Times New Roman"/>
          <w:sz w:val="24"/>
        </w:rPr>
        <w:t xml:space="preserve">also engender stronger inter-trial priming effects (Hickey, </w:t>
      </w:r>
      <w:proofErr w:type="spellStart"/>
      <w:r w:rsidRPr="00DE45E8">
        <w:rPr>
          <w:rFonts w:ascii="Times New Roman" w:hAnsi="Times New Roman" w:cs="Times New Roman"/>
          <w:sz w:val="24"/>
        </w:rPr>
        <w:t>Chelazzi</w:t>
      </w:r>
      <w:proofErr w:type="spellEnd"/>
      <w:r w:rsidRPr="00DE45E8">
        <w:rPr>
          <w:rFonts w:ascii="Times New Roman" w:hAnsi="Times New Roman" w:cs="Times New Roman"/>
          <w:sz w:val="24"/>
        </w:rPr>
        <w:t>,</w:t>
      </w:r>
      <w:r>
        <w:rPr>
          <w:rFonts w:ascii="Times New Roman" w:hAnsi="Times New Roman" w:cs="Times New Roman"/>
          <w:sz w:val="24"/>
        </w:rPr>
        <w:t xml:space="preserve"> </w:t>
      </w:r>
      <w:r w:rsidRPr="00DE45E8">
        <w:rPr>
          <w:rFonts w:ascii="Times New Roman" w:hAnsi="Times New Roman" w:cs="Times New Roman"/>
          <w:sz w:val="24"/>
        </w:rPr>
        <w:t xml:space="preserve">&amp; </w:t>
      </w:r>
      <w:proofErr w:type="spellStart"/>
      <w:r w:rsidRPr="00DE45E8">
        <w:rPr>
          <w:rFonts w:ascii="Times New Roman" w:hAnsi="Times New Roman" w:cs="Times New Roman"/>
          <w:sz w:val="24"/>
        </w:rPr>
        <w:t>Theeuwes</w:t>
      </w:r>
      <w:proofErr w:type="spellEnd"/>
      <w:r w:rsidRPr="00DE45E8">
        <w:rPr>
          <w:rFonts w:ascii="Times New Roman" w:hAnsi="Times New Roman" w:cs="Times New Roman"/>
          <w:sz w:val="24"/>
        </w:rPr>
        <w:t xml:space="preserve">, 2010a; </w:t>
      </w:r>
      <w:proofErr w:type="spellStart"/>
      <w:r w:rsidRPr="00DE45E8">
        <w:rPr>
          <w:rFonts w:ascii="Times New Roman" w:hAnsi="Times New Roman" w:cs="Times New Roman"/>
          <w:sz w:val="24"/>
        </w:rPr>
        <w:t>Kristjánsson</w:t>
      </w:r>
      <w:proofErr w:type="spellEnd"/>
      <w:r w:rsidRPr="00DE45E8">
        <w:rPr>
          <w:rFonts w:ascii="Times New Roman" w:hAnsi="Times New Roman" w:cs="Times New Roman"/>
          <w:sz w:val="24"/>
        </w:rPr>
        <w:t xml:space="preserve">, </w:t>
      </w:r>
      <w:proofErr w:type="spellStart"/>
      <w:r w:rsidRPr="00DE45E8">
        <w:rPr>
          <w:rFonts w:ascii="Times New Roman" w:hAnsi="Times New Roman" w:cs="Times New Roman"/>
          <w:sz w:val="24"/>
        </w:rPr>
        <w:t>Sigurjónsdóttir</w:t>
      </w:r>
      <w:proofErr w:type="spellEnd"/>
      <w:r w:rsidRPr="00DE45E8">
        <w:rPr>
          <w:rFonts w:ascii="Times New Roman" w:hAnsi="Times New Roman" w:cs="Times New Roman"/>
          <w:sz w:val="24"/>
        </w:rPr>
        <w:t>, &amp; Driver, 2010)</w:t>
      </w:r>
      <w:r>
        <w:rPr>
          <w:rFonts w:ascii="Times New Roman" w:hAnsi="Times New Roman" w:cs="Times New Roman"/>
          <w:sz w:val="24"/>
        </w:rPr>
        <w:t xml:space="preserve"> </w:t>
      </w:r>
      <w:r w:rsidRPr="00DE45E8">
        <w:rPr>
          <w:rFonts w:ascii="Times New Roman" w:hAnsi="Times New Roman" w:cs="Times New Roman"/>
          <w:sz w:val="24"/>
        </w:rPr>
        <w:t>and a higher resistance to the attentional blink phenomenon (Raymond &amp; O’Brien, 2009). When the same stimuli act as distracters</w:t>
      </w:r>
      <w:r>
        <w:rPr>
          <w:rFonts w:ascii="Times New Roman" w:hAnsi="Times New Roman" w:cs="Times New Roman"/>
          <w:sz w:val="24"/>
        </w:rPr>
        <w:t xml:space="preserve"> </w:t>
      </w:r>
      <w:r w:rsidRPr="00DE45E8">
        <w:rPr>
          <w:rFonts w:ascii="Times New Roman" w:hAnsi="Times New Roman" w:cs="Times New Roman"/>
          <w:sz w:val="24"/>
        </w:rPr>
        <w:t>that need to</w:t>
      </w:r>
      <w:r>
        <w:rPr>
          <w:rFonts w:ascii="Times New Roman" w:hAnsi="Times New Roman" w:cs="Times New Roman"/>
          <w:sz w:val="24"/>
        </w:rPr>
        <w:t xml:space="preserve"> </w:t>
      </w:r>
      <w:r w:rsidRPr="00DE45E8">
        <w:rPr>
          <w:rFonts w:ascii="Times New Roman" w:hAnsi="Times New Roman" w:cs="Times New Roman"/>
          <w:sz w:val="24"/>
        </w:rPr>
        <w:t>be ignored they often lead to stronger effects of involuntary attentional capture (Anderson, Laurent,</w:t>
      </w:r>
      <w:r>
        <w:rPr>
          <w:rFonts w:ascii="Times New Roman" w:hAnsi="Times New Roman" w:cs="Times New Roman"/>
          <w:sz w:val="24"/>
        </w:rPr>
        <w:t xml:space="preserve"> </w:t>
      </w:r>
      <w:r w:rsidRPr="00DE45E8">
        <w:rPr>
          <w:rFonts w:ascii="Times New Roman" w:hAnsi="Times New Roman" w:cs="Times New Roman"/>
          <w:sz w:val="24"/>
        </w:rPr>
        <w:t>&amp; Yantis, 2011a,</w:t>
      </w:r>
      <w:r>
        <w:rPr>
          <w:rFonts w:ascii="Times New Roman" w:hAnsi="Times New Roman" w:cs="Times New Roman"/>
          <w:sz w:val="24"/>
        </w:rPr>
        <w:t xml:space="preserve"> </w:t>
      </w:r>
      <w:r w:rsidRPr="00DE45E8">
        <w:rPr>
          <w:rFonts w:ascii="Times New Roman" w:hAnsi="Times New Roman" w:cs="Times New Roman"/>
          <w:sz w:val="24"/>
        </w:rPr>
        <w:t>2011b; Rutherford, O’Brien, &amp; Raymond, 2010) and greater interference effects (Della Libera &amp; Chelazzi, 2009; Krebs, Boehler, &amp;</w:t>
      </w:r>
      <w:r>
        <w:rPr>
          <w:rFonts w:ascii="Times New Roman" w:hAnsi="Times New Roman" w:cs="Times New Roman"/>
          <w:sz w:val="24"/>
        </w:rPr>
        <w:t xml:space="preserve"> </w:t>
      </w:r>
      <w:r w:rsidRPr="00DE45E8">
        <w:rPr>
          <w:rFonts w:ascii="Times New Roman" w:hAnsi="Times New Roman" w:cs="Times New Roman"/>
          <w:sz w:val="24"/>
        </w:rPr>
        <w:t>Woldorff, 2010; Krebs et al., 2011). However, it should be recalled</w:t>
      </w:r>
      <w:r>
        <w:rPr>
          <w:rFonts w:ascii="Times New Roman" w:hAnsi="Times New Roman" w:cs="Times New Roman"/>
          <w:sz w:val="24"/>
        </w:rPr>
        <w:t xml:space="preserve"> </w:t>
      </w:r>
      <w:r w:rsidRPr="00DE45E8">
        <w:rPr>
          <w:rFonts w:ascii="Times New Roman" w:hAnsi="Times New Roman" w:cs="Times New Roman"/>
          <w:sz w:val="24"/>
        </w:rPr>
        <w:t>that while some of the above results could all be reconciled with</w:t>
      </w:r>
      <w:r>
        <w:rPr>
          <w:rFonts w:ascii="Times New Roman" w:hAnsi="Times New Roman" w:cs="Times New Roman"/>
          <w:sz w:val="24"/>
        </w:rPr>
        <w:t xml:space="preserve"> </w:t>
      </w:r>
      <w:r w:rsidRPr="00DE45E8">
        <w:rPr>
          <w:rFonts w:ascii="Times New Roman" w:hAnsi="Times New Roman" w:cs="Times New Roman"/>
          <w:sz w:val="24"/>
        </w:rPr>
        <w:t>the notion of value learning, and the ensuing influence on attentional priority, some other results require a different explanation,</w:t>
      </w:r>
      <w:r>
        <w:rPr>
          <w:rFonts w:ascii="Times New Roman" w:hAnsi="Times New Roman" w:cs="Times New Roman"/>
          <w:sz w:val="24"/>
        </w:rPr>
        <w:t xml:space="preserve"> </w:t>
      </w:r>
      <w:r w:rsidRPr="00DE45E8">
        <w:rPr>
          <w:rFonts w:ascii="Times New Roman" w:hAnsi="Times New Roman" w:cs="Times New Roman"/>
          <w:sz w:val="24"/>
        </w:rPr>
        <w:t>namely one where rewards cannot only increase the salience of</w:t>
      </w:r>
      <w:r>
        <w:rPr>
          <w:rFonts w:ascii="Times New Roman" w:hAnsi="Times New Roman" w:cs="Times New Roman"/>
          <w:sz w:val="24"/>
        </w:rPr>
        <w:t xml:space="preserve"> </w:t>
      </w:r>
      <w:r w:rsidRPr="00DE45E8">
        <w:rPr>
          <w:rFonts w:ascii="Times New Roman" w:hAnsi="Times New Roman" w:cs="Times New Roman"/>
          <w:sz w:val="24"/>
        </w:rPr>
        <w:t>certain visual stimuli, thus facilitating their selection, but also increase the efficiency with which other stimuli can be suppressed.</w:t>
      </w:r>
      <w:r>
        <w:rPr>
          <w:rFonts w:ascii="Times New Roman" w:hAnsi="Times New Roman" w:cs="Times New Roman"/>
          <w:sz w:val="24"/>
        </w:rPr>
        <w:t xml:space="preserve"> </w:t>
      </w:r>
      <w:r w:rsidRPr="00DE45E8">
        <w:rPr>
          <w:rFonts w:ascii="Times New Roman" w:hAnsi="Times New Roman" w:cs="Times New Roman"/>
          <w:sz w:val="24"/>
        </w:rPr>
        <w:t>We have proposed that the latter effects can only be accounted</w:t>
      </w:r>
      <w:r>
        <w:rPr>
          <w:rFonts w:ascii="Times New Roman" w:hAnsi="Times New Roman" w:cs="Times New Roman"/>
          <w:sz w:val="24"/>
        </w:rPr>
        <w:t xml:space="preserve"> </w:t>
      </w:r>
      <w:r w:rsidRPr="00DE45E8">
        <w:rPr>
          <w:rFonts w:ascii="Times New Roman" w:hAnsi="Times New Roman" w:cs="Times New Roman"/>
          <w:sz w:val="24"/>
        </w:rPr>
        <w:t>for by making reference to notions of instrumental conditioning,</w:t>
      </w:r>
      <w:r>
        <w:rPr>
          <w:rFonts w:ascii="Times New Roman" w:hAnsi="Times New Roman" w:cs="Times New Roman"/>
          <w:sz w:val="24"/>
        </w:rPr>
        <w:t xml:space="preserve"> </w:t>
      </w:r>
      <w:r w:rsidRPr="00DE45E8">
        <w:rPr>
          <w:rFonts w:ascii="Times New Roman" w:hAnsi="Times New Roman" w:cs="Times New Roman"/>
          <w:sz w:val="24"/>
        </w:rPr>
        <w:t xml:space="preserve">whereby the delivery of rewards in relation to </w:t>
      </w:r>
      <w:r w:rsidRPr="00DE45E8">
        <w:rPr>
          <w:rFonts w:ascii="Times New Roman" w:hAnsi="Times New Roman" w:cs="Times New Roman"/>
          <w:sz w:val="24"/>
        </w:rPr>
        <w:lastRenderedPageBreak/>
        <w:t>the suppression of</w:t>
      </w:r>
      <w:r>
        <w:rPr>
          <w:rFonts w:ascii="Times New Roman" w:hAnsi="Times New Roman" w:cs="Times New Roman"/>
          <w:sz w:val="24"/>
        </w:rPr>
        <w:t xml:space="preserve"> </w:t>
      </w:r>
      <w:r w:rsidRPr="00DE45E8">
        <w:rPr>
          <w:rFonts w:ascii="Times New Roman" w:hAnsi="Times New Roman" w:cs="Times New Roman"/>
          <w:sz w:val="24"/>
        </w:rPr>
        <w:t>a certain stimulus will reinforce the tendency for attention mechanisms to suppress the same stimulus on future occasions, not</w:t>
      </w:r>
      <w:r>
        <w:rPr>
          <w:rFonts w:ascii="Times New Roman" w:hAnsi="Times New Roman" w:cs="Times New Roman"/>
          <w:sz w:val="24"/>
        </w:rPr>
        <w:t xml:space="preserve"> </w:t>
      </w:r>
      <w:r w:rsidRPr="00DE45E8">
        <w:rPr>
          <w:rFonts w:ascii="Times New Roman" w:hAnsi="Times New Roman" w:cs="Times New Roman"/>
          <w:sz w:val="24"/>
        </w:rPr>
        <w:t>unlike the influence of instrumental conditioning on motor</w:t>
      </w:r>
      <w:r>
        <w:rPr>
          <w:rFonts w:ascii="Times New Roman" w:hAnsi="Times New Roman" w:cs="Times New Roman"/>
          <w:sz w:val="24"/>
        </w:rPr>
        <w:t xml:space="preserve"> </w:t>
      </w:r>
      <w:r w:rsidRPr="00DE45E8">
        <w:rPr>
          <w:rFonts w:ascii="Times New Roman" w:hAnsi="Times New Roman" w:cs="Times New Roman"/>
          <w:sz w:val="24"/>
        </w:rPr>
        <w:t>performance.</w:t>
      </w:r>
      <w:r>
        <w:rPr>
          <w:rFonts w:ascii="Times New Roman" w:hAnsi="Times New Roman" w:cs="Times New Roman"/>
          <w:sz w:val="24"/>
        </w:rPr>
        <w:t>”</w:t>
      </w:r>
    </w:p>
    <w:p w14:paraId="6AF87915" w14:textId="59C46D26" w:rsidR="006702FE"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We show that:</w:t>
      </w:r>
    </w:p>
    <w:p w14:paraId="4BFA3B5E" w14:textId="3E6EB5C7" w:rsidR="003D2BD8"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1) Introduction of rewards affects feature-based attention both behaviorally and in SSVEPs</w:t>
      </w:r>
    </w:p>
    <w:p w14:paraId="5F9C2923" w14:textId="4D11BE2C" w:rsidR="003D2BD8"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2) Leads to lower levels of attention for the low rewarded stimuli, while high rewarded stimuli stay at the same level</w:t>
      </w:r>
    </w:p>
    <w:p w14:paraId="3CB97C9F" w14:textId="07F1E18C" w:rsidR="003D2BD8" w:rsidRDefault="003D2BD8" w:rsidP="0015680F">
      <w:pPr>
        <w:spacing w:line="480" w:lineRule="auto"/>
        <w:jc w:val="both"/>
        <w:rPr>
          <w:rFonts w:ascii="Times New Roman" w:hAnsi="Times New Roman" w:cs="Times New Roman"/>
          <w:sz w:val="24"/>
        </w:rPr>
      </w:pPr>
      <w:r>
        <w:rPr>
          <w:rFonts w:ascii="Times New Roman" w:hAnsi="Times New Roman" w:cs="Times New Roman"/>
          <w:sz w:val="24"/>
        </w:rPr>
        <w:t>3) The lingering effect of reward is present in the absence of rewards, even though our measure of feature-based attention goes back to baseline</w:t>
      </w:r>
    </w:p>
    <w:p w14:paraId="72CC401E" w14:textId="20C4C2D9" w:rsidR="006702FE" w:rsidRPr="006702FE" w:rsidRDefault="006702FE" w:rsidP="006702FE">
      <w:pPr>
        <w:spacing w:line="480" w:lineRule="auto"/>
        <w:jc w:val="both"/>
        <w:rPr>
          <w:rFonts w:ascii="Times New Roman" w:hAnsi="Times New Roman" w:cs="Times New Roman"/>
          <w:b/>
          <w:sz w:val="24"/>
        </w:rPr>
      </w:pPr>
      <w:r w:rsidRPr="006702FE">
        <w:rPr>
          <w:rFonts w:ascii="Times New Roman" w:hAnsi="Times New Roman" w:cs="Times New Roman"/>
          <w:b/>
          <w:sz w:val="24"/>
        </w:rPr>
        <w:t>Maunsell, 2004</w:t>
      </w:r>
    </w:p>
    <w:p w14:paraId="594A1BD6" w14:textId="49CDAF56" w:rsidR="006702FE" w:rsidRDefault="006702FE" w:rsidP="006702FE">
      <w:pPr>
        <w:spacing w:line="480" w:lineRule="auto"/>
        <w:jc w:val="both"/>
        <w:rPr>
          <w:rFonts w:ascii="Times New Roman" w:hAnsi="Times New Roman" w:cs="Times New Roman"/>
          <w:sz w:val="24"/>
        </w:rPr>
      </w:pPr>
      <w:r w:rsidRPr="006702FE">
        <w:rPr>
          <w:rFonts w:ascii="Times New Roman" w:hAnsi="Times New Roman" w:cs="Times New Roman"/>
          <w:sz w:val="24"/>
        </w:rPr>
        <w:t>However, the few neurophysiological</w:t>
      </w:r>
      <w:r>
        <w:rPr>
          <w:rFonts w:ascii="Times New Roman" w:hAnsi="Times New Roman" w:cs="Times New Roman"/>
          <w:sz w:val="24"/>
        </w:rPr>
        <w:t xml:space="preserve"> </w:t>
      </w:r>
      <w:r w:rsidRPr="006702FE">
        <w:rPr>
          <w:rFonts w:ascii="Times New Roman" w:hAnsi="Times New Roman" w:cs="Times New Roman"/>
          <w:sz w:val="24"/>
        </w:rPr>
        <w:t>studies that have varied the difficulty of a spatial attention</w:t>
      </w:r>
      <w:r>
        <w:rPr>
          <w:rFonts w:ascii="Times New Roman" w:hAnsi="Times New Roman" w:cs="Times New Roman"/>
          <w:sz w:val="24"/>
        </w:rPr>
        <w:t xml:space="preserve"> </w:t>
      </w:r>
      <w:r w:rsidRPr="006702FE">
        <w:rPr>
          <w:rFonts w:ascii="Times New Roman" w:hAnsi="Times New Roman" w:cs="Times New Roman"/>
          <w:sz w:val="24"/>
        </w:rPr>
        <w:t>task have shown that neuronal modulations by attention</w:t>
      </w:r>
      <w:r>
        <w:rPr>
          <w:rFonts w:ascii="Times New Roman" w:hAnsi="Times New Roman" w:cs="Times New Roman"/>
          <w:sz w:val="24"/>
        </w:rPr>
        <w:t xml:space="preserve"> </w:t>
      </w:r>
      <w:r w:rsidRPr="006702FE">
        <w:rPr>
          <w:rFonts w:ascii="Times New Roman" w:hAnsi="Times New Roman" w:cs="Times New Roman"/>
          <w:sz w:val="24"/>
        </w:rPr>
        <w:t>vary depending on task demands [29,30,34].</w:t>
      </w:r>
    </w:p>
    <w:p w14:paraId="42BF328C" w14:textId="5419BD87" w:rsidR="0015680F" w:rsidRDefault="0015680F" w:rsidP="0015680F">
      <w:pPr>
        <w:spacing w:line="480" w:lineRule="auto"/>
        <w:jc w:val="both"/>
        <w:rPr>
          <w:rFonts w:ascii="Times New Roman" w:hAnsi="Times New Roman" w:cs="Times New Roman"/>
          <w:b/>
          <w:sz w:val="24"/>
        </w:rPr>
      </w:pPr>
      <w:r>
        <w:rPr>
          <w:rFonts w:ascii="Times New Roman" w:hAnsi="Times New Roman" w:cs="Times New Roman"/>
          <w:b/>
          <w:sz w:val="24"/>
        </w:rPr>
        <w:t>SSVEPs</w:t>
      </w:r>
    </w:p>
    <w:p w14:paraId="228E1EC3" w14:textId="77777777" w:rsidR="000C7DEE" w:rsidRDefault="000C7DEE" w:rsidP="000C7DEE">
      <w:pPr>
        <w:spacing w:line="480" w:lineRule="auto"/>
        <w:jc w:val="both"/>
        <w:rPr>
          <w:rFonts w:ascii="Times New Roman" w:hAnsi="Times New Roman" w:cs="Times New Roman"/>
          <w:sz w:val="24"/>
        </w:rPr>
      </w:pPr>
    </w:p>
    <w:p w14:paraId="6B1C3026" w14:textId="6E5729BF" w:rsidR="0015680F" w:rsidRDefault="0015680F" w:rsidP="0015680F">
      <w:pPr>
        <w:spacing w:line="480" w:lineRule="auto"/>
        <w:jc w:val="both"/>
        <w:rPr>
          <w:rFonts w:ascii="Times New Roman" w:hAnsi="Times New Roman" w:cs="Times New Roman"/>
          <w:b/>
          <w:sz w:val="24"/>
        </w:rPr>
      </w:pPr>
      <w:r>
        <w:rPr>
          <w:rFonts w:ascii="Times New Roman" w:hAnsi="Times New Roman" w:cs="Times New Roman"/>
          <w:b/>
          <w:sz w:val="24"/>
        </w:rPr>
        <w:t>The present study</w:t>
      </w:r>
    </w:p>
    <w:p w14:paraId="3370180B" w14:textId="06439D5C" w:rsidR="0015680F" w:rsidRPr="0015680F" w:rsidRDefault="0015680F" w:rsidP="0015680F">
      <w:pPr>
        <w:spacing w:line="480" w:lineRule="auto"/>
        <w:jc w:val="both"/>
        <w:rPr>
          <w:rFonts w:ascii="Times New Roman" w:hAnsi="Times New Roman" w:cs="Times New Roman"/>
          <w:sz w:val="24"/>
        </w:rPr>
      </w:pPr>
      <w:r>
        <w:rPr>
          <w:rFonts w:ascii="Times New Roman" w:hAnsi="Times New Roman" w:cs="Times New Roman"/>
          <w:sz w:val="24"/>
        </w:rPr>
        <w:t>Our goal is to use SSVEPs in order to, for the first time, assess the influence of reward magnitude on sustained feature-based attention. How this fits with the theoretical models presented in the first part of the intro?</w:t>
      </w:r>
      <w:r w:rsidR="00F17649">
        <w:rPr>
          <w:rFonts w:ascii="Times New Roman" w:hAnsi="Times New Roman" w:cs="Times New Roman"/>
          <w:sz w:val="24"/>
        </w:rPr>
        <w:t xml:space="preserve"> Present the main idea and design of the study. </w:t>
      </w:r>
      <w:r w:rsidR="006702FE">
        <w:rPr>
          <w:rFonts w:ascii="Times New Roman" w:hAnsi="Times New Roman" w:cs="Times New Roman"/>
          <w:sz w:val="24"/>
        </w:rPr>
        <w:t xml:space="preserve">We manipulate reward probability, not magnitude </w:t>
      </w:r>
      <w:r w:rsidR="006702FE">
        <w:rPr>
          <w:rFonts w:ascii="Times New Roman" w:hAnsi="Times New Roman" w:cs="Times New Roman"/>
          <w:sz w:val="24"/>
        </w:rPr>
        <w:fldChar w:fldCharType="begin" w:fldLock="1"/>
      </w:r>
      <w:r w:rsidR="006702FE">
        <w:rPr>
          <w:rFonts w:ascii="Times New Roman" w:hAnsi="Times New Roman" w:cs="Times New Roman"/>
          <w:sz w:val="24"/>
        </w:rPr>
        <w:instrText>ADDIN CSL_CITATION { "citationItems" : [ { "id" : "ITEM-1", "itemData" : { "DOI" : "10.1016/j.tics.2004.04.003", "ISBN" : "1364-6613 (Print)", "ISSN" : "13646613", "PMID" : "15165551", "abstract" : "The effects of spatial or featural attention on the activity of neurons have been studied in many experiments that have used a variety of neurophysiological approaches. Other experiments have examined how expectations about reward are represented in neuronal activity in various brain regions. Although attention and reward are distinct concepts, I argue here that many neurophysiological experiments on attention and reward do not permit a clean dissociation between the two. This problem arises in part because reward contingencies are the only parameter manipulated in any of these experiments. I describe how attention and reward expectations have been confounded, giving rise to uncertainty about how signals related to attention and reward are distributed in the brain.", "author" : [ { "dropping-particle" : "", "family" : "Maunsell", "given" : "John H.R.", "non-dropping-particle" : "", "parse-names" : false, "suffix" : "" } ], "container-title" : "Trends in Cognitive Sciences", "id" : "ITEM-1", "issue" : "6", "issued" : { "date-parts" : [ [ "2004" ] ] }, "page" : "261-265", "title" : "Neuronal representations of cognitive state: Reward or attention?", "type" : "article-journal", "volume" : "8" }, "uris" : [ "http://www.mendeley.com/documents/?uuid=1d887d82-066b-49f0-9fab-fbe737242c5f" ] } ], "mendeley" : { "formattedCitation" : "(Maunsell, 2004)", "plainTextFormattedCitation" : "(Maunsell, 2004)", "previouslyFormattedCitation" : "(Maunsell, 2004)" }, "properties" : {  }, "schema" : "https://github.com/citation-style-language/schema/raw/master/csl-citation.json" }</w:instrText>
      </w:r>
      <w:r w:rsidR="006702FE">
        <w:rPr>
          <w:rFonts w:ascii="Times New Roman" w:hAnsi="Times New Roman" w:cs="Times New Roman"/>
          <w:sz w:val="24"/>
        </w:rPr>
        <w:fldChar w:fldCharType="separate"/>
      </w:r>
      <w:r w:rsidR="006702FE" w:rsidRPr="006702FE">
        <w:rPr>
          <w:rFonts w:ascii="Times New Roman" w:hAnsi="Times New Roman" w:cs="Times New Roman"/>
          <w:noProof/>
          <w:sz w:val="24"/>
        </w:rPr>
        <w:t>(Maunsell, 2004)</w:t>
      </w:r>
      <w:r w:rsidR="006702FE">
        <w:rPr>
          <w:rFonts w:ascii="Times New Roman" w:hAnsi="Times New Roman" w:cs="Times New Roman"/>
          <w:sz w:val="24"/>
        </w:rPr>
        <w:fldChar w:fldCharType="end"/>
      </w:r>
      <w:r w:rsidR="006702FE">
        <w:rPr>
          <w:rFonts w:ascii="Times New Roman" w:hAnsi="Times New Roman" w:cs="Times New Roman"/>
          <w:sz w:val="24"/>
        </w:rPr>
        <w:t>.</w:t>
      </w:r>
    </w:p>
    <w:p w14:paraId="0CBF3B6B" w14:textId="77777777" w:rsidR="0015680F" w:rsidRDefault="0015680F" w:rsidP="006D4521">
      <w:pPr>
        <w:spacing w:line="480" w:lineRule="auto"/>
        <w:ind w:firstLine="720"/>
        <w:jc w:val="both"/>
        <w:rPr>
          <w:rFonts w:ascii="Times New Roman" w:hAnsi="Times New Roman" w:cs="Times New Roman"/>
          <w:sz w:val="24"/>
        </w:rPr>
      </w:pPr>
    </w:p>
    <w:p w14:paraId="1A066C9F" w14:textId="1ABC6D86" w:rsidR="006D4521" w:rsidRDefault="006D4521" w:rsidP="006D452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order to better understand the underlying neural substrates of reward-guided deployment of attention in relation to depressive symptoms, we have decided to add an EEG study to our project. This study is focusing on the steady state visually evoked potentials (SSVEPs) which represent the oscillatory responses of the visual cortex to flickering stimuli (Norcia, </w:t>
      </w:r>
      <w:proofErr w:type="spellStart"/>
      <w:r>
        <w:rPr>
          <w:rFonts w:ascii="Times New Roman" w:hAnsi="Times New Roman" w:cs="Times New Roman"/>
          <w:sz w:val="24"/>
        </w:rPr>
        <w:t>Appelbaum</w:t>
      </w:r>
      <w:proofErr w:type="spellEnd"/>
      <w:r>
        <w:rPr>
          <w:rFonts w:ascii="Times New Roman" w:hAnsi="Times New Roman" w:cs="Times New Roman"/>
          <w:sz w:val="24"/>
        </w:rPr>
        <w:t xml:space="preserve">, Ales, </w:t>
      </w:r>
      <w:proofErr w:type="spellStart"/>
      <w:r>
        <w:rPr>
          <w:rFonts w:ascii="Times New Roman" w:hAnsi="Times New Roman" w:cs="Times New Roman"/>
          <w:sz w:val="24"/>
        </w:rPr>
        <w:t>Cottereau</w:t>
      </w:r>
      <w:proofErr w:type="spellEnd"/>
      <w:r>
        <w:rPr>
          <w:rFonts w:ascii="Times New Roman" w:hAnsi="Times New Roman" w:cs="Times New Roman"/>
          <w:sz w:val="24"/>
        </w:rPr>
        <w:t xml:space="preserve">, &amp; </w:t>
      </w:r>
      <w:proofErr w:type="spellStart"/>
      <w:r>
        <w:rPr>
          <w:rFonts w:ascii="Times New Roman" w:hAnsi="Times New Roman" w:cs="Times New Roman"/>
          <w:sz w:val="24"/>
        </w:rPr>
        <w:t>Rossion</w:t>
      </w:r>
      <w:proofErr w:type="spellEnd"/>
      <w:r>
        <w:rPr>
          <w:rFonts w:ascii="Times New Roman" w:hAnsi="Times New Roman" w:cs="Times New Roman"/>
          <w:sz w:val="24"/>
        </w:rPr>
        <w:t xml:space="preserve">, 2015). This method has already been successfully used to explore the “attention grabbing” by irrelevant emotional stimuli (Attar, Andersen, &amp; Müller, 2010) and is particularly interesting because it provides not just a measure of which stimuli capture attention, but also a continuous measure of how much attention is simultaneously being paid towards different stimuli. The first aim of this study is to investigate the possibility of using the SSVEPs to detect differences in the amount of attention deployed towards stimuli based on their associated reward value (Study 2a). The second aim of this study is to explore if the amount of attention being paid towards reward-related stimuli is linked to depression levels and anhedonic symptoms in particular (Study 2b). </w:t>
      </w:r>
    </w:p>
    <w:p w14:paraId="711227B3" w14:textId="77777777" w:rsidR="006D4521" w:rsidRDefault="006D4521" w:rsidP="00EC4518">
      <w:pPr>
        <w:spacing w:line="360" w:lineRule="auto"/>
        <w:jc w:val="center"/>
        <w:rPr>
          <w:rFonts w:ascii="Times New Roman" w:hAnsi="Times New Roman" w:cs="Times New Roman"/>
          <w:b/>
          <w:sz w:val="24"/>
        </w:rPr>
      </w:pPr>
    </w:p>
    <w:p w14:paraId="78FCD169" w14:textId="4A7F2141" w:rsidR="009508C9" w:rsidRDefault="009508C9" w:rsidP="003E5AB6">
      <w:pPr>
        <w:pStyle w:val="Heading1"/>
        <w:spacing w:before="0"/>
      </w:pPr>
      <w:r>
        <w:t>Methods</w:t>
      </w:r>
    </w:p>
    <w:p w14:paraId="3EA709CE" w14:textId="292FF3DC" w:rsidR="00F17649" w:rsidRDefault="00F17649" w:rsidP="003E5AB6">
      <w:pPr>
        <w:pStyle w:val="Heading2"/>
      </w:pPr>
      <w:r>
        <w:t>Subjects</w:t>
      </w:r>
    </w:p>
    <w:p w14:paraId="301E968B" w14:textId="77777777" w:rsidR="007D5FCE" w:rsidRDefault="007D5FCE" w:rsidP="007D5FCE"/>
    <w:p w14:paraId="2D72950A" w14:textId="5FA365E4" w:rsidR="00251771" w:rsidRPr="00251771" w:rsidRDefault="00251771" w:rsidP="007D5FCE">
      <w:pPr>
        <w:rPr>
          <w:rFonts w:ascii="Times New Roman" w:hAnsi="Times New Roman" w:cs="Times New Roman"/>
          <w:sz w:val="24"/>
        </w:rPr>
      </w:pPr>
      <w:r>
        <w:rPr>
          <w:rFonts w:ascii="Times New Roman" w:hAnsi="Times New Roman" w:cs="Times New Roman"/>
          <w:sz w:val="24"/>
        </w:rPr>
        <w:t xml:space="preserve">We have tested 40 participants. </w:t>
      </w:r>
      <w:bookmarkStart w:id="0" w:name="_GoBack"/>
      <w:bookmarkEnd w:id="0"/>
    </w:p>
    <w:p w14:paraId="20822B5D" w14:textId="77777777" w:rsidR="007D5FCE" w:rsidRDefault="007D5FCE" w:rsidP="007D5FCE"/>
    <w:p w14:paraId="3CC65299" w14:textId="77777777" w:rsidR="007D5FCE" w:rsidRPr="007D5FCE" w:rsidRDefault="007D5FCE" w:rsidP="007D5FCE"/>
    <w:p w14:paraId="481B9F2F" w14:textId="65746DD9" w:rsidR="006D4521" w:rsidRDefault="00F17649" w:rsidP="003E5AB6">
      <w:pPr>
        <w:pStyle w:val="Heading2"/>
      </w:pPr>
      <w:r>
        <w:t>Stimuli and p</w:t>
      </w:r>
      <w:r w:rsidR="006D4521" w:rsidRPr="006D4521">
        <w:t>rocedure</w:t>
      </w:r>
    </w:p>
    <w:p w14:paraId="06FA92DB" w14:textId="77777777" w:rsidR="000819E8" w:rsidRDefault="000819E8" w:rsidP="000819E8"/>
    <w:p w14:paraId="55E09B52" w14:textId="41E45FD5" w:rsidR="000819E8" w:rsidRDefault="000819E8" w:rsidP="000819E8">
      <w:pPr>
        <w:pStyle w:val="ListParagraph"/>
        <w:numPr>
          <w:ilvl w:val="0"/>
          <w:numId w:val="37"/>
        </w:numPr>
        <w:rPr>
          <w:rFonts w:ascii="Times New Roman" w:hAnsi="Times New Roman" w:cs="Times New Roman"/>
          <w:sz w:val="24"/>
        </w:rPr>
      </w:pPr>
      <w:r w:rsidRPr="000819E8">
        <w:rPr>
          <w:rFonts w:ascii="Times New Roman" w:hAnsi="Times New Roman" w:cs="Times New Roman"/>
          <w:sz w:val="24"/>
        </w:rPr>
        <w:t xml:space="preserve">We have discarded RTs below 200ms (0%) and the upper limit within the task was 1000ms (check this in the Matlab script) so that no RTs were above that. </w:t>
      </w:r>
    </w:p>
    <w:p w14:paraId="06299242" w14:textId="77777777" w:rsidR="007A318B" w:rsidRDefault="007A318B" w:rsidP="007A318B">
      <w:pPr>
        <w:spacing w:line="480" w:lineRule="auto"/>
        <w:jc w:val="both"/>
        <w:rPr>
          <w:rFonts w:ascii="Times New Roman" w:hAnsi="Times New Roman" w:cs="Times New Roman"/>
          <w:sz w:val="24"/>
        </w:rPr>
      </w:pPr>
    </w:p>
    <w:p w14:paraId="5F1D12A3" w14:textId="77777777" w:rsidR="007A318B" w:rsidRPr="007A318B" w:rsidRDefault="007A318B" w:rsidP="007A318B">
      <w:pPr>
        <w:spacing w:line="480" w:lineRule="auto"/>
        <w:jc w:val="both"/>
        <w:rPr>
          <w:rFonts w:ascii="Times New Roman" w:hAnsi="Times New Roman" w:cs="Times New Roman"/>
          <w:sz w:val="24"/>
        </w:rPr>
      </w:pPr>
      <w:r w:rsidRPr="007A318B">
        <w:rPr>
          <w:rFonts w:ascii="Times New Roman" w:hAnsi="Times New Roman" w:cs="Times New Roman"/>
          <w:sz w:val="24"/>
        </w:rPr>
        <w:lastRenderedPageBreak/>
        <w:t xml:space="preserve">In Studies 2a and 2b we are using the Random Dot </w:t>
      </w:r>
      <w:proofErr w:type="spellStart"/>
      <w:r w:rsidRPr="007A318B">
        <w:rPr>
          <w:rFonts w:ascii="Times New Roman" w:hAnsi="Times New Roman" w:cs="Times New Roman"/>
          <w:sz w:val="24"/>
        </w:rPr>
        <w:t>Kinematogram</w:t>
      </w:r>
      <w:proofErr w:type="spellEnd"/>
      <w:r w:rsidRPr="007A318B">
        <w:rPr>
          <w:rFonts w:ascii="Times New Roman" w:hAnsi="Times New Roman" w:cs="Times New Roman"/>
          <w:sz w:val="24"/>
        </w:rPr>
        <w:t xml:space="preserve"> task (Andersen &amp; Müller, 2010) in which participants are presented with a cloud of randomly moving dots of two colors flickering at two different frequencies. On 32% of trials 75% of dots of one color make a coherent movement and participant’s task is to detect this movement. On each of the trials participants are presented with an auditory cue which instructs them to focus on one of the two colors. The experiment consist out of three blocks. The first block is the baseline block in which participants are doing the previously described task. The second block is the training block in which one of the colors is paired with high reward (80% of correct detections are rewarded), while the other color is paired with low reward (20% of correct detections are rewarded). The third block is the test block in which participants are not being provided by rewards and they are doing the same task as in previous two blocks. Reward sensitivity (BIS/BAS scale) and depression levels (BDI-II scale) are also being measured for each participant in order to inform the future study that will be run on participants preselected based on their depressive symptoms. </w:t>
      </w:r>
    </w:p>
    <w:p w14:paraId="0E136591" w14:textId="77777777" w:rsidR="007A318B" w:rsidRPr="007A318B" w:rsidRDefault="007A318B" w:rsidP="007A318B">
      <w:pPr>
        <w:rPr>
          <w:rFonts w:ascii="Times New Roman" w:hAnsi="Times New Roman" w:cs="Times New Roman"/>
          <w:sz w:val="24"/>
        </w:rPr>
      </w:pPr>
    </w:p>
    <w:p w14:paraId="2FAB1876" w14:textId="51D64307" w:rsidR="00F17649" w:rsidRDefault="00F17649" w:rsidP="003E5AB6">
      <w:pPr>
        <w:pStyle w:val="Heading2"/>
      </w:pPr>
      <w:r>
        <w:t>EEG recording and preprocessing</w:t>
      </w:r>
    </w:p>
    <w:p w14:paraId="23D64D6B" w14:textId="6F64CE98" w:rsidR="00F17649" w:rsidRDefault="00F17649" w:rsidP="003E5AB6">
      <w:pPr>
        <w:pStyle w:val="Heading2"/>
      </w:pPr>
      <w:r>
        <w:t>Statistical analysis</w:t>
      </w:r>
    </w:p>
    <w:p w14:paraId="0782B720" w14:textId="77777777" w:rsidR="006D4521" w:rsidRPr="006D4521" w:rsidRDefault="006D4521" w:rsidP="006D4521">
      <w:pPr>
        <w:spacing w:line="360" w:lineRule="auto"/>
        <w:rPr>
          <w:rFonts w:ascii="Times New Roman" w:hAnsi="Times New Roman" w:cs="Times New Roman"/>
          <w:b/>
          <w:sz w:val="24"/>
        </w:rPr>
      </w:pPr>
    </w:p>
    <w:p w14:paraId="15FA9DA9" w14:textId="44809C99" w:rsidR="009508C9" w:rsidRDefault="009508C9" w:rsidP="003E5AB6">
      <w:pPr>
        <w:pStyle w:val="Heading1"/>
        <w:spacing w:before="0"/>
      </w:pPr>
      <w:r>
        <w:t>Results</w:t>
      </w:r>
    </w:p>
    <w:p w14:paraId="454E41D4" w14:textId="226C135E" w:rsidR="000819E8" w:rsidRPr="000819E8" w:rsidRDefault="000819E8" w:rsidP="000819E8">
      <w:r>
        <w:t xml:space="preserve">Explanation for splitting each block in 2 to show that there are no practice effects: if we split in more there is not enough data per cell. Make these graphs with no reward magnitude condition, just one line. Also, we can’t do it in the SSVEPs because the SNR is low. </w:t>
      </w:r>
    </w:p>
    <w:p w14:paraId="0A2B91AF" w14:textId="15047200" w:rsidR="009508C9" w:rsidRDefault="009508C9" w:rsidP="003E5AB6">
      <w:pPr>
        <w:pStyle w:val="Heading1"/>
        <w:spacing w:before="0"/>
      </w:pPr>
      <w:r>
        <w:t>Discussion</w:t>
      </w:r>
    </w:p>
    <w:p w14:paraId="4F70C000" w14:textId="37DB362B" w:rsidR="00D9055B" w:rsidRPr="00D9055B" w:rsidRDefault="00D9055B" w:rsidP="00EC4518">
      <w:pPr>
        <w:spacing w:line="360" w:lineRule="auto"/>
        <w:jc w:val="center"/>
        <w:rPr>
          <w:rFonts w:ascii="Times New Roman" w:hAnsi="Times New Roman" w:cs="Times New Roman"/>
          <w:i/>
          <w:sz w:val="24"/>
        </w:rPr>
      </w:pPr>
      <w:r>
        <w:rPr>
          <w:rFonts w:ascii="Times New Roman" w:hAnsi="Times New Roman" w:cs="Times New Roman"/>
          <w:i/>
          <w:sz w:val="24"/>
        </w:rPr>
        <w:t>1500 word limit including citations</w:t>
      </w:r>
    </w:p>
    <w:p w14:paraId="3815A2B2" w14:textId="212695AB" w:rsidR="00BE2DD8" w:rsidRDefault="00BE2DD8" w:rsidP="00BE2DD8">
      <w:pPr>
        <w:spacing w:line="480" w:lineRule="auto"/>
        <w:jc w:val="both"/>
        <w:rPr>
          <w:rFonts w:ascii="Times New Roman" w:hAnsi="Times New Roman" w:cs="Times New Roman"/>
          <w:sz w:val="24"/>
        </w:rPr>
      </w:pPr>
      <w:r>
        <w:rPr>
          <w:rFonts w:ascii="Times New Roman" w:hAnsi="Times New Roman" w:cs="Times New Roman"/>
          <w:sz w:val="24"/>
        </w:rPr>
        <w:tab/>
      </w:r>
      <w:r w:rsidR="007B104B">
        <w:rPr>
          <w:rFonts w:ascii="Times New Roman" w:hAnsi="Times New Roman" w:cs="Times New Roman"/>
          <w:sz w:val="24"/>
        </w:rPr>
        <w:t xml:space="preserve"> </w:t>
      </w:r>
    </w:p>
    <w:p w14:paraId="310F606E" w14:textId="77777777" w:rsidR="00FB0502" w:rsidRDefault="00FB0502" w:rsidP="003E5AB6">
      <w:pPr>
        <w:pStyle w:val="Heading1"/>
        <w:spacing w:before="0"/>
      </w:pPr>
      <w:r>
        <w:lastRenderedPageBreak/>
        <w:t>Acknowledgements</w:t>
      </w:r>
    </w:p>
    <w:p w14:paraId="35F326AA" w14:textId="60D80FC3" w:rsidR="00FB0502" w:rsidRDefault="001B37E8" w:rsidP="00FB4E7B">
      <w:pPr>
        <w:spacing w:after="0" w:line="480" w:lineRule="auto"/>
        <w:jc w:val="both"/>
        <w:rPr>
          <w:rFonts w:ascii="Times New Roman" w:hAnsi="Times New Roman"/>
          <w:sz w:val="24"/>
        </w:rPr>
      </w:pPr>
      <w:r>
        <w:rPr>
          <w:rFonts w:ascii="Times New Roman" w:hAnsi="Times New Roman"/>
          <w:sz w:val="24"/>
        </w:rPr>
        <w:t xml:space="preserve">This </w:t>
      </w:r>
      <w:r w:rsidR="0013661A">
        <w:rPr>
          <w:rFonts w:ascii="Times New Roman" w:hAnsi="Times New Roman"/>
          <w:sz w:val="24"/>
        </w:rPr>
        <w:t>work</w:t>
      </w:r>
      <w:r>
        <w:rPr>
          <w:rFonts w:ascii="Times New Roman" w:hAnsi="Times New Roman"/>
          <w:sz w:val="24"/>
        </w:rPr>
        <w:t xml:space="preserve"> was supported by the Special Research Fund (BOF) of Ghent University </w:t>
      </w:r>
      <w:r w:rsidR="0013661A">
        <w:rPr>
          <w:rFonts w:ascii="Times New Roman" w:hAnsi="Times New Roman"/>
          <w:sz w:val="24"/>
        </w:rPr>
        <w:t>[grant number 01D02415 awarded to IG]</w:t>
      </w:r>
      <w:r w:rsidR="009508C9">
        <w:rPr>
          <w:rFonts w:ascii="Times New Roman" w:hAnsi="Times New Roman"/>
          <w:sz w:val="24"/>
        </w:rPr>
        <w:t xml:space="preserve"> </w:t>
      </w:r>
      <w:r w:rsidR="00FB62B3">
        <w:rPr>
          <w:rFonts w:ascii="Times New Roman" w:hAnsi="Times New Roman"/>
          <w:sz w:val="24"/>
        </w:rPr>
        <w:t>and</w:t>
      </w:r>
      <w:r>
        <w:rPr>
          <w:rFonts w:ascii="Times New Roman" w:hAnsi="Times New Roman"/>
          <w:sz w:val="24"/>
        </w:rPr>
        <w:t xml:space="preserve"> the </w:t>
      </w:r>
      <w:r w:rsidRPr="001B37E8">
        <w:rPr>
          <w:rFonts w:ascii="Times New Roman" w:hAnsi="Times New Roman"/>
          <w:sz w:val="24"/>
        </w:rPr>
        <w:t>Concerted Research Action Grant</w:t>
      </w:r>
      <w:r>
        <w:rPr>
          <w:rFonts w:ascii="Times New Roman" w:hAnsi="Times New Roman"/>
          <w:sz w:val="24"/>
        </w:rPr>
        <w:t xml:space="preserve"> of</w:t>
      </w:r>
      <w:r w:rsidR="0013661A">
        <w:rPr>
          <w:rFonts w:ascii="Times New Roman" w:hAnsi="Times New Roman"/>
          <w:sz w:val="24"/>
        </w:rPr>
        <w:t xml:space="preserve"> Ghent University [</w:t>
      </w:r>
      <w:r w:rsidR="0013661A" w:rsidRPr="00AB4F3E">
        <w:rPr>
          <w:rFonts w:ascii="Times New Roman" w:hAnsi="Times New Roman"/>
          <w:sz w:val="24"/>
        </w:rPr>
        <w:t>grant number</w:t>
      </w:r>
      <w:r w:rsidRPr="00AB4F3E">
        <w:rPr>
          <w:rFonts w:ascii="Times New Roman" w:hAnsi="Times New Roman"/>
          <w:sz w:val="24"/>
        </w:rPr>
        <w:t xml:space="preserve"> </w:t>
      </w:r>
      <w:r w:rsidR="00AB4F3E" w:rsidRPr="00AB4F3E">
        <w:rPr>
          <w:rFonts w:ascii="Times New Roman" w:hAnsi="Times New Roman"/>
          <w:sz w:val="24"/>
        </w:rPr>
        <w:t xml:space="preserve">BOF16/GOA/017 </w:t>
      </w:r>
      <w:r w:rsidRPr="00AB4F3E">
        <w:rPr>
          <w:rFonts w:ascii="Times New Roman" w:hAnsi="Times New Roman"/>
          <w:sz w:val="24"/>
        </w:rPr>
        <w:t>awarded to EHWK</w:t>
      </w:r>
      <w:r w:rsidR="00FB62B3">
        <w:rPr>
          <w:rFonts w:ascii="Times New Roman" w:hAnsi="Times New Roman"/>
          <w:sz w:val="24"/>
        </w:rPr>
        <w:t>].</w:t>
      </w:r>
      <w:r w:rsidR="000D10C4">
        <w:rPr>
          <w:rFonts w:ascii="Times New Roman" w:hAnsi="Times New Roman"/>
          <w:sz w:val="24"/>
        </w:rPr>
        <w:t xml:space="preserve"> </w:t>
      </w:r>
      <w:r w:rsidR="000B4D3A" w:rsidRPr="000B4D3A">
        <w:rPr>
          <w:rFonts w:ascii="Times New Roman" w:hAnsi="Times New Roman"/>
          <w:sz w:val="24"/>
          <w:highlight w:val="yellow"/>
        </w:rPr>
        <w:t xml:space="preserve">Add funding for </w:t>
      </w:r>
      <w:r w:rsidR="009508C9">
        <w:rPr>
          <w:rFonts w:ascii="Times New Roman" w:hAnsi="Times New Roman"/>
          <w:sz w:val="24"/>
          <w:highlight w:val="yellow"/>
        </w:rPr>
        <w:t xml:space="preserve">Antonio, Gilles, </w:t>
      </w:r>
      <w:r w:rsidR="009508C9" w:rsidRPr="009508C9">
        <w:rPr>
          <w:rFonts w:ascii="Times New Roman" w:hAnsi="Times New Roman"/>
          <w:sz w:val="24"/>
          <w:highlight w:val="yellow"/>
        </w:rPr>
        <w:t>and Søren</w:t>
      </w:r>
      <w:r w:rsidR="000B4D3A" w:rsidRPr="000B4D3A">
        <w:rPr>
          <w:rFonts w:ascii="Times New Roman" w:hAnsi="Times New Roman"/>
          <w:sz w:val="24"/>
          <w:highlight w:val="yellow"/>
        </w:rPr>
        <w:t>.</w:t>
      </w:r>
      <w:r w:rsidR="000B4D3A">
        <w:rPr>
          <w:rFonts w:ascii="Times New Roman" w:hAnsi="Times New Roman"/>
          <w:sz w:val="24"/>
        </w:rPr>
        <w:t xml:space="preserve"> </w:t>
      </w:r>
    </w:p>
    <w:p w14:paraId="4C1F2545" w14:textId="77777777" w:rsidR="00D32A67" w:rsidRPr="007E7285" w:rsidRDefault="007F7776" w:rsidP="003E5AB6">
      <w:pPr>
        <w:pStyle w:val="Heading1"/>
        <w:spacing w:before="0"/>
        <w:rPr>
          <w:lang w:val="de-DE"/>
        </w:rPr>
      </w:pPr>
      <w:r w:rsidRPr="007E7285">
        <w:rPr>
          <w:lang w:val="de-DE"/>
        </w:rPr>
        <w:t>References</w:t>
      </w:r>
    </w:p>
    <w:p w14:paraId="10B27A65" w14:textId="54C8D7E2" w:rsidR="00A733BB" w:rsidRPr="00A733BB" w:rsidRDefault="009214B6"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hAnsi="Times New Roman" w:cs="Times New Roman"/>
          <w:b/>
          <w:sz w:val="24"/>
        </w:rPr>
        <w:fldChar w:fldCharType="begin" w:fldLock="1"/>
      </w:r>
      <w:r>
        <w:rPr>
          <w:rFonts w:ascii="Times New Roman" w:hAnsi="Times New Roman" w:cs="Times New Roman"/>
          <w:b/>
          <w:sz w:val="24"/>
        </w:rPr>
        <w:instrText xml:space="preserve">ADDIN Mendeley Bibliography CSL_BIBLIOGRAPHY </w:instrText>
      </w:r>
      <w:r>
        <w:rPr>
          <w:rFonts w:ascii="Times New Roman" w:hAnsi="Times New Roman" w:cs="Times New Roman"/>
          <w:b/>
          <w:sz w:val="24"/>
        </w:rPr>
        <w:fldChar w:fldCharType="separate"/>
      </w:r>
      <w:r w:rsidR="00A733BB" w:rsidRPr="00A733BB">
        <w:rPr>
          <w:rFonts w:ascii="Times New Roman" w:hAnsi="Times New Roman" w:cs="Times New Roman"/>
          <w:noProof/>
          <w:sz w:val="24"/>
          <w:szCs w:val="24"/>
        </w:rPr>
        <w:t>Andersen, S.K., Müller, M.M., 2010. Behavioral performance follows the time course of neural facilitation and suppression during cued shifts of feature-selective attention. Proc. Natl. Acad. Sci. U. S. A. 107, 13878–82. doi:10.1073/pnas.1002436107</w:t>
      </w:r>
    </w:p>
    <w:p w14:paraId="2A0E2805"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Andersen, S.K., Müller, M.M., Hillyard, S.A., 2012. Tracking the allocation of attention in visual scenes with steady-state evoked potentials, in: Cognitive Neuroscience of Attention. pp. 197–216.</w:t>
      </w:r>
    </w:p>
    <w:p w14:paraId="7C220B8C"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Anderson, B.A., 2016. The attention habit: How reward learning shapes attentional selection. Ann. N. Y. Acad. Sci. 1369, 24–39. doi:10.1111/nyas.12957</w:t>
      </w:r>
    </w:p>
    <w:p w14:paraId="412201DB"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Anderson, B. a, Laurent, P. a, Yantis, S., 2011. Value-driven attentional capture. Proc Natl Acad Sci U S A 108, 10367–10371. doi:10.1073/pnas.1104047108</w:t>
      </w:r>
    </w:p>
    <w:p w14:paraId="50ADFC1C"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Chelazzi, L., Perlato, A., Santandrea, E., Della Libera, C., 2013. Rewards teach visual selective attention. Vision Res. 85, 58–62. doi:10.1016/j.visres.2012.12.005</w:t>
      </w:r>
    </w:p>
    <w:p w14:paraId="3DAD97F0"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Chun, M.M., Golomb, J.D., Turk-Browne, N.B., 2011. A Taxonomy of External and Internal Attention. Annu. Rev. Psychol. 62, 73–101. doi:10.1146/annurev.psych.093008.100427</w:t>
      </w:r>
    </w:p>
    <w:p w14:paraId="47AA9CE4"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Della Libera, C., Chelazzi, L., 2009. Learning to attend and to ignore is a matter of gains and losses. Psychol. Sci. 20, 778–784. doi:10.1111/j.1467-9280.2009.02360.x</w:t>
      </w:r>
    </w:p>
    <w:p w14:paraId="7751B456"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Desimone, R., Duncan, J., 1995. Neural Mechanisms of Selective Visual. Annu. Rev. Neurosci. 18, 193–222. doi:10.1146/annurev.ne.18.030195.001205</w:t>
      </w:r>
    </w:p>
    <w:p w14:paraId="14803B75"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 xml:space="preserve">Failing, M., Theeuwes, J., 2017. Selection history: How reward modulates selectivity of visual </w:t>
      </w:r>
      <w:r w:rsidRPr="00A733BB">
        <w:rPr>
          <w:rFonts w:ascii="Times New Roman" w:hAnsi="Times New Roman" w:cs="Times New Roman"/>
          <w:noProof/>
          <w:sz w:val="24"/>
          <w:szCs w:val="24"/>
        </w:rPr>
        <w:lastRenderedPageBreak/>
        <w:t>attention. Psychon. Bull. Rev. 1–25. doi:10.3758/s13423-017-1380-y</w:t>
      </w:r>
    </w:p>
    <w:p w14:paraId="1675C6DB"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Maunsell, J.H.R., 2004. Neuronal representations of cognitive state: Reward or attention? Trends Cogn. Sci. 8, 261–265. doi:10.1016/j.tics.2004.04.003</w:t>
      </w:r>
    </w:p>
    <w:p w14:paraId="3F5A80BF"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Muller, M.M., Andersen, S., Trujillo, N.J., Valdes-Sosa, P., Malinowski, P., Hillyard, S.A., 2006. Feature-selective attention enhances color signals in early visual areas of the human brain. Proc. Natl. Acad. Sci. 103, 14250–14254. doi:10.1073/pnas.0606668103</w:t>
      </w:r>
    </w:p>
    <w:p w14:paraId="0E09FA47"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733BB">
        <w:rPr>
          <w:rFonts w:ascii="Times New Roman" w:hAnsi="Times New Roman" w:cs="Times New Roman"/>
          <w:noProof/>
          <w:sz w:val="24"/>
          <w:szCs w:val="24"/>
        </w:rPr>
        <w:t>Norcia, A.M., Appelbaum, L.G., Ales, J.M., Cottereau, B.R., Rossion, B., 2015. The steady-state visual evoked potential in vision research : A review. J. Vis. 15, 1–46. doi:10.1167/15.6.4.doi</w:t>
      </w:r>
    </w:p>
    <w:p w14:paraId="2FD335EF" w14:textId="77777777" w:rsidR="00A733BB" w:rsidRPr="00A733BB" w:rsidRDefault="00A733BB" w:rsidP="00A733BB">
      <w:pPr>
        <w:widowControl w:val="0"/>
        <w:autoSpaceDE w:val="0"/>
        <w:autoSpaceDN w:val="0"/>
        <w:adjustRightInd w:val="0"/>
        <w:spacing w:after="0" w:line="480" w:lineRule="auto"/>
        <w:ind w:left="480" w:hanging="480"/>
        <w:rPr>
          <w:rFonts w:ascii="Times New Roman" w:hAnsi="Times New Roman" w:cs="Times New Roman"/>
          <w:noProof/>
          <w:sz w:val="24"/>
        </w:rPr>
      </w:pPr>
      <w:r w:rsidRPr="00A733BB">
        <w:rPr>
          <w:rFonts w:ascii="Times New Roman" w:hAnsi="Times New Roman" w:cs="Times New Roman"/>
          <w:noProof/>
          <w:sz w:val="24"/>
          <w:szCs w:val="24"/>
        </w:rPr>
        <w:t>Roelfsema, P.R., van Ooyen, A., Watanabe, T., 2010. Perceptual learning rules based on reinforcers and attention. Trends Cogn. Sci. 14, 64–71. doi:10.1016/j.tics.2009.11.005</w:t>
      </w:r>
    </w:p>
    <w:p w14:paraId="00A70723" w14:textId="3F5BE939" w:rsidR="008876DB" w:rsidRDefault="009214B6" w:rsidP="00240F39">
      <w:pPr>
        <w:spacing w:after="0" w:line="480" w:lineRule="auto"/>
        <w:jc w:val="center"/>
        <w:rPr>
          <w:rFonts w:ascii="Times New Roman" w:hAnsi="Times New Roman" w:cs="Times New Roman"/>
          <w:b/>
          <w:sz w:val="24"/>
        </w:rPr>
      </w:pPr>
      <w:r>
        <w:rPr>
          <w:rFonts w:ascii="Times New Roman" w:hAnsi="Times New Roman" w:cs="Times New Roman"/>
          <w:b/>
          <w:sz w:val="24"/>
        </w:rPr>
        <w:fldChar w:fldCharType="end"/>
      </w:r>
    </w:p>
    <w:sectPr w:rsidR="008876DB" w:rsidSect="000002A3">
      <w:headerReference w:type="default" r:id="rId8"/>
      <w:headerReference w:type="first" r:id="rId9"/>
      <w:footerReference w:type="first" r:id="rId10"/>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80996" w14:textId="77777777" w:rsidR="0092579B" w:rsidRDefault="0092579B" w:rsidP="00AD5698">
      <w:pPr>
        <w:spacing w:after="0" w:line="240" w:lineRule="auto"/>
      </w:pPr>
      <w:r>
        <w:separator/>
      </w:r>
    </w:p>
  </w:endnote>
  <w:endnote w:type="continuationSeparator" w:id="0">
    <w:p w14:paraId="0554907D" w14:textId="77777777" w:rsidR="0092579B" w:rsidRDefault="0092579B" w:rsidP="00AD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imesTen-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FF50B" w14:textId="46D22F95" w:rsidR="0047282E" w:rsidRDefault="0047282E" w:rsidP="0050297E">
    <w:pPr>
      <w:ind w:left="360"/>
      <w:jc w:val="both"/>
      <w:rPr>
        <w:rFonts w:ascii="Times New Roman" w:hAnsi="Times New Roman" w:cs="Times New Roman"/>
        <w:sz w:val="24"/>
      </w:rPr>
    </w:pPr>
    <w:r>
      <w:rPr>
        <w:rFonts w:ascii="Times New Roman" w:hAnsi="Times New Roman" w:cs="Times New Roman"/>
        <w:sz w:val="24"/>
      </w:rPr>
      <w:t xml:space="preserve">+ The first two authors equally contributed to the study.  </w:t>
    </w:r>
  </w:p>
  <w:p w14:paraId="4B769C76" w14:textId="298ABCF6" w:rsidR="008C17C2" w:rsidRDefault="008C17C2" w:rsidP="0050297E">
    <w:pPr>
      <w:ind w:left="360"/>
      <w:jc w:val="both"/>
    </w:pPr>
    <w:r w:rsidRPr="0050297E">
      <w:rPr>
        <w:rFonts w:ascii="Times New Roman" w:hAnsi="Times New Roman" w:cs="Times New Roman"/>
        <w:sz w:val="24"/>
      </w:rPr>
      <w:t>* Corresponding author at: Department of Experimental Clinical and Health Psychology, Ghent University, Henri Dunantlaan 2, B-9000, Ghent, Belgium. Phone: +32 (0)9 264 94 46; Fax: +32 (0)9 264 64 89</w:t>
    </w:r>
    <w:r w:rsidR="0047282E">
      <w:rPr>
        <w:rFonts w:ascii="Times New Roman" w:hAnsi="Times New Roman" w:cs="Times New Roman"/>
        <w:sz w:val="24"/>
      </w:rPr>
      <w:t xml:space="preserve">. </w:t>
    </w:r>
    <w:r w:rsidRPr="0050297E">
      <w:rPr>
        <w:rFonts w:ascii="Times New Roman" w:hAnsi="Times New Roman" w:cs="Times New Roman"/>
        <w:sz w:val="24"/>
      </w:rPr>
      <w:t xml:space="preserve">E-mail address: </w:t>
    </w:r>
    <w:hyperlink r:id="rId1" w:history="1">
      <w:r w:rsidRPr="0050297E">
        <w:rPr>
          <w:rStyle w:val="Hyperlink"/>
          <w:rFonts w:ascii="Times New Roman" w:hAnsi="Times New Roman" w:cs="Times New Roman"/>
          <w:color w:val="auto"/>
          <w:sz w:val="24"/>
          <w:u w:val="none"/>
        </w:rPr>
        <w:t>ivan.grahek@ugent.be</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A40C2" w14:textId="77777777" w:rsidR="0092579B" w:rsidRDefault="0092579B" w:rsidP="00AD5698">
      <w:pPr>
        <w:spacing w:after="0" w:line="240" w:lineRule="auto"/>
      </w:pPr>
      <w:r>
        <w:separator/>
      </w:r>
    </w:p>
  </w:footnote>
  <w:footnote w:type="continuationSeparator" w:id="0">
    <w:p w14:paraId="4CEE28F7" w14:textId="77777777" w:rsidR="0092579B" w:rsidRDefault="0092579B" w:rsidP="00AD56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FC9D4" w14:textId="4FA88A67" w:rsidR="008C17C2" w:rsidRDefault="0047282E">
    <w:pPr>
      <w:pStyle w:val="Header"/>
    </w:pPr>
    <w:r>
      <w:rPr>
        <w:rFonts w:ascii="Times New Roman" w:hAnsi="Times New Roman" w:cs="Times New Roman"/>
        <w:sz w:val="24"/>
        <w:szCs w:val="24"/>
      </w:rPr>
      <w:t xml:space="preserve">FEATURE-BASED ATTENTION AND REWARD </w:t>
    </w:r>
    <w:sdt>
      <w:sdtPr>
        <w:id w:val="-1319488693"/>
        <w:docPartObj>
          <w:docPartGallery w:val="Page Numbers (Top of Page)"/>
          <w:docPartUnique/>
        </w:docPartObj>
      </w:sdtPr>
      <w:sdtEndPr>
        <w:rPr>
          <w:noProof/>
        </w:rPr>
      </w:sdtEndPr>
      <w:sdtContent>
        <w:r>
          <w:tab/>
        </w:r>
        <w:r w:rsidR="008C17C2" w:rsidRPr="00271CF9">
          <w:rPr>
            <w:rFonts w:ascii="Times New Roman" w:hAnsi="Times New Roman" w:cs="Times New Roman"/>
            <w:sz w:val="24"/>
            <w:szCs w:val="24"/>
          </w:rPr>
          <w:fldChar w:fldCharType="begin"/>
        </w:r>
        <w:r w:rsidR="008C17C2" w:rsidRPr="00271CF9">
          <w:rPr>
            <w:rFonts w:ascii="Times New Roman" w:hAnsi="Times New Roman" w:cs="Times New Roman"/>
            <w:sz w:val="24"/>
            <w:szCs w:val="24"/>
          </w:rPr>
          <w:instrText xml:space="preserve"> PAGE   \* MERGEFORMAT </w:instrText>
        </w:r>
        <w:r w:rsidR="008C17C2" w:rsidRPr="00271CF9">
          <w:rPr>
            <w:rFonts w:ascii="Times New Roman" w:hAnsi="Times New Roman" w:cs="Times New Roman"/>
            <w:sz w:val="24"/>
            <w:szCs w:val="24"/>
          </w:rPr>
          <w:fldChar w:fldCharType="separate"/>
        </w:r>
        <w:r w:rsidR="00251771">
          <w:rPr>
            <w:rFonts w:ascii="Times New Roman" w:hAnsi="Times New Roman" w:cs="Times New Roman"/>
            <w:noProof/>
            <w:sz w:val="24"/>
            <w:szCs w:val="24"/>
          </w:rPr>
          <w:t>12</w:t>
        </w:r>
        <w:r w:rsidR="008C17C2" w:rsidRPr="00271CF9">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3D967" w14:textId="532432E7" w:rsidR="008C17C2" w:rsidRDefault="008C17C2" w:rsidP="0050297E">
    <w:pPr>
      <w:pStyle w:val="Header"/>
      <w:ind w:left="360"/>
    </w:pPr>
    <w:r>
      <w:rPr>
        <w:rFonts w:ascii="Times New Roman" w:hAnsi="Times New Roman" w:cs="Times New Roman"/>
        <w:sz w:val="24"/>
        <w:szCs w:val="24"/>
      </w:rPr>
      <w:t xml:space="preserve">Running head: </w:t>
    </w:r>
    <w:r w:rsidR="0047282E">
      <w:rPr>
        <w:rFonts w:ascii="Times New Roman" w:hAnsi="Times New Roman" w:cs="Times New Roman"/>
        <w:sz w:val="24"/>
        <w:szCs w:val="24"/>
      </w:rPr>
      <w:t>FEATURE-BASED ATTENTION AND REWARD</w:t>
    </w:r>
    <w:r>
      <w:rPr>
        <w:rFonts w:ascii="Times New Roman" w:hAnsi="Times New Roman" w:cs="Times New Roman"/>
        <w:sz w:val="24"/>
        <w:szCs w:val="24"/>
      </w:rPr>
      <w:t xml:space="preserve"> </w:t>
    </w:r>
    <w:r>
      <w:rPr>
        <w:rFonts w:ascii="Times New Roman" w:hAnsi="Times New Roman" w:cs="Times New Roman"/>
        <w:sz w:val="24"/>
        <w:szCs w:val="24"/>
      </w:rP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2989D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3E6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F83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ABD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7A83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7870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F44B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0871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22F3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1856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E60DE"/>
    <w:multiLevelType w:val="hybridMultilevel"/>
    <w:tmpl w:val="68A6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8977EB"/>
    <w:multiLevelType w:val="hybridMultilevel"/>
    <w:tmpl w:val="B67C69AA"/>
    <w:lvl w:ilvl="0" w:tplc="AB3A67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AE4013"/>
    <w:multiLevelType w:val="hybridMultilevel"/>
    <w:tmpl w:val="155A8352"/>
    <w:lvl w:ilvl="0" w:tplc="12DE525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ED22A3"/>
    <w:multiLevelType w:val="hybridMultilevel"/>
    <w:tmpl w:val="5CB63178"/>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17646B"/>
    <w:multiLevelType w:val="hybridMultilevel"/>
    <w:tmpl w:val="D796229A"/>
    <w:lvl w:ilvl="0" w:tplc="363E3A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C81D76"/>
    <w:multiLevelType w:val="hybridMultilevel"/>
    <w:tmpl w:val="C9FE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AB7BBC"/>
    <w:multiLevelType w:val="hybridMultilevel"/>
    <w:tmpl w:val="554EFF5A"/>
    <w:lvl w:ilvl="0" w:tplc="A79C7B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783FC1"/>
    <w:multiLevelType w:val="hybridMultilevel"/>
    <w:tmpl w:val="AACE4988"/>
    <w:lvl w:ilvl="0" w:tplc="C204AC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A0502"/>
    <w:multiLevelType w:val="hybridMultilevel"/>
    <w:tmpl w:val="8696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D17274"/>
    <w:multiLevelType w:val="hybridMultilevel"/>
    <w:tmpl w:val="09AA2CF8"/>
    <w:lvl w:ilvl="0" w:tplc="41D86D7E">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1C2C2C"/>
    <w:multiLevelType w:val="hybridMultilevel"/>
    <w:tmpl w:val="1CE022C2"/>
    <w:lvl w:ilvl="0" w:tplc="D6F036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816EDE"/>
    <w:multiLevelType w:val="hybridMultilevel"/>
    <w:tmpl w:val="E15C3876"/>
    <w:lvl w:ilvl="0" w:tplc="491E86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073CB"/>
    <w:multiLevelType w:val="hybridMultilevel"/>
    <w:tmpl w:val="4AC026A0"/>
    <w:lvl w:ilvl="0" w:tplc="0409000F">
      <w:start w:val="1"/>
      <w:numFmt w:val="decimal"/>
      <w:lvlText w:val="%1."/>
      <w:lvlJc w:val="left"/>
      <w:pPr>
        <w:ind w:left="720" w:hanging="360"/>
      </w:pPr>
      <w:rPr>
        <w:rFonts w:hint="default"/>
      </w:rPr>
    </w:lvl>
    <w:lvl w:ilvl="1" w:tplc="A588D52A">
      <w:start w:val="1"/>
      <w:numFmt w:val="lowerLetter"/>
      <w:lvlText w:val="%2."/>
      <w:lvlJc w:val="left"/>
      <w:pPr>
        <w:ind w:left="1440" w:hanging="360"/>
      </w:pPr>
      <w:rPr>
        <w:b w:val="0"/>
      </w:rPr>
    </w:lvl>
    <w:lvl w:ilvl="2" w:tplc="50AC31E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225BB2"/>
    <w:multiLevelType w:val="hybridMultilevel"/>
    <w:tmpl w:val="213AF78C"/>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F47A7"/>
    <w:multiLevelType w:val="hybridMultilevel"/>
    <w:tmpl w:val="C380B918"/>
    <w:lvl w:ilvl="0" w:tplc="1A9C3C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492119"/>
    <w:multiLevelType w:val="multilevel"/>
    <w:tmpl w:val="07A49F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40F39AC"/>
    <w:multiLevelType w:val="hybridMultilevel"/>
    <w:tmpl w:val="7B7E0222"/>
    <w:lvl w:ilvl="0" w:tplc="500660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414885"/>
    <w:multiLevelType w:val="hybridMultilevel"/>
    <w:tmpl w:val="EFF636AC"/>
    <w:lvl w:ilvl="0" w:tplc="133AFE7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0C5641"/>
    <w:multiLevelType w:val="hybridMultilevel"/>
    <w:tmpl w:val="302EA5E2"/>
    <w:lvl w:ilvl="0" w:tplc="67409EA4">
      <w:start w:val="1"/>
      <w:numFmt w:val="decimal"/>
      <w:lvlText w:val="%1."/>
      <w:lvlJc w:val="left"/>
      <w:pPr>
        <w:ind w:left="72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7F222B"/>
    <w:multiLevelType w:val="hybridMultilevel"/>
    <w:tmpl w:val="9582125A"/>
    <w:lvl w:ilvl="0" w:tplc="E8C0AC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D0D87"/>
    <w:multiLevelType w:val="hybridMultilevel"/>
    <w:tmpl w:val="40F206AC"/>
    <w:lvl w:ilvl="0" w:tplc="CDE8B826">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80B1D"/>
    <w:multiLevelType w:val="hybridMultilevel"/>
    <w:tmpl w:val="72E09C64"/>
    <w:lvl w:ilvl="0" w:tplc="5EAE9D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C12DF"/>
    <w:multiLevelType w:val="hybridMultilevel"/>
    <w:tmpl w:val="AF446D80"/>
    <w:lvl w:ilvl="0" w:tplc="7A12A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90741F"/>
    <w:multiLevelType w:val="hybridMultilevel"/>
    <w:tmpl w:val="817002B2"/>
    <w:lvl w:ilvl="0" w:tplc="8E18CE6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9B6E31"/>
    <w:multiLevelType w:val="hybridMultilevel"/>
    <w:tmpl w:val="20ACA784"/>
    <w:lvl w:ilvl="0" w:tplc="931E91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5342A"/>
    <w:multiLevelType w:val="hybridMultilevel"/>
    <w:tmpl w:val="1D2697C4"/>
    <w:lvl w:ilvl="0" w:tplc="58180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780FB8"/>
    <w:multiLevelType w:val="hybridMultilevel"/>
    <w:tmpl w:val="FE6E6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17"/>
  </w:num>
  <w:num w:numId="4">
    <w:abstractNumId w:val="36"/>
  </w:num>
  <w:num w:numId="5">
    <w:abstractNumId w:val="15"/>
  </w:num>
  <w:num w:numId="6">
    <w:abstractNumId w:val="16"/>
  </w:num>
  <w:num w:numId="7">
    <w:abstractNumId w:val="10"/>
  </w:num>
  <w:num w:numId="8">
    <w:abstractNumId w:val="33"/>
  </w:num>
  <w:num w:numId="9">
    <w:abstractNumId w:val="18"/>
  </w:num>
  <w:num w:numId="10">
    <w:abstractNumId w:val="27"/>
  </w:num>
  <w:num w:numId="11">
    <w:abstractNumId w:val="19"/>
  </w:num>
  <w:num w:numId="12">
    <w:abstractNumId w:val="3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8"/>
  </w:num>
  <w:num w:numId="24">
    <w:abstractNumId w:val="13"/>
  </w:num>
  <w:num w:numId="25">
    <w:abstractNumId w:val="23"/>
  </w:num>
  <w:num w:numId="26">
    <w:abstractNumId w:val="12"/>
  </w:num>
  <w:num w:numId="27">
    <w:abstractNumId w:val="25"/>
  </w:num>
  <w:num w:numId="28">
    <w:abstractNumId w:val="11"/>
  </w:num>
  <w:num w:numId="29">
    <w:abstractNumId w:val="24"/>
  </w:num>
  <w:num w:numId="30">
    <w:abstractNumId w:val="31"/>
  </w:num>
  <w:num w:numId="31">
    <w:abstractNumId w:val="20"/>
  </w:num>
  <w:num w:numId="32">
    <w:abstractNumId w:val="26"/>
  </w:num>
  <w:num w:numId="33">
    <w:abstractNumId w:val="35"/>
  </w:num>
  <w:num w:numId="34">
    <w:abstractNumId w:val="21"/>
  </w:num>
  <w:num w:numId="35">
    <w:abstractNumId w:val="14"/>
  </w:num>
  <w:num w:numId="36">
    <w:abstractNumId w:val="29"/>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s>
  <w:rsids>
    <w:rsidRoot w:val="00994445"/>
    <w:rsid w:val="00000244"/>
    <w:rsid w:val="000002A3"/>
    <w:rsid w:val="00000F69"/>
    <w:rsid w:val="00001A87"/>
    <w:rsid w:val="000022BE"/>
    <w:rsid w:val="000033EB"/>
    <w:rsid w:val="00004A4A"/>
    <w:rsid w:val="000050EC"/>
    <w:rsid w:val="000055F6"/>
    <w:rsid w:val="00005AC3"/>
    <w:rsid w:val="00006078"/>
    <w:rsid w:val="000063F2"/>
    <w:rsid w:val="00007414"/>
    <w:rsid w:val="000113FA"/>
    <w:rsid w:val="00012A06"/>
    <w:rsid w:val="00013AA2"/>
    <w:rsid w:val="00013BD9"/>
    <w:rsid w:val="0001711D"/>
    <w:rsid w:val="000208FF"/>
    <w:rsid w:val="00021677"/>
    <w:rsid w:val="00021945"/>
    <w:rsid w:val="00022DFF"/>
    <w:rsid w:val="00024653"/>
    <w:rsid w:val="00025256"/>
    <w:rsid w:val="000278C3"/>
    <w:rsid w:val="00031270"/>
    <w:rsid w:val="00031738"/>
    <w:rsid w:val="000317F2"/>
    <w:rsid w:val="00033749"/>
    <w:rsid w:val="00034038"/>
    <w:rsid w:val="000370C9"/>
    <w:rsid w:val="000421E9"/>
    <w:rsid w:val="00042B55"/>
    <w:rsid w:val="00044D29"/>
    <w:rsid w:val="00044E78"/>
    <w:rsid w:val="00045E5F"/>
    <w:rsid w:val="00046163"/>
    <w:rsid w:val="00046E8F"/>
    <w:rsid w:val="00050FEB"/>
    <w:rsid w:val="00051156"/>
    <w:rsid w:val="00051E06"/>
    <w:rsid w:val="00052023"/>
    <w:rsid w:val="00052EB0"/>
    <w:rsid w:val="00055856"/>
    <w:rsid w:val="00056BAA"/>
    <w:rsid w:val="0005786F"/>
    <w:rsid w:val="0005787C"/>
    <w:rsid w:val="000578CB"/>
    <w:rsid w:val="00057B0B"/>
    <w:rsid w:val="00057DEF"/>
    <w:rsid w:val="00060176"/>
    <w:rsid w:val="0006040D"/>
    <w:rsid w:val="00061CB7"/>
    <w:rsid w:val="000621FF"/>
    <w:rsid w:val="00062C43"/>
    <w:rsid w:val="000632FB"/>
    <w:rsid w:val="000647B6"/>
    <w:rsid w:val="0006725A"/>
    <w:rsid w:val="0007095C"/>
    <w:rsid w:val="00071506"/>
    <w:rsid w:val="000722C1"/>
    <w:rsid w:val="00073251"/>
    <w:rsid w:val="00080B36"/>
    <w:rsid w:val="000819E8"/>
    <w:rsid w:val="00083C1B"/>
    <w:rsid w:val="00084E06"/>
    <w:rsid w:val="00085D71"/>
    <w:rsid w:val="000868F1"/>
    <w:rsid w:val="00086F15"/>
    <w:rsid w:val="000877C6"/>
    <w:rsid w:val="00090DA3"/>
    <w:rsid w:val="00094139"/>
    <w:rsid w:val="00094ECE"/>
    <w:rsid w:val="000A220B"/>
    <w:rsid w:val="000A2810"/>
    <w:rsid w:val="000A292B"/>
    <w:rsid w:val="000A4D2D"/>
    <w:rsid w:val="000A6CFB"/>
    <w:rsid w:val="000A7558"/>
    <w:rsid w:val="000B1B34"/>
    <w:rsid w:val="000B20DC"/>
    <w:rsid w:val="000B4D3A"/>
    <w:rsid w:val="000B5F71"/>
    <w:rsid w:val="000B69EF"/>
    <w:rsid w:val="000C16EC"/>
    <w:rsid w:val="000C2BBD"/>
    <w:rsid w:val="000C2F17"/>
    <w:rsid w:val="000C3A8D"/>
    <w:rsid w:val="000C3D9F"/>
    <w:rsid w:val="000C3F13"/>
    <w:rsid w:val="000C59B3"/>
    <w:rsid w:val="000C7DEE"/>
    <w:rsid w:val="000D0104"/>
    <w:rsid w:val="000D03FB"/>
    <w:rsid w:val="000D064A"/>
    <w:rsid w:val="000D077C"/>
    <w:rsid w:val="000D10C4"/>
    <w:rsid w:val="000D156D"/>
    <w:rsid w:val="000D15AC"/>
    <w:rsid w:val="000D1A58"/>
    <w:rsid w:val="000D4848"/>
    <w:rsid w:val="000D4937"/>
    <w:rsid w:val="000D71F7"/>
    <w:rsid w:val="000E0058"/>
    <w:rsid w:val="000E1CEB"/>
    <w:rsid w:val="000E2523"/>
    <w:rsid w:val="000E2D77"/>
    <w:rsid w:val="000E3B9B"/>
    <w:rsid w:val="000E489B"/>
    <w:rsid w:val="000E50F5"/>
    <w:rsid w:val="000E56BE"/>
    <w:rsid w:val="000E6AD1"/>
    <w:rsid w:val="000E798B"/>
    <w:rsid w:val="000F0B2F"/>
    <w:rsid w:val="000F0D13"/>
    <w:rsid w:val="000F2158"/>
    <w:rsid w:val="000F3EA3"/>
    <w:rsid w:val="000F51CF"/>
    <w:rsid w:val="000F6067"/>
    <w:rsid w:val="000F7E6C"/>
    <w:rsid w:val="00101775"/>
    <w:rsid w:val="00102919"/>
    <w:rsid w:val="00103A1F"/>
    <w:rsid w:val="00104425"/>
    <w:rsid w:val="00104913"/>
    <w:rsid w:val="00104CED"/>
    <w:rsid w:val="00105CB2"/>
    <w:rsid w:val="00107188"/>
    <w:rsid w:val="00107848"/>
    <w:rsid w:val="00111A89"/>
    <w:rsid w:val="00112837"/>
    <w:rsid w:val="00112C25"/>
    <w:rsid w:val="001137CD"/>
    <w:rsid w:val="00116365"/>
    <w:rsid w:val="001205AE"/>
    <w:rsid w:val="0012155F"/>
    <w:rsid w:val="0012160F"/>
    <w:rsid w:val="00123737"/>
    <w:rsid w:val="00123D7D"/>
    <w:rsid w:val="001257BA"/>
    <w:rsid w:val="00125E85"/>
    <w:rsid w:val="00126C2C"/>
    <w:rsid w:val="00126D19"/>
    <w:rsid w:val="001277B0"/>
    <w:rsid w:val="001324C9"/>
    <w:rsid w:val="001325FC"/>
    <w:rsid w:val="001334E3"/>
    <w:rsid w:val="001342DD"/>
    <w:rsid w:val="0013661A"/>
    <w:rsid w:val="0013735B"/>
    <w:rsid w:val="00137546"/>
    <w:rsid w:val="001402AD"/>
    <w:rsid w:val="00140B5A"/>
    <w:rsid w:val="00142629"/>
    <w:rsid w:val="001434D3"/>
    <w:rsid w:val="0014390F"/>
    <w:rsid w:val="00144E52"/>
    <w:rsid w:val="00146284"/>
    <w:rsid w:val="00147487"/>
    <w:rsid w:val="0014780B"/>
    <w:rsid w:val="00152D0A"/>
    <w:rsid w:val="00153D0E"/>
    <w:rsid w:val="00153D62"/>
    <w:rsid w:val="001560D7"/>
    <w:rsid w:val="0015680F"/>
    <w:rsid w:val="0016031E"/>
    <w:rsid w:val="00160E25"/>
    <w:rsid w:val="00163E50"/>
    <w:rsid w:val="00164A01"/>
    <w:rsid w:val="00165985"/>
    <w:rsid w:val="001667F5"/>
    <w:rsid w:val="00167249"/>
    <w:rsid w:val="00167639"/>
    <w:rsid w:val="00167DB9"/>
    <w:rsid w:val="00167EF1"/>
    <w:rsid w:val="00167FDD"/>
    <w:rsid w:val="00170E95"/>
    <w:rsid w:val="001743A4"/>
    <w:rsid w:val="00174C4F"/>
    <w:rsid w:val="00175146"/>
    <w:rsid w:val="00175723"/>
    <w:rsid w:val="00175E5D"/>
    <w:rsid w:val="0017619A"/>
    <w:rsid w:val="00176985"/>
    <w:rsid w:val="00177245"/>
    <w:rsid w:val="0017783D"/>
    <w:rsid w:val="00180A9B"/>
    <w:rsid w:val="001813DE"/>
    <w:rsid w:val="001834A1"/>
    <w:rsid w:val="00183903"/>
    <w:rsid w:val="00185165"/>
    <w:rsid w:val="00185208"/>
    <w:rsid w:val="001860F3"/>
    <w:rsid w:val="00186505"/>
    <w:rsid w:val="0018663F"/>
    <w:rsid w:val="00186BF5"/>
    <w:rsid w:val="001909A1"/>
    <w:rsid w:val="0019201B"/>
    <w:rsid w:val="00192F53"/>
    <w:rsid w:val="00193EBF"/>
    <w:rsid w:val="00193EF1"/>
    <w:rsid w:val="0019433A"/>
    <w:rsid w:val="001946C3"/>
    <w:rsid w:val="00195AB6"/>
    <w:rsid w:val="001961B3"/>
    <w:rsid w:val="00196796"/>
    <w:rsid w:val="001976A7"/>
    <w:rsid w:val="001A0335"/>
    <w:rsid w:val="001A0E25"/>
    <w:rsid w:val="001A1C66"/>
    <w:rsid w:val="001A24B2"/>
    <w:rsid w:val="001A3642"/>
    <w:rsid w:val="001A4142"/>
    <w:rsid w:val="001A4421"/>
    <w:rsid w:val="001A456C"/>
    <w:rsid w:val="001A6403"/>
    <w:rsid w:val="001A7BD2"/>
    <w:rsid w:val="001B0F55"/>
    <w:rsid w:val="001B1AD1"/>
    <w:rsid w:val="001B2CE1"/>
    <w:rsid w:val="001B37E8"/>
    <w:rsid w:val="001B4D94"/>
    <w:rsid w:val="001B5099"/>
    <w:rsid w:val="001B58DC"/>
    <w:rsid w:val="001B6218"/>
    <w:rsid w:val="001B6C5A"/>
    <w:rsid w:val="001B6EC8"/>
    <w:rsid w:val="001C158C"/>
    <w:rsid w:val="001C181C"/>
    <w:rsid w:val="001C2920"/>
    <w:rsid w:val="001C5660"/>
    <w:rsid w:val="001C5A57"/>
    <w:rsid w:val="001C6F26"/>
    <w:rsid w:val="001D0284"/>
    <w:rsid w:val="001D02A1"/>
    <w:rsid w:val="001D2FD6"/>
    <w:rsid w:val="001D471B"/>
    <w:rsid w:val="001D5AC2"/>
    <w:rsid w:val="001E0EA2"/>
    <w:rsid w:val="001E24B0"/>
    <w:rsid w:val="001E2D4F"/>
    <w:rsid w:val="001E387B"/>
    <w:rsid w:val="001E3B67"/>
    <w:rsid w:val="001E492D"/>
    <w:rsid w:val="001E53B5"/>
    <w:rsid w:val="001E542D"/>
    <w:rsid w:val="001E637B"/>
    <w:rsid w:val="001E6683"/>
    <w:rsid w:val="001E67AD"/>
    <w:rsid w:val="001E6AC2"/>
    <w:rsid w:val="001E7455"/>
    <w:rsid w:val="001E7EAF"/>
    <w:rsid w:val="001F0FCF"/>
    <w:rsid w:val="001F1813"/>
    <w:rsid w:val="001F181A"/>
    <w:rsid w:val="001F35A2"/>
    <w:rsid w:val="001F3808"/>
    <w:rsid w:val="001F4AFC"/>
    <w:rsid w:val="001F4E7D"/>
    <w:rsid w:val="001F57E0"/>
    <w:rsid w:val="001F590A"/>
    <w:rsid w:val="001F6C38"/>
    <w:rsid w:val="0020050A"/>
    <w:rsid w:val="0020354F"/>
    <w:rsid w:val="00205C85"/>
    <w:rsid w:val="00206E80"/>
    <w:rsid w:val="00206EFB"/>
    <w:rsid w:val="0021016C"/>
    <w:rsid w:val="002116B1"/>
    <w:rsid w:val="00212B0D"/>
    <w:rsid w:val="00213459"/>
    <w:rsid w:val="00213EC9"/>
    <w:rsid w:val="00214260"/>
    <w:rsid w:val="002148BD"/>
    <w:rsid w:val="002152D1"/>
    <w:rsid w:val="002173E4"/>
    <w:rsid w:val="002176BE"/>
    <w:rsid w:val="00220713"/>
    <w:rsid w:val="00222A51"/>
    <w:rsid w:val="00222C54"/>
    <w:rsid w:val="00223EE0"/>
    <w:rsid w:val="002243E1"/>
    <w:rsid w:val="00226058"/>
    <w:rsid w:val="002261C7"/>
    <w:rsid w:val="00226912"/>
    <w:rsid w:val="00226CBF"/>
    <w:rsid w:val="002279C6"/>
    <w:rsid w:val="00227C75"/>
    <w:rsid w:val="00227FBE"/>
    <w:rsid w:val="0023054F"/>
    <w:rsid w:val="002308B4"/>
    <w:rsid w:val="00230F67"/>
    <w:rsid w:val="00233A83"/>
    <w:rsid w:val="00234B2A"/>
    <w:rsid w:val="002361A7"/>
    <w:rsid w:val="0023718A"/>
    <w:rsid w:val="002400B6"/>
    <w:rsid w:val="00240564"/>
    <w:rsid w:val="00240F39"/>
    <w:rsid w:val="0024124B"/>
    <w:rsid w:val="00242E48"/>
    <w:rsid w:val="00242EFD"/>
    <w:rsid w:val="002441A7"/>
    <w:rsid w:val="00244291"/>
    <w:rsid w:val="00244C05"/>
    <w:rsid w:val="00245B29"/>
    <w:rsid w:val="00245BAB"/>
    <w:rsid w:val="002502BE"/>
    <w:rsid w:val="002503F9"/>
    <w:rsid w:val="002504C1"/>
    <w:rsid w:val="00251771"/>
    <w:rsid w:val="00251C33"/>
    <w:rsid w:val="0025232C"/>
    <w:rsid w:val="00252F45"/>
    <w:rsid w:val="002556D4"/>
    <w:rsid w:val="00257D07"/>
    <w:rsid w:val="0026037E"/>
    <w:rsid w:val="00262BEA"/>
    <w:rsid w:val="0026571A"/>
    <w:rsid w:val="002662C2"/>
    <w:rsid w:val="00271CF9"/>
    <w:rsid w:val="0027356B"/>
    <w:rsid w:val="00273815"/>
    <w:rsid w:val="002739E0"/>
    <w:rsid w:val="002741E1"/>
    <w:rsid w:val="002749BC"/>
    <w:rsid w:val="00275DF8"/>
    <w:rsid w:val="00277716"/>
    <w:rsid w:val="002779F1"/>
    <w:rsid w:val="0028079B"/>
    <w:rsid w:val="002810FA"/>
    <w:rsid w:val="00282435"/>
    <w:rsid w:val="00282707"/>
    <w:rsid w:val="002840AB"/>
    <w:rsid w:val="00285E47"/>
    <w:rsid w:val="00286CE5"/>
    <w:rsid w:val="002917A9"/>
    <w:rsid w:val="00291853"/>
    <w:rsid w:val="0029231D"/>
    <w:rsid w:val="00293801"/>
    <w:rsid w:val="002944EF"/>
    <w:rsid w:val="002948D2"/>
    <w:rsid w:val="00294EE9"/>
    <w:rsid w:val="00294F4F"/>
    <w:rsid w:val="002961EE"/>
    <w:rsid w:val="002966E8"/>
    <w:rsid w:val="002971F0"/>
    <w:rsid w:val="002A077F"/>
    <w:rsid w:val="002A08DE"/>
    <w:rsid w:val="002A0A8B"/>
    <w:rsid w:val="002A41D9"/>
    <w:rsid w:val="002A45C7"/>
    <w:rsid w:val="002A4CC1"/>
    <w:rsid w:val="002A4D00"/>
    <w:rsid w:val="002A60D1"/>
    <w:rsid w:val="002A67C9"/>
    <w:rsid w:val="002A73E7"/>
    <w:rsid w:val="002B098E"/>
    <w:rsid w:val="002B20F3"/>
    <w:rsid w:val="002B37C2"/>
    <w:rsid w:val="002B39B3"/>
    <w:rsid w:val="002B3B69"/>
    <w:rsid w:val="002B3D0D"/>
    <w:rsid w:val="002B43E4"/>
    <w:rsid w:val="002B4CE2"/>
    <w:rsid w:val="002B4EEF"/>
    <w:rsid w:val="002B5B3A"/>
    <w:rsid w:val="002B67F9"/>
    <w:rsid w:val="002B7132"/>
    <w:rsid w:val="002B79C0"/>
    <w:rsid w:val="002B7FB3"/>
    <w:rsid w:val="002C0262"/>
    <w:rsid w:val="002C0400"/>
    <w:rsid w:val="002C0954"/>
    <w:rsid w:val="002C0B17"/>
    <w:rsid w:val="002C152B"/>
    <w:rsid w:val="002C1C79"/>
    <w:rsid w:val="002C1FD5"/>
    <w:rsid w:val="002C2951"/>
    <w:rsid w:val="002C2BC1"/>
    <w:rsid w:val="002C348E"/>
    <w:rsid w:val="002C38E1"/>
    <w:rsid w:val="002C6016"/>
    <w:rsid w:val="002C6AB1"/>
    <w:rsid w:val="002D1345"/>
    <w:rsid w:val="002D175F"/>
    <w:rsid w:val="002D1ADC"/>
    <w:rsid w:val="002D2011"/>
    <w:rsid w:val="002D550E"/>
    <w:rsid w:val="002D6AA9"/>
    <w:rsid w:val="002E084C"/>
    <w:rsid w:val="002E25E4"/>
    <w:rsid w:val="002E70B7"/>
    <w:rsid w:val="002E73CE"/>
    <w:rsid w:val="002F1130"/>
    <w:rsid w:val="002F1342"/>
    <w:rsid w:val="002F2365"/>
    <w:rsid w:val="002F3051"/>
    <w:rsid w:val="002F4FEB"/>
    <w:rsid w:val="002F5539"/>
    <w:rsid w:val="002F5597"/>
    <w:rsid w:val="002F6002"/>
    <w:rsid w:val="002F7630"/>
    <w:rsid w:val="00301109"/>
    <w:rsid w:val="00301B6A"/>
    <w:rsid w:val="003029C1"/>
    <w:rsid w:val="00302B74"/>
    <w:rsid w:val="003035A6"/>
    <w:rsid w:val="00305909"/>
    <w:rsid w:val="00310663"/>
    <w:rsid w:val="003106AE"/>
    <w:rsid w:val="00310A0E"/>
    <w:rsid w:val="00310F25"/>
    <w:rsid w:val="003132CE"/>
    <w:rsid w:val="00314C98"/>
    <w:rsid w:val="00317BD8"/>
    <w:rsid w:val="00320071"/>
    <w:rsid w:val="00321F61"/>
    <w:rsid w:val="0032224B"/>
    <w:rsid w:val="00323659"/>
    <w:rsid w:val="00323A3B"/>
    <w:rsid w:val="00324514"/>
    <w:rsid w:val="00324B25"/>
    <w:rsid w:val="00325A62"/>
    <w:rsid w:val="003262D2"/>
    <w:rsid w:val="00326F1C"/>
    <w:rsid w:val="003276B8"/>
    <w:rsid w:val="00331B9F"/>
    <w:rsid w:val="0033206D"/>
    <w:rsid w:val="00333D4A"/>
    <w:rsid w:val="0033469E"/>
    <w:rsid w:val="00335298"/>
    <w:rsid w:val="00335638"/>
    <w:rsid w:val="0033732C"/>
    <w:rsid w:val="00337B0E"/>
    <w:rsid w:val="003404DD"/>
    <w:rsid w:val="003406FD"/>
    <w:rsid w:val="0034092F"/>
    <w:rsid w:val="003418F2"/>
    <w:rsid w:val="00341A35"/>
    <w:rsid w:val="00342F65"/>
    <w:rsid w:val="00344549"/>
    <w:rsid w:val="00344BD7"/>
    <w:rsid w:val="003464B8"/>
    <w:rsid w:val="00346F04"/>
    <w:rsid w:val="00347C3C"/>
    <w:rsid w:val="003510D3"/>
    <w:rsid w:val="0035290F"/>
    <w:rsid w:val="00352ADB"/>
    <w:rsid w:val="00353122"/>
    <w:rsid w:val="00353E6E"/>
    <w:rsid w:val="003541DB"/>
    <w:rsid w:val="00354B26"/>
    <w:rsid w:val="00355BB2"/>
    <w:rsid w:val="0036137F"/>
    <w:rsid w:val="00361683"/>
    <w:rsid w:val="00362AB0"/>
    <w:rsid w:val="003633A7"/>
    <w:rsid w:val="003633DD"/>
    <w:rsid w:val="00364D9D"/>
    <w:rsid w:val="00365B7B"/>
    <w:rsid w:val="0036607D"/>
    <w:rsid w:val="003661F2"/>
    <w:rsid w:val="00366A11"/>
    <w:rsid w:val="00371C2A"/>
    <w:rsid w:val="00371CA5"/>
    <w:rsid w:val="00372072"/>
    <w:rsid w:val="00372189"/>
    <w:rsid w:val="0037225A"/>
    <w:rsid w:val="00372B80"/>
    <w:rsid w:val="00373C76"/>
    <w:rsid w:val="00373CA6"/>
    <w:rsid w:val="00374706"/>
    <w:rsid w:val="0037482E"/>
    <w:rsid w:val="00374911"/>
    <w:rsid w:val="0037511E"/>
    <w:rsid w:val="003755CD"/>
    <w:rsid w:val="0037737A"/>
    <w:rsid w:val="003810D7"/>
    <w:rsid w:val="00383374"/>
    <w:rsid w:val="00383D06"/>
    <w:rsid w:val="00385668"/>
    <w:rsid w:val="00386168"/>
    <w:rsid w:val="00386227"/>
    <w:rsid w:val="0038641A"/>
    <w:rsid w:val="003875A6"/>
    <w:rsid w:val="003903E5"/>
    <w:rsid w:val="00390E84"/>
    <w:rsid w:val="00391195"/>
    <w:rsid w:val="0039240D"/>
    <w:rsid w:val="003934E5"/>
    <w:rsid w:val="00395E64"/>
    <w:rsid w:val="00396321"/>
    <w:rsid w:val="003A0966"/>
    <w:rsid w:val="003A0C89"/>
    <w:rsid w:val="003A10E8"/>
    <w:rsid w:val="003A1B96"/>
    <w:rsid w:val="003A268B"/>
    <w:rsid w:val="003A317E"/>
    <w:rsid w:val="003A3681"/>
    <w:rsid w:val="003A4034"/>
    <w:rsid w:val="003A49B0"/>
    <w:rsid w:val="003A573C"/>
    <w:rsid w:val="003A614F"/>
    <w:rsid w:val="003A671D"/>
    <w:rsid w:val="003A67ED"/>
    <w:rsid w:val="003A6E24"/>
    <w:rsid w:val="003B134C"/>
    <w:rsid w:val="003B2BD6"/>
    <w:rsid w:val="003B2C48"/>
    <w:rsid w:val="003B42E3"/>
    <w:rsid w:val="003B4CD6"/>
    <w:rsid w:val="003B4EA7"/>
    <w:rsid w:val="003B6A13"/>
    <w:rsid w:val="003C09B8"/>
    <w:rsid w:val="003C0A72"/>
    <w:rsid w:val="003C0BCC"/>
    <w:rsid w:val="003C0F75"/>
    <w:rsid w:val="003C21E7"/>
    <w:rsid w:val="003C3B4E"/>
    <w:rsid w:val="003C4D32"/>
    <w:rsid w:val="003C59CC"/>
    <w:rsid w:val="003C6C5F"/>
    <w:rsid w:val="003C7E50"/>
    <w:rsid w:val="003C7F93"/>
    <w:rsid w:val="003D160C"/>
    <w:rsid w:val="003D21B8"/>
    <w:rsid w:val="003D2BD8"/>
    <w:rsid w:val="003D3662"/>
    <w:rsid w:val="003D3A93"/>
    <w:rsid w:val="003D3BF5"/>
    <w:rsid w:val="003D3EC2"/>
    <w:rsid w:val="003D5015"/>
    <w:rsid w:val="003D6761"/>
    <w:rsid w:val="003E0825"/>
    <w:rsid w:val="003E09F0"/>
    <w:rsid w:val="003E4097"/>
    <w:rsid w:val="003E584B"/>
    <w:rsid w:val="003E58A8"/>
    <w:rsid w:val="003E5AB6"/>
    <w:rsid w:val="003E5C1D"/>
    <w:rsid w:val="003E6530"/>
    <w:rsid w:val="003E7279"/>
    <w:rsid w:val="003E7D07"/>
    <w:rsid w:val="003F0BFB"/>
    <w:rsid w:val="003F0EB9"/>
    <w:rsid w:val="003F4C5C"/>
    <w:rsid w:val="003F60C7"/>
    <w:rsid w:val="003F7C84"/>
    <w:rsid w:val="003F7F87"/>
    <w:rsid w:val="00400C04"/>
    <w:rsid w:val="004015B2"/>
    <w:rsid w:val="00401822"/>
    <w:rsid w:val="0040320C"/>
    <w:rsid w:val="00403D30"/>
    <w:rsid w:val="004063ED"/>
    <w:rsid w:val="00406A00"/>
    <w:rsid w:val="0041159C"/>
    <w:rsid w:val="00413DA4"/>
    <w:rsid w:val="004146F2"/>
    <w:rsid w:val="004157CB"/>
    <w:rsid w:val="00415F87"/>
    <w:rsid w:val="004162B2"/>
    <w:rsid w:val="004174F8"/>
    <w:rsid w:val="00417956"/>
    <w:rsid w:val="0041795F"/>
    <w:rsid w:val="00420345"/>
    <w:rsid w:val="00420790"/>
    <w:rsid w:val="00420E11"/>
    <w:rsid w:val="0042233E"/>
    <w:rsid w:val="004228FF"/>
    <w:rsid w:val="00422F09"/>
    <w:rsid w:val="0042302D"/>
    <w:rsid w:val="00427017"/>
    <w:rsid w:val="00427132"/>
    <w:rsid w:val="004316A4"/>
    <w:rsid w:val="00431DAB"/>
    <w:rsid w:val="00434591"/>
    <w:rsid w:val="0043559A"/>
    <w:rsid w:val="0043649E"/>
    <w:rsid w:val="004364A1"/>
    <w:rsid w:val="00437C28"/>
    <w:rsid w:val="0044641E"/>
    <w:rsid w:val="004479F7"/>
    <w:rsid w:val="004511EE"/>
    <w:rsid w:val="00451739"/>
    <w:rsid w:val="00453414"/>
    <w:rsid w:val="00454702"/>
    <w:rsid w:val="004549AF"/>
    <w:rsid w:val="0045540D"/>
    <w:rsid w:val="00455E60"/>
    <w:rsid w:val="0045648B"/>
    <w:rsid w:val="0045649D"/>
    <w:rsid w:val="00456597"/>
    <w:rsid w:val="004565AA"/>
    <w:rsid w:val="00456A14"/>
    <w:rsid w:val="00456AD5"/>
    <w:rsid w:val="00456AFA"/>
    <w:rsid w:val="004570B2"/>
    <w:rsid w:val="0046106E"/>
    <w:rsid w:val="004633F4"/>
    <w:rsid w:val="004644D0"/>
    <w:rsid w:val="00466F15"/>
    <w:rsid w:val="00467B10"/>
    <w:rsid w:val="0047066B"/>
    <w:rsid w:val="0047108B"/>
    <w:rsid w:val="004722C7"/>
    <w:rsid w:val="0047282E"/>
    <w:rsid w:val="00473096"/>
    <w:rsid w:val="00476E4F"/>
    <w:rsid w:val="00476F4A"/>
    <w:rsid w:val="004775BC"/>
    <w:rsid w:val="00477F4D"/>
    <w:rsid w:val="00480603"/>
    <w:rsid w:val="00480904"/>
    <w:rsid w:val="00481E57"/>
    <w:rsid w:val="004822D0"/>
    <w:rsid w:val="0048296E"/>
    <w:rsid w:val="00483B22"/>
    <w:rsid w:val="0048466A"/>
    <w:rsid w:val="004847BA"/>
    <w:rsid w:val="00486D34"/>
    <w:rsid w:val="00487328"/>
    <w:rsid w:val="004873A1"/>
    <w:rsid w:val="0048753F"/>
    <w:rsid w:val="00490598"/>
    <w:rsid w:val="0049204F"/>
    <w:rsid w:val="0049205D"/>
    <w:rsid w:val="00492DA6"/>
    <w:rsid w:val="00492E72"/>
    <w:rsid w:val="00493706"/>
    <w:rsid w:val="00493F25"/>
    <w:rsid w:val="0049494E"/>
    <w:rsid w:val="00495147"/>
    <w:rsid w:val="004952C5"/>
    <w:rsid w:val="004971EE"/>
    <w:rsid w:val="00497667"/>
    <w:rsid w:val="004A0A81"/>
    <w:rsid w:val="004A10BF"/>
    <w:rsid w:val="004A1971"/>
    <w:rsid w:val="004A2602"/>
    <w:rsid w:val="004A2650"/>
    <w:rsid w:val="004A3E2D"/>
    <w:rsid w:val="004A4C96"/>
    <w:rsid w:val="004A52CD"/>
    <w:rsid w:val="004A59C8"/>
    <w:rsid w:val="004A65EE"/>
    <w:rsid w:val="004B1193"/>
    <w:rsid w:val="004B130F"/>
    <w:rsid w:val="004B1315"/>
    <w:rsid w:val="004B1B92"/>
    <w:rsid w:val="004B2E30"/>
    <w:rsid w:val="004B63CB"/>
    <w:rsid w:val="004B6439"/>
    <w:rsid w:val="004B6B88"/>
    <w:rsid w:val="004B6FE1"/>
    <w:rsid w:val="004C0292"/>
    <w:rsid w:val="004C1D6D"/>
    <w:rsid w:val="004C2332"/>
    <w:rsid w:val="004C2BB1"/>
    <w:rsid w:val="004C2D9A"/>
    <w:rsid w:val="004C37AE"/>
    <w:rsid w:val="004C70FB"/>
    <w:rsid w:val="004D0C13"/>
    <w:rsid w:val="004D11C0"/>
    <w:rsid w:val="004D1A58"/>
    <w:rsid w:val="004D255F"/>
    <w:rsid w:val="004D2F2E"/>
    <w:rsid w:val="004D32F3"/>
    <w:rsid w:val="004D3CB4"/>
    <w:rsid w:val="004D489F"/>
    <w:rsid w:val="004D4BC8"/>
    <w:rsid w:val="004D61FF"/>
    <w:rsid w:val="004E0339"/>
    <w:rsid w:val="004E5569"/>
    <w:rsid w:val="004E6098"/>
    <w:rsid w:val="004E6A1F"/>
    <w:rsid w:val="004E6DF7"/>
    <w:rsid w:val="004F03CD"/>
    <w:rsid w:val="004F1131"/>
    <w:rsid w:val="004F1233"/>
    <w:rsid w:val="004F2264"/>
    <w:rsid w:val="004F22DB"/>
    <w:rsid w:val="004F2429"/>
    <w:rsid w:val="004F24BD"/>
    <w:rsid w:val="004F2B99"/>
    <w:rsid w:val="004F2CCF"/>
    <w:rsid w:val="004F46FB"/>
    <w:rsid w:val="004F571C"/>
    <w:rsid w:val="004F6933"/>
    <w:rsid w:val="004F6ED4"/>
    <w:rsid w:val="004F717C"/>
    <w:rsid w:val="00502151"/>
    <w:rsid w:val="005021D4"/>
    <w:rsid w:val="0050297E"/>
    <w:rsid w:val="0050408F"/>
    <w:rsid w:val="00504702"/>
    <w:rsid w:val="0050499F"/>
    <w:rsid w:val="00505359"/>
    <w:rsid w:val="00506144"/>
    <w:rsid w:val="00511B15"/>
    <w:rsid w:val="00512B3F"/>
    <w:rsid w:val="00513F16"/>
    <w:rsid w:val="00515B4E"/>
    <w:rsid w:val="00515EFA"/>
    <w:rsid w:val="00516422"/>
    <w:rsid w:val="00517170"/>
    <w:rsid w:val="00517ADE"/>
    <w:rsid w:val="00523AF0"/>
    <w:rsid w:val="00524110"/>
    <w:rsid w:val="00524BF7"/>
    <w:rsid w:val="005256ED"/>
    <w:rsid w:val="00525DB5"/>
    <w:rsid w:val="00526FA2"/>
    <w:rsid w:val="00527B37"/>
    <w:rsid w:val="0053025D"/>
    <w:rsid w:val="0053346D"/>
    <w:rsid w:val="0053562F"/>
    <w:rsid w:val="0053658B"/>
    <w:rsid w:val="0053671B"/>
    <w:rsid w:val="005375AF"/>
    <w:rsid w:val="00540089"/>
    <w:rsid w:val="005403D8"/>
    <w:rsid w:val="00544BF2"/>
    <w:rsid w:val="00545CC7"/>
    <w:rsid w:val="00546CB9"/>
    <w:rsid w:val="00546EF5"/>
    <w:rsid w:val="005479A5"/>
    <w:rsid w:val="00553066"/>
    <w:rsid w:val="005548A9"/>
    <w:rsid w:val="00555151"/>
    <w:rsid w:val="00555B1B"/>
    <w:rsid w:val="005561D5"/>
    <w:rsid w:val="00556CA7"/>
    <w:rsid w:val="00557230"/>
    <w:rsid w:val="00560057"/>
    <w:rsid w:val="00561252"/>
    <w:rsid w:val="005614C4"/>
    <w:rsid w:val="00561F46"/>
    <w:rsid w:val="00562D7F"/>
    <w:rsid w:val="005634F5"/>
    <w:rsid w:val="005635D7"/>
    <w:rsid w:val="00563B0E"/>
    <w:rsid w:val="00563DC4"/>
    <w:rsid w:val="005648AB"/>
    <w:rsid w:val="00566F1F"/>
    <w:rsid w:val="00570619"/>
    <w:rsid w:val="00572E0F"/>
    <w:rsid w:val="00573906"/>
    <w:rsid w:val="0057431C"/>
    <w:rsid w:val="005774DA"/>
    <w:rsid w:val="00577FD1"/>
    <w:rsid w:val="00584552"/>
    <w:rsid w:val="005847E9"/>
    <w:rsid w:val="005865BB"/>
    <w:rsid w:val="00587C68"/>
    <w:rsid w:val="0059007C"/>
    <w:rsid w:val="00590D31"/>
    <w:rsid w:val="00591141"/>
    <w:rsid w:val="00592409"/>
    <w:rsid w:val="00592F04"/>
    <w:rsid w:val="00593D6B"/>
    <w:rsid w:val="00595414"/>
    <w:rsid w:val="005975D1"/>
    <w:rsid w:val="005976B3"/>
    <w:rsid w:val="005A0323"/>
    <w:rsid w:val="005A0A1F"/>
    <w:rsid w:val="005A1715"/>
    <w:rsid w:val="005A2D92"/>
    <w:rsid w:val="005A5F70"/>
    <w:rsid w:val="005B3781"/>
    <w:rsid w:val="005B39DD"/>
    <w:rsid w:val="005B3E7B"/>
    <w:rsid w:val="005B3F3A"/>
    <w:rsid w:val="005B64AE"/>
    <w:rsid w:val="005B6B9E"/>
    <w:rsid w:val="005B79D8"/>
    <w:rsid w:val="005B7AC5"/>
    <w:rsid w:val="005C0B45"/>
    <w:rsid w:val="005C0BB0"/>
    <w:rsid w:val="005C11D6"/>
    <w:rsid w:val="005C16B0"/>
    <w:rsid w:val="005C2128"/>
    <w:rsid w:val="005C2A16"/>
    <w:rsid w:val="005C2EED"/>
    <w:rsid w:val="005C4E93"/>
    <w:rsid w:val="005C507F"/>
    <w:rsid w:val="005C5289"/>
    <w:rsid w:val="005D19A7"/>
    <w:rsid w:val="005D20AE"/>
    <w:rsid w:val="005D2B2E"/>
    <w:rsid w:val="005D31B1"/>
    <w:rsid w:val="005D3264"/>
    <w:rsid w:val="005D34FC"/>
    <w:rsid w:val="005D5080"/>
    <w:rsid w:val="005D6072"/>
    <w:rsid w:val="005D6B0D"/>
    <w:rsid w:val="005D72C4"/>
    <w:rsid w:val="005E0AAC"/>
    <w:rsid w:val="005E100F"/>
    <w:rsid w:val="005E11A3"/>
    <w:rsid w:val="005E1672"/>
    <w:rsid w:val="005E297B"/>
    <w:rsid w:val="005E2D84"/>
    <w:rsid w:val="005E4121"/>
    <w:rsid w:val="005E7360"/>
    <w:rsid w:val="005E792C"/>
    <w:rsid w:val="005E7EE5"/>
    <w:rsid w:val="005F02E2"/>
    <w:rsid w:val="005F23C1"/>
    <w:rsid w:val="005F3ABC"/>
    <w:rsid w:val="005F3CF6"/>
    <w:rsid w:val="005F3FB5"/>
    <w:rsid w:val="005F4804"/>
    <w:rsid w:val="005F5949"/>
    <w:rsid w:val="005F595A"/>
    <w:rsid w:val="005F59DC"/>
    <w:rsid w:val="005F607D"/>
    <w:rsid w:val="005F6845"/>
    <w:rsid w:val="005F6E22"/>
    <w:rsid w:val="005F6FA3"/>
    <w:rsid w:val="006012E6"/>
    <w:rsid w:val="0060195E"/>
    <w:rsid w:val="006020A0"/>
    <w:rsid w:val="00602B38"/>
    <w:rsid w:val="0060344A"/>
    <w:rsid w:val="00603A1F"/>
    <w:rsid w:val="00604718"/>
    <w:rsid w:val="00604A31"/>
    <w:rsid w:val="00604DEE"/>
    <w:rsid w:val="00605897"/>
    <w:rsid w:val="006063D1"/>
    <w:rsid w:val="00607258"/>
    <w:rsid w:val="00607E9B"/>
    <w:rsid w:val="00610295"/>
    <w:rsid w:val="00610AD0"/>
    <w:rsid w:val="00611D52"/>
    <w:rsid w:val="006120C4"/>
    <w:rsid w:val="006130FB"/>
    <w:rsid w:val="00613EFE"/>
    <w:rsid w:val="0061690C"/>
    <w:rsid w:val="0061700C"/>
    <w:rsid w:val="00617A55"/>
    <w:rsid w:val="006205ED"/>
    <w:rsid w:val="00621943"/>
    <w:rsid w:val="006233D5"/>
    <w:rsid w:val="00623698"/>
    <w:rsid w:val="00623747"/>
    <w:rsid w:val="006240D4"/>
    <w:rsid w:val="00624C76"/>
    <w:rsid w:val="00624DF9"/>
    <w:rsid w:val="00625094"/>
    <w:rsid w:val="006277A7"/>
    <w:rsid w:val="00631E68"/>
    <w:rsid w:val="0063415B"/>
    <w:rsid w:val="006343B2"/>
    <w:rsid w:val="00635DDB"/>
    <w:rsid w:val="00635EA6"/>
    <w:rsid w:val="00640A7D"/>
    <w:rsid w:val="006415A6"/>
    <w:rsid w:val="006416A2"/>
    <w:rsid w:val="00642D90"/>
    <w:rsid w:val="006440A4"/>
    <w:rsid w:val="00644CD0"/>
    <w:rsid w:val="0064516B"/>
    <w:rsid w:val="006451F3"/>
    <w:rsid w:val="0064568B"/>
    <w:rsid w:val="00645C07"/>
    <w:rsid w:val="00646266"/>
    <w:rsid w:val="00646375"/>
    <w:rsid w:val="006510C2"/>
    <w:rsid w:val="00651165"/>
    <w:rsid w:val="006514CC"/>
    <w:rsid w:val="00652ADB"/>
    <w:rsid w:val="00653610"/>
    <w:rsid w:val="00654619"/>
    <w:rsid w:val="00654CEA"/>
    <w:rsid w:val="0065587F"/>
    <w:rsid w:val="0066051B"/>
    <w:rsid w:val="006607C4"/>
    <w:rsid w:val="0066118B"/>
    <w:rsid w:val="006622E0"/>
    <w:rsid w:val="006626CE"/>
    <w:rsid w:val="00663092"/>
    <w:rsid w:val="00664652"/>
    <w:rsid w:val="00670101"/>
    <w:rsid w:val="006702FE"/>
    <w:rsid w:val="00672325"/>
    <w:rsid w:val="00672A58"/>
    <w:rsid w:val="00672DE8"/>
    <w:rsid w:val="006737F8"/>
    <w:rsid w:val="00675162"/>
    <w:rsid w:val="00675E0F"/>
    <w:rsid w:val="00676451"/>
    <w:rsid w:val="006766C6"/>
    <w:rsid w:val="006771CE"/>
    <w:rsid w:val="00677298"/>
    <w:rsid w:val="00677B04"/>
    <w:rsid w:val="00680C7E"/>
    <w:rsid w:val="00680DDB"/>
    <w:rsid w:val="00681072"/>
    <w:rsid w:val="00681A24"/>
    <w:rsid w:val="00681D72"/>
    <w:rsid w:val="00682181"/>
    <w:rsid w:val="00682DAC"/>
    <w:rsid w:val="0068411B"/>
    <w:rsid w:val="0068480E"/>
    <w:rsid w:val="00684920"/>
    <w:rsid w:val="006857CB"/>
    <w:rsid w:val="0068586F"/>
    <w:rsid w:val="006879F9"/>
    <w:rsid w:val="00687AB6"/>
    <w:rsid w:val="00691516"/>
    <w:rsid w:val="00691A91"/>
    <w:rsid w:val="006939B2"/>
    <w:rsid w:val="00694F13"/>
    <w:rsid w:val="00695342"/>
    <w:rsid w:val="006A1622"/>
    <w:rsid w:val="006A2EC1"/>
    <w:rsid w:val="006A314C"/>
    <w:rsid w:val="006A3422"/>
    <w:rsid w:val="006A342F"/>
    <w:rsid w:val="006A38BB"/>
    <w:rsid w:val="006A58F0"/>
    <w:rsid w:val="006A625B"/>
    <w:rsid w:val="006A6452"/>
    <w:rsid w:val="006A7BC6"/>
    <w:rsid w:val="006B087B"/>
    <w:rsid w:val="006B3E6C"/>
    <w:rsid w:val="006B4A6F"/>
    <w:rsid w:val="006B7BC0"/>
    <w:rsid w:val="006B7FEC"/>
    <w:rsid w:val="006C395A"/>
    <w:rsid w:val="006C5179"/>
    <w:rsid w:val="006C5325"/>
    <w:rsid w:val="006C58D6"/>
    <w:rsid w:val="006C73F2"/>
    <w:rsid w:val="006D0089"/>
    <w:rsid w:val="006D0AFA"/>
    <w:rsid w:val="006D139F"/>
    <w:rsid w:val="006D1B1B"/>
    <w:rsid w:val="006D20B9"/>
    <w:rsid w:val="006D2420"/>
    <w:rsid w:val="006D2C21"/>
    <w:rsid w:val="006D4521"/>
    <w:rsid w:val="006D6207"/>
    <w:rsid w:val="006D7264"/>
    <w:rsid w:val="006E0DCE"/>
    <w:rsid w:val="006E0E26"/>
    <w:rsid w:val="006E0ED5"/>
    <w:rsid w:val="006E109B"/>
    <w:rsid w:val="006E2ACD"/>
    <w:rsid w:val="006E41D1"/>
    <w:rsid w:val="006E574B"/>
    <w:rsid w:val="006E5A27"/>
    <w:rsid w:val="006E5ABE"/>
    <w:rsid w:val="006E644F"/>
    <w:rsid w:val="006E6530"/>
    <w:rsid w:val="006E7BBD"/>
    <w:rsid w:val="006E7D6B"/>
    <w:rsid w:val="006F0B93"/>
    <w:rsid w:val="006F1F4E"/>
    <w:rsid w:val="006F257E"/>
    <w:rsid w:val="006F29FB"/>
    <w:rsid w:val="006F6090"/>
    <w:rsid w:val="00700592"/>
    <w:rsid w:val="0070154C"/>
    <w:rsid w:val="00702AB0"/>
    <w:rsid w:val="00702FE1"/>
    <w:rsid w:val="007035FC"/>
    <w:rsid w:val="007041F2"/>
    <w:rsid w:val="00704E9A"/>
    <w:rsid w:val="00705453"/>
    <w:rsid w:val="00705B4E"/>
    <w:rsid w:val="007067DE"/>
    <w:rsid w:val="00710B31"/>
    <w:rsid w:val="007120E5"/>
    <w:rsid w:val="00712DBF"/>
    <w:rsid w:val="007134F0"/>
    <w:rsid w:val="00716C5B"/>
    <w:rsid w:val="00716DF0"/>
    <w:rsid w:val="0072056C"/>
    <w:rsid w:val="00721D4C"/>
    <w:rsid w:val="00722D0B"/>
    <w:rsid w:val="007239B4"/>
    <w:rsid w:val="00726859"/>
    <w:rsid w:val="00726DE5"/>
    <w:rsid w:val="007273FC"/>
    <w:rsid w:val="007275A7"/>
    <w:rsid w:val="007278CE"/>
    <w:rsid w:val="0073244A"/>
    <w:rsid w:val="007329B0"/>
    <w:rsid w:val="007340FE"/>
    <w:rsid w:val="007343C6"/>
    <w:rsid w:val="00734FAF"/>
    <w:rsid w:val="00735AA9"/>
    <w:rsid w:val="007361D7"/>
    <w:rsid w:val="00737541"/>
    <w:rsid w:val="00740F7E"/>
    <w:rsid w:val="00741108"/>
    <w:rsid w:val="00741B75"/>
    <w:rsid w:val="007428CB"/>
    <w:rsid w:val="007432E4"/>
    <w:rsid w:val="007437A9"/>
    <w:rsid w:val="00744DD3"/>
    <w:rsid w:val="00747A36"/>
    <w:rsid w:val="00747ED5"/>
    <w:rsid w:val="007507CE"/>
    <w:rsid w:val="00752BBC"/>
    <w:rsid w:val="00754C0F"/>
    <w:rsid w:val="0075529F"/>
    <w:rsid w:val="007559FA"/>
    <w:rsid w:val="00756EBB"/>
    <w:rsid w:val="00757A59"/>
    <w:rsid w:val="00761B0C"/>
    <w:rsid w:val="00761C9D"/>
    <w:rsid w:val="00762A26"/>
    <w:rsid w:val="00763151"/>
    <w:rsid w:val="00763929"/>
    <w:rsid w:val="007647C4"/>
    <w:rsid w:val="007657DC"/>
    <w:rsid w:val="00766617"/>
    <w:rsid w:val="00767A32"/>
    <w:rsid w:val="00771755"/>
    <w:rsid w:val="007720EA"/>
    <w:rsid w:val="00772FCE"/>
    <w:rsid w:val="00773463"/>
    <w:rsid w:val="00773716"/>
    <w:rsid w:val="00774087"/>
    <w:rsid w:val="007740B3"/>
    <w:rsid w:val="00774AA5"/>
    <w:rsid w:val="00777CF9"/>
    <w:rsid w:val="00780408"/>
    <w:rsid w:val="00780C7E"/>
    <w:rsid w:val="00783063"/>
    <w:rsid w:val="007837B9"/>
    <w:rsid w:val="007849E7"/>
    <w:rsid w:val="007857DF"/>
    <w:rsid w:val="007876D8"/>
    <w:rsid w:val="00787961"/>
    <w:rsid w:val="00787A31"/>
    <w:rsid w:val="00790837"/>
    <w:rsid w:val="00790B24"/>
    <w:rsid w:val="00791E0B"/>
    <w:rsid w:val="00792E3F"/>
    <w:rsid w:val="007930D0"/>
    <w:rsid w:val="00794A66"/>
    <w:rsid w:val="007955C1"/>
    <w:rsid w:val="007967FA"/>
    <w:rsid w:val="00796DEC"/>
    <w:rsid w:val="00797033"/>
    <w:rsid w:val="007978AC"/>
    <w:rsid w:val="007A19B2"/>
    <w:rsid w:val="007A2D89"/>
    <w:rsid w:val="007A2DB8"/>
    <w:rsid w:val="007A318B"/>
    <w:rsid w:val="007A38B2"/>
    <w:rsid w:val="007A558F"/>
    <w:rsid w:val="007A57CF"/>
    <w:rsid w:val="007A73DB"/>
    <w:rsid w:val="007B0495"/>
    <w:rsid w:val="007B104B"/>
    <w:rsid w:val="007B2A72"/>
    <w:rsid w:val="007B30EB"/>
    <w:rsid w:val="007B36D9"/>
    <w:rsid w:val="007B3908"/>
    <w:rsid w:val="007B3943"/>
    <w:rsid w:val="007B3AC9"/>
    <w:rsid w:val="007B3B46"/>
    <w:rsid w:val="007B3D9D"/>
    <w:rsid w:val="007B57E4"/>
    <w:rsid w:val="007B6646"/>
    <w:rsid w:val="007B79CD"/>
    <w:rsid w:val="007C00BD"/>
    <w:rsid w:val="007C04DC"/>
    <w:rsid w:val="007C0DE4"/>
    <w:rsid w:val="007C26FF"/>
    <w:rsid w:val="007C2F8F"/>
    <w:rsid w:val="007C38CC"/>
    <w:rsid w:val="007C3C22"/>
    <w:rsid w:val="007C47F9"/>
    <w:rsid w:val="007C4BFF"/>
    <w:rsid w:val="007C5EA5"/>
    <w:rsid w:val="007C6779"/>
    <w:rsid w:val="007C6845"/>
    <w:rsid w:val="007C7AF0"/>
    <w:rsid w:val="007D02F6"/>
    <w:rsid w:val="007D1ED5"/>
    <w:rsid w:val="007D2506"/>
    <w:rsid w:val="007D4DD1"/>
    <w:rsid w:val="007D5A1E"/>
    <w:rsid w:val="007D5FCE"/>
    <w:rsid w:val="007E04F9"/>
    <w:rsid w:val="007E068D"/>
    <w:rsid w:val="007E0E4D"/>
    <w:rsid w:val="007E1B38"/>
    <w:rsid w:val="007E2FCA"/>
    <w:rsid w:val="007E3EC7"/>
    <w:rsid w:val="007E410D"/>
    <w:rsid w:val="007E7285"/>
    <w:rsid w:val="007F1991"/>
    <w:rsid w:val="007F1D89"/>
    <w:rsid w:val="007F2910"/>
    <w:rsid w:val="007F3853"/>
    <w:rsid w:val="007F65AA"/>
    <w:rsid w:val="007F7081"/>
    <w:rsid w:val="007F74CD"/>
    <w:rsid w:val="007F7776"/>
    <w:rsid w:val="008008DD"/>
    <w:rsid w:val="00800C0A"/>
    <w:rsid w:val="0080102E"/>
    <w:rsid w:val="0080165C"/>
    <w:rsid w:val="00802575"/>
    <w:rsid w:val="008028F7"/>
    <w:rsid w:val="00802A84"/>
    <w:rsid w:val="00803045"/>
    <w:rsid w:val="00803542"/>
    <w:rsid w:val="008038B4"/>
    <w:rsid w:val="00803AA2"/>
    <w:rsid w:val="0080433A"/>
    <w:rsid w:val="00804D91"/>
    <w:rsid w:val="008055DA"/>
    <w:rsid w:val="00806267"/>
    <w:rsid w:val="00806D81"/>
    <w:rsid w:val="0081031D"/>
    <w:rsid w:val="008119E7"/>
    <w:rsid w:val="0081375E"/>
    <w:rsid w:val="0081424F"/>
    <w:rsid w:val="00814300"/>
    <w:rsid w:val="00814B10"/>
    <w:rsid w:val="00814E74"/>
    <w:rsid w:val="00815D63"/>
    <w:rsid w:val="00817C25"/>
    <w:rsid w:val="00820D57"/>
    <w:rsid w:val="0082233C"/>
    <w:rsid w:val="00822504"/>
    <w:rsid w:val="00824203"/>
    <w:rsid w:val="008258E2"/>
    <w:rsid w:val="0082617B"/>
    <w:rsid w:val="00826D7A"/>
    <w:rsid w:val="00827815"/>
    <w:rsid w:val="008304F1"/>
    <w:rsid w:val="00830B50"/>
    <w:rsid w:val="00832287"/>
    <w:rsid w:val="008357B4"/>
    <w:rsid w:val="00835B52"/>
    <w:rsid w:val="0083661C"/>
    <w:rsid w:val="0083697A"/>
    <w:rsid w:val="00837CBF"/>
    <w:rsid w:val="00837F7A"/>
    <w:rsid w:val="00840F29"/>
    <w:rsid w:val="00841776"/>
    <w:rsid w:val="00841967"/>
    <w:rsid w:val="008422F5"/>
    <w:rsid w:val="00844AFE"/>
    <w:rsid w:val="00844B4F"/>
    <w:rsid w:val="008460C5"/>
    <w:rsid w:val="0084672F"/>
    <w:rsid w:val="00846FA6"/>
    <w:rsid w:val="0084719C"/>
    <w:rsid w:val="008475A1"/>
    <w:rsid w:val="00850013"/>
    <w:rsid w:val="00850A1F"/>
    <w:rsid w:val="008516E9"/>
    <w:rsid w:val="00851CEF"/>
    <w:rsid w:val="008532B9"/>
    <w:rsid w:val="00855C3A"/>
    <w:rsid w:val="00855D2C"/>
    <w:rsid w:val="00857B9D"/>
    <w:rsid w:val="00860BCD"/>
    <w:rsid w:val="0086108A"/>
    <w:rsid w:val="00861A7F"/>
    <w:rsid w:val="00863294"/>
    <w:rsid w:val="00866E25"/>
    <w:rsid w:val="008675EE"/>
    <w:rsid w:val="00867878"/>
    <w:rsid w:val="00873BC0"/>
    <w:rsid w:val="00873E86"/>
    <w:rsid w:val="0087583D"/>
    <w:rsid w:val="008775D5"/>
    <w:rsid w:val="008811AB"/>
    <w:rsid w:val="008818B7"/>
    <w:rsid w:val="00882336"/>
    <w:rsid w:val="00883BA5"/>
    <w:rsid w:val="00884455"/>
    <w:rsid w:val="008844CC"/>
    <w:rsid w:val="00886965"/>
    <w:rsid w:val="0088760A"/>
    <w:rsid w:val="008876DB"/>
    <w:rsid w:val="008900A8"/>
    <w:rsid w:val="0089050F"/>
    <w:rsid w:val="0089086D"/>
    <w:rsid w:val="00890E19"/>
    <w:rsid w:val="008926F5"/>
    <w:rsid w:val="008942A0"/>
    <w:rsid w:val="008956DA"/>
    <w:rsid w:val="00896812"/>
    <w:rsid w:val="008972C7"/>
    <w:rsid w:val="008A07E1"/>
    <w:rsid w:val="008A0B4A"/>
    <w:rsid w:val="008A2FA5"/>
    <w:rsid w:val="008A37A1"/>
    <w:rsid w:val="008A3E47"/>
    <w:rsid w:val="008A42B8"/>
    <w:rsid w:val="008A585F"/>
    <w:rsid w:val="008B0811"/>
    <w:rsid w:val="008B0E9C"/>
    <w:rsid w:val="008B12B9"/>
    <w:rsid w:val="008B211D"/>
    <w:rsid w:val="008B216C"/>
    <w:rsid w:val="008B2CA2"/>
    <w:rsid w:val="008B71B4"/>
    <w:rsid w:val="008B7FBF"/>
    <w:rsid w:val="008C029E"/>
    <w:rsid w:val="008C0D88"/>
    <w:rsid w:val="008C133C"/>
    <w:rsid w:val="008C1362"/>
    <w:rsid w:val="008C17C2"/>
    <w:rsid w:val="008C3042"/>
    <w:rsid w:val="008C3F8C"/>
    <w:rsid w:val="008C41DD"/>
    <w:rsid w:val="008C4C67"/>
    <w:rsid w:val="008C571D"/>
    <w:rsid w:val="008C5BEF"/>
    <w:rsid w:val="008C6462"/>
    <w:rsid w:val="008C707C"/>
    <w:rsid w:val="008D1548"/>
    <w:rsid w:val="008D2436"/>
    <w:rsid w:val="008D2531"/>
    <w:rsid w:val="008D3E39"/>
    <w:rsid w:val="008D495B"/>
    <w:rsid w:val="008D4AB1"/>
    <w:rsid w:val="008D7ACA"/>
    <w:rsid w:val="008D7BCF"/>
    <w:rsid w:val="008E10E5"/>
    <w:rsid w:val="008E129E"/>
    <w:rsid w:val="008E26EF"/>
    <w:rsid w:val="008E2963"/>
    <w:rsid w:val="008E2979"/>
    <w:rsid w:val="008E3A82"/>
    <w:rsid w:val="008E7728"/>
    <w:rsid w:val="008E781A"/>
    <w:rsid w:val="008F05A1"/>
    <w:rsid w:val="008F1C9C"/>
    <w:rsid w:val="008F2629"/>
    <w:rsid w:val="008F35AA"/>
    <w:rsid w:val="008F3B42"/>
    <w:rsid w:val="008F4360"/>
    <w:rsid w:val="00900AE5"/>
    <w:rsid w:val="00900F46"/>
    <w:rsid w:val="009021F8"/>
    <w:rsid w:val="009029B4"/>
    <w:rsid w:val="00902FF5"/>
    <w:rsid w:val="0090389E"/>
    <w:rsid w:val="00904C7D"/>
    <w:rsid w:val="009056B2"/>
    <w:rsid w:val="0090622D"/>
    <w:rsid w:val="0090725B"/>
    <w:rsid w:val="00907C18"/>
    <w:rsid w:val="0091266C"/>
    <w:rsid w:val="009130E1"/>
    <w:rsid w:val="00913862"/>
    <w:rsid w:val="00913967"/>
    <w:rsid w:val="00914B69"/>
    <w:rsid w:val="00914C08"/>
    <w:rsid w:val="00915766"/>
    <w:rsid w:val="00915AF8"/>
    <w:rsid w:val="00917D03"/>
    <w:rsid w:val="00917E2D"/>
    <w:rsid w:val="009214B6"/>
    <w:rsid w:val="009215D2"/>
    <w:rsid w:val="00923A1D"/>
    <w:rsid w:val="00924925"/>
    <w:rsid w:val="0092579B"/>
    <w:rsid w:val="00930A88"/>
    <w:rsid w:val="00930B9E"/>
    <w:rsid w:val="00931CAE"/>
    <w:rsid w:val="00931E2D"/>
    <w:rsid w:val="0093339D"/>
    <w:rsid w:val="009344D3"/>
    <w:rsid w:val="00934F2D"/>
    <w:rsid w:val="00936271"/>
    <w:rsid w:val="00936E1C"/>
    <w:rsid w:val="009374FA"/>
    <w:rsid w:val="00940AA3"/>
    <w:rsid w:val="00941A3D"/>
    <w:rsid w:val="00941A4A"/>
    <w:rsid w:val="00941D55"/>
    <w:rsid w:val="00941EED"/>
    <w:rsid w:val="00942233"/>
    <w:rsid w:val="00943090"/>
    <w:rsid w:val="00943564"/>
    <w:rsid w:val="009449A5"/>
    <w:rsid w:val="00945880"/>
    <w:rsid w:val="00945B00"/>
    <w:rsid w:val="00946937"/>
    <w:rsid w:val="0094746F"/>
    <w:rsid w:val="009508C9"/>
    <w:rsid w:val="00952427"/>
    <w:rsid w:val="009529DF"/>
    <w:rsid w:val="00952E78"/>
    <w:rsid w:val="00953073"/>
    <w:rsid w:val="00954374"/>
    <w:rsid w:val="009543D5"/>
    <w:rsid w:val="00954732"/>
    <w:rsid w:val="009555C1"/>
    <w:rsid w:val="00955B85"/>
    <w:rsid w:val="009562DE"/>
    <w:rsid w:val="0095647D"/>
    <w:rsid w:val="00956B72"/>
    <w:rsid w:val="00957008"/>
    <w:rsid w:val="00957972"/>
    <w:rsid w:val="009603A2"/>
    <w:rsid w:val="009608E4"/>
    <w:rsid w:val="00961272"/>
    <w:rsid w:val="00962FAF"/>
    <w:rsid w:val="00965200"/>
    <w:rsid w:val="009660BF"/>
    <w:rsid w:val="00967186"/>
    <w:rsid w:val="009700B3"/>
    <w:rsid w:val="009723FC"/>
    <w:rsid w:val="009739F3"/>
    <w:rsid w:val="009741EC"/>
    <w:rsid w:val="00974527"/>
    <w:rsid w:val="00974F32"/>
    <w:rsid w:val="0097522E"/>
    <w:rsid w:val="00975671"/>
    <w:rsid w:val="00975828"/>
    <w:rsid w:val="0097631F"/>
    <w:rsid w:val="0098037D"/>
    <w:rsid w:val="00981429"/>
    <w:rsid w:val="00981DB7"/>
    <w:rsid w:val="00983210"/>
    <w:rsid w:val="009832A3"/>
    <w:rsid w:val="009852E3"/>
    <w:rsid w:val="00987474"/>
    <w:rsid w:val="00987EEB"/>
    <w:rsid w:val="00990631"/>
    <w:rsid w:val="00990774"/>
    <w:rsid w:val="00991070"/>
    <w:rsid w:val="00991D79"/>
    <w:rsid w:val="00993A95"/>
    <w:rsid w:val="0099437D"/>
    <w:rsid w:val="00994445"/>
    <w:rsid w:val="0099481E"/>
    <w:rsid w:val="00994BB2"/>
    <w:rsid w:val="00994C52"/>
    <w:rsid w:val="00996850"/>
    <w:rsid w:val="00996E1A"/>
    <w:rsid w:val="00996EFF"/>
    <w:rsid w:val="00996FD4"/>
    <w:rsid w:val="00997FDD"/>
    <w:rsid w:val="009A1D5B"/>
    <w:rsid w:val="009A24D2"/>
    <w:rsid w:val="009A2DC2"/>
    <w:rsid w:val="009A5E38"/>
    <w:rsid w:val="009A6F98"/>
    <w:rsid w:val="009A7905"/>
    <w:rsid w:val="009B09C5"/>
    <w:rsid w:val="009B0A5D"/>
    <w:rsid w:val="009B0CCB"/>
    <w:rsid w:val="009B17A6"/>
    <w:rsid w:val="009B1F05"/>
    <w:rsid w:val="009B2947"/>
    <w:rsid w:val="009B301C"/>
    <w:rsid w:val="009B4493"/>
    <w:rsid w:val="009B49A9"/>
    <w:rsid w:val="009B4B36"/>
    <w:rsid w:val="009B4EF7"/>
    <w:rsid w:val="009B5C92"/>
    <w:rsid w:val="009B640E"/>
    <w:rsid w:val="009C1769"/>
    <w:rsid w:val="009C1D26"/>
    <w:rsid w:val="009C374F"/>
    <w:rsid w:val="009C3E89"/>
    <w:rsid w:val="009C3F1C"/>
    <w:rsid w:val="009C48A9"/>
    <w:rsid w:val="009C4EE8"/>
    <w:rsid w:val="009C6654"/>
    <w:rsid w:val="009C6B54"/>
    <w:rsid w:val="009C6BDB"/>
    <w:rsid w:val="009D025D"/>
    <w:rsid w:val="009D0D9E"/>
    <w:rsid w:val="009D190A"/>
    <w:rsid w:val="009D1A8B"/>
    <w:rsid w:val="009D2327"/>
    <w:rsid w:val="009D36CD"/>
    <w:rsid w:val="009D3AA6"/>
    <w:rsid w:val="009D3E3F"/>
    <w:rsid w:val="009D43F8"/>
    <w:rsid w:val="009D7E3E"/>
    <w:rsid w:val="009D7E52"/>
    <w:rsid w:val="009D7ED0"/>
    <w:rsid w:val="009E0580"/>
    <w:rsid w:val="009E178D"/>
    <w:rsid w:val="009E19DD"/>
    <w:rsid w:val="009E1DE8"/>
    <w:rsid w:val="009E5757"/>
    <w:rsid w:val="009E5E65"/>
    <w:rsid w:val="009E5EBD"/>
    <w:rsid w:val="009E5F8B"/>
    <w:rsid w:val="009E6FB5"/>
    <w:rsid w:val="009F0693"/>
    <w:rsid w:val="009F1C53"/>
    <w:rsid w:val="009F265D"/>
    <w:rsid w:val="009F49C2"/>
    <w:rsid w:val="009F4A28"/>
    <w:rsid w:val="009F4E59"/>
    <w:rsid w:val="009F6352"/>
    <w:rsid w:val="009F6ECC"/>
    <w:rsid w:val="009F72CD"/>
    <w:rsid w:val="00A0034A"/>
    <w:rsid w:val="00A00E3A"/>
    <w:rsid w:val="00A0346C"/>
    <w:rsid w:val="00A03E7B"/>
    <w:rsid w:val="00A03FDB"/>
    <w:rsid w:val="00A065A0"/>
    <w:rsid w:val="00A06F26"/>
    <w:rsid w:val="00A11155"/>
    <w:rsid w:val="00A1583D"/>
    <w:rsid w:val="00A16695"/>
    <w:rsid w:val="00A16775"/>
    <w:rsid w:val="00A177E1"/>
    <w:rsid w:val="00A17A71"/>
    <w:rsid w:val="00A20E47"/>
    <w:rsid w:val="00A232CC"/>
    <w:rsid w:val="00A2375F"/>
    <w:rsid w:val="00A23CFE"/>
    <w:rsid w:val="00A262B5"/>
    <w:rsid w:val="00A26AA2"/>
    <w:rsid w:val="00A30A2F"/>
    <w:rsid w:val="00A30D90"/>
    <w:rsid w:val="00A314A6"/>
    <w:rsid w:val="00A31512"/>
    <w:rsid w:val="00A34915"/>
    <w:rsid w:val="00A35216"/>
    <w:rsid w:val="00A35ABE"/>
    <w:rsid w:val="00A37BC1"/>
    <w:rsid w:val="00A401F6"/>
    <w:rsid w:val="00A4286D"/>
    <w:rsid w:val="00A44BB3"/>
    <w:rsid w:val="00A46080"/>
    <w:rsid w:val="00A465E2"/>
    <w:rsid w:val="00A46BC1"/>
    <w:rsid w:val="00A4736E"/>
    <w:rsid w:val="00A50EF1"/>
    <w:rsid w:val="00A52141"/>
    <w:rsid w:val="00A5247C"/>
    <w:rsid w:val="00A531E5"/>
    <w:rsid w:val="00A537FA"/>
    <w:rsid w:val="00A54616"/>
    <w:rsid w:val="00A553A5"/>
    <w:rsid w:val="00A55E81"/>
    <w:rsid w:val="00A56C93"/>
    <w:rsid w:val="00A5727E"/>
    <w:rsid w:val="00A6218D"/>
    <w:rsid w:val="00A6288A"/>
    <w:rsid w:val="00A63BAA"/>
    <w:rsid w:val="00A63DD0"/>
    <w:rsid w:val="00A65660"/>
    <w:rsid w:val="00A674D5"/>
    <w:rsid w:val="00A67C5E"/>
    <w:rsid w:val="00A70090"/>
    <w:rsid w:val="00A70E42"/>
    <w:rsid w:val="00A71B00"/>
    <w:rsid w:val="00A733BB"/>
    <w:rsid w:val="00A73461"/>
    <w:rsid w:val="00A77B74"/>
    <w:rsid w:val="00A808E9"/>
    <w:rsid w:val="00A81B34"/>
    <w:rsid w:val="00A82927"/>
    <w:rsid w:val="00A82B54"/>
    <w:rsid w:val="00A82E60"/>
    <w:rsid w:val="00A83029"/>
    <w:rsid w:val="00A8422C"/>
    <w:rsid w:val="00A8474A"/>
    <w:rsid w:val="00A866A6"/>
    <w:rsid w:val="00A87CCF"/>
    <w:rsid w:val="00A916E8"/>
    <w:rsid w:val="00A91FCB"/>
    <w:rsid w:val="00A92A2C"/>
    <w:rsid w:val="00A933D3"/>
    <w:rsid w:val="00A949A4"/>
    <w:rsid w:val="00A96A3D"/>
    <w:rsid w:val="00A97437"/>
    <w:rsid w:val="00AA0967"/>
    <w:rsid w:val="00AA0A63"/>
    <w:rsid w:val="00AA2CE8"/>
    <w:rsid w:val="00AA3B77"/>
    <w:rsid w:val="00AA446D"/>
    <w:rsid w:val="00AA5C4F"/>
    <w:rsid w:val="00AB0233"/>
    <w:rsid w:val="00AB084A"/>
    <w:rsid w:val="00AB1146"/>
    <w:rsid w:val="00AB164C"/>
    <w:rsid w:val="00AB235C"/>
    <w:rsid w:val="00AB2CE7"/>
    <w:rsid w:val="00AB3FFC"/>
    <w:rsid w:val="00AB4B02"/>
    <w:rsid w:val="00AB4F3E"/>
    <w:rsid w:val="00AB568A"/>
    <w:rsid w:val="00AB599F"/>
    <w:rsid w:val="00AB66B5"/>
    <w:rsid w:val="00AB69AC"/>
    <w:rsid w:val="00AB7969"/>
    <w:rsid w:val="00AB7F45"/>
    <w:rsid w:val="00AC026A"/>
    <w:rsid w:val="00AC12B7"/>
    <w:rsid w:val="00AC245C"/>
    <w:rsid w:val="00AC2B51"/>
    <w:rsid w:val="00AC456C"/>
    <w:rsid w:val="00AC77C7"/>
    <w:rsid w:val="00AD09C4"/>
    <w:rsid w:val="00AD11F2"/>
    <w:rsid w:val="00AD2BF3"/>
    <w:rsid w:val="00AD3D4F"/>
    <w:rsid w:val="00AD42C5"/>
    <w:rsid w:val="00AD48D9"/>
    <w:rsid w:val="00AD55AD"/>
    <w:rsid w:val="00AD5698"/>
    <w:rsid w:val="00AD58C0"/>
    <w:rsid w:val="00AD7285"/>
    <w:rsid w:val="00AD75CF"/>
    <w:rsid w:val="00AD7A50"/>
    <w:rsid w:val="00AD7B6B"/>
    <w:rsid w:val="00AE2222"/>
    <w:rsid w:val="00AE2387"/>
    <w:rsid w:val="00AE2584"/>
    <w:rsid w:val="00AE47B0"/>
    <w:rsid w:val="00AE55F5"/>
    <w:rsid w:val="00AE5A81"/>
    <w:rsid w:val="00AE5E44"/>
    <w:rsid w:val="00AE6730"/>
    <w:rsid w:val="00AE7ACE"/>
    <w:rsid w:val="00AF0485"/>
    <w:rsid w:val="00AF28EA"/>
    <w:rsid w:val="00AF403A"/>
    <w:rsid w:val="00AF557E"/>
    <w:rsid w:val="00AF5F0D"/>
    <w:rsid w:val="00AF6156"/>
    <w:rsid w:val="00AF7DAC"/>
    <w:rsid w:val="00B01907"/>
    <w:rsid w:val="00B0238E"/>
    <w:rsid w:val="00B035F3"/>
    <w:rsid w:val="00B05421"/>
    <w:rsid w:val="00B06769"/>
    <w:rsid w:val="00B06B61"/>
    <w:rsid w:val="00B0703A"/>
    <w:rsid w:val="00B075E2"/>
    <w:rsid w:val="00B07BE8"/>
    <w:rsid w:val="00B07CA1"/>
    <w:rsid w:val="00B117DE"/>
    <w:rsid w:val="00B13CE3"/>
    <w:rsid w:val="00B15074"/>
    <w:rsid w:val="00B16292"/>
    <w:rsid w:val="00B1722F"/>
    <w:rsid w:val="00B177D4"/>
    <w:rsid w:val="00B207E5"/>
    <w:rsid w:val="00B20C8F"/>
    <w:rsid w:val="00B2104F"/>
    <w:rsid w:val="00B21791"/>
    <w:rsid w:val="00B23096"/>
    <w:rsid w:val="00B24C73"/>
    <w:rsid w:val="00B26CB8"/>
    <w:rsid w:val="00B30A8A"/>
    <w:rsid w:val="00B31DE5"/>
    <w:rsid w:val="00B32A04"/>
    <w:rsid w:val="00B32CD5"/>
    <w:rsid w:val="00B336F9"/>
    <w:rsid w:val="00B3479D"/>
    <w:rsid w:val="00B34CF3"/>
    <w:rsid w:val="00B3552B"/>
    <w:rsid w:val="00B35C25"/>
    <w:rsid w:val="00B3644F"/>
    <w:rsid w:val="00B36DC4"/>
    <w:rsid w:val="00B37401"/>
    <w:rsid w:val="00B37ADD"/>
    <w:rsid w:val="00B4212D"/>
    <w:rsid w:val="00B42378"/>
    <w:rsid w:val="00B42BE5"/>
    <w:rsid w:val="00B44B7C"/>
    <w:rsid w:val="00B44C34"/>
    <w:rsid w:val="00B46A1B"/>
    <w:rsid w:val="00B46E08"/>
    <w:rsid w:val="00B47F53"/>
    <w:rsid w:val="00B5085F"/>
    <w:rsid w:val="00B5294B"/>
    <w:rsid w:val="00B539A2"/>
    <w:rsid w:val="00B57238"/>
    <w:rsid w:val="00B57635"/>
    <w:rsid w:val="00B57F33"/>
    <w:rsid w:val="00B60818"/>
    <w:rsid w:val="00B6117F"/>
    <w:rsid w:val="00B617FE"/>
    <w:rsid w:val="00B61FF7"/>
    <w:rsid w:val="00B62381"/>
    <w:rsid w:val="00B63768"/>
    <w:rsid w:val="00B63B4D"/>
    <w:rsid w:val="00B64725"/>
    <w:rsid w:val="00B6523F"/>
    <w:rsid w:val="00B65381"/>
    <w:rsid w:val="00B6639E"/>
    <w:rsid w:val="00B666F3"/>
    <w:rsid w:val="00B668C1"/>
    <w:rsid w:val="00B67DA0"/>
    <w:rsid w:val="00B70479"/>
    <w:rsid w:val="00B7072D"/>
    <w:rsid w:val="00B70F7E"/>
    <w:rsid w:val="00B72322"/>
    <w:rsid w:val="00B72801"/>
    <w:rsid w:val="00B72AAA"/>
    <w:rsid w:val="00B760B0"/>
    <w:rsid w:val="00B76B7D"/>
    <w:rsid w:val="00B77B92"/>
    <w:rsid w:val="00B82C1E"/>
    <w:rsid w:val="00B83E74"/>
    <w:rsid w:val="00B83EC6"/>
    <w:rsid w:val="00B856AD"/>
    <w:rsid w:val="00B85F94"/>
    <w:rsid w:val="00B91732"/>
    <w:rsid w:val="00B920DD"/>
    <w:rsid w:val="00B94339"/>
    <w:rsid w:val="00B94AD8"/>
    <w:rsid w:val="00B94B45"/>
    <w:rsid w:val="00B95EA9"/>
    <w:rsid w:val="00B9636E"/>
    <w:rsid w:val="00B975B1"/>
    <w:rsid w:val="00BA0836"/>
    <w:rsid w:val="00BA090C"/>
    <w:rsid w:val="00BA2368"/>
    <w:rsid w:val="00BA326A"/>
    <w:rsid w:val="00BA32E5"/>
    <w:rsid w:val="00BA3411"/>
    <w:rsid w:val="00BA66AC"/>
    <w:rsid w:val="00BA6D9D"/>
    <w:rsid w:val="00BB0C0B"/>
    <w:rsid w:val="00BB0EE5"/>
    <w:rsid w:val="00BB208B"/>
    <w:rsid w:val="00BB21C1"/>
    <w:rsid w:val="00BB2FBD"/>
    <w:rsid w:val="00BB3501"/>
    <w:rsid w:val="00BB39C1"/>
    <w:rsid w:val="00BB3B84"/>
    <w:rsid w:val="00BB3C3C"/>
    <w:rsid w:val="00BB4AF6"/>
    <w:rsid w:val="00BB5A11"/>
    <w:rsid w:val="00BB7386"/>
    <w:rsid w:val="00BC0020"/>
    <w:rsid w:val="00BC0BED"/>
    <w:rsid w:val="00BC0E30"/>
    <w:rsid w:val="00BC1BFC"/>
    <w:rsid w:val="00BC2ED2"/>
    <w:rsid w:val="00BC30B7"/>
    <w:rsid w:val="00BC4522"/>
    <w:rsid w:val="00BC614E"/>
    <w:rsid w:val="00BC6979"/>
    <w:rsid w:val="00BC74B2"/>
    <w:rsid w:val="00BC78D5"/>
    <w:rsid w:val="00BD0727"/>
    <w:rsid w:val="00BD12A6"/>
    <w:rsid w:val="00BD1B71"/>
    <w:rsid w:val="00BD23CF"/>
    <w:rsid w:val="00BD44F9"/>
    <w:rsid w:val="00BD5B66"/>
    <w:rsid w:val="00BD70C7"/>
    <w:rsid w:val="00BD75F7"/>
    <w:rsid w:val="00BD795E"/>
    <w:rsid w:val="00BE1018"/>
    <w:rsid w:val="00BE1A94"/>
    <w:rsid w:val="00BE285F"/>
    <w:rsid w:val="00BE2DD8"/>
    <w:rsid w:val="00BE3DD0"/>
    <w:rsid w:val="00BE4ABA"/>
    <w:rsid w:val="00BE6029"/>
    <w:rsid w:val="00BE7436"/>
    <w:rsid w:val="00BE7E2C"/>
    <w:rsid w:val="00BE7E40"/>
    <w:rsid w:val="00BF28DE"/>
    <w:rsid w:val="00BF6CA0"/>
    <w:rsid w:val="00BF7E7D"/>
    <w:rsid w:val="00C01C2B"/>
    <w:rsid w:val="00C04CD9"/>
    <w:rsid w:val="00C054D7"/>
    <w:rsid w:val="00C076B1"/>
    <w:rsid w:val="00C100CF"/>
    <w:rsid w:val="00C10206"/>
    <w:rsid w:val="00C11764"/>
    <w:rsid w:val="00C136F2"/>
    <w:rsid w:val="00C13BB5"/>
    <w:rsid w:val="00C13F49"/>
    <w:rsid w:val="00C1424A"/>
    <w:rsid w:val="00C1517F"/>
    <w:rsid w:val="00C15661"/>
    <w:rsid w:val="00C23BE1"/>
    <w:rsid w:val="00C24263"/>
    <w:rsid w:val="00C242C1"/>
    <w:rsid w:val="00C25F57"/>
    <w:rsid w:val="00C26740"/>
    <w:rsid w:val="00C26D7B"/>
    <w:rsid w:val="00C3103B"/>
    <w:rsid w:val="00C311C7"/>
    <w:rsid w:val="00C31BF7"/>
    <w:rsid w:val="00C32023"/>
    <w:rsid w:val="00C321AA"/>
    <w:rsid w:val="00C33647"/>
    <w:rsid w:val="00C35F42"/>
    <w:rsid w:val="00C36CD9"/>
    <w:rsid w:val="00C36D72"/>
    <w:rsid w:val="00C3706F"/>
    <w:rsid w:val="00C373B4"/>
    <w:rsid w:val="00C4343E"/>
    <w:rsid w:val="00C43E98"/>
    <w:rsid w:val="00C44C72"/>
    <w:rsid w:val="00C45789"/>
    <w:rsid w:val="00C4636E"/>
    <w:rsid w:val="00C46610"/>
    <w:rsid w:val="00C51800"/>
    <w:rsid w:val="00C51842"/>
    <w:rsid w:val="00C52328"/>
    <w:rsid w:val="00C528A0"/>
    <w:rsid w:val="00C53B00"/>
    <w:rsid w:val="00C553DB"/>
    <w:rsid w:val="00C55613"/>
    <w:rsid w:val="00C55D1B"/>
    <w:rsid w:val="00C563E5"/>
    <w:rsid w:val="00C56491"/>
    <w:rsid w:val="00C60871"/>
    <w:rsid w:val="00C611AE"/>
    <w:rsid w:val="00C65B12"/>
    <w:rsid w:val="00C65B71"/>
    <w:rsid w:val="00C6620A"/>
    <w:rsid w:val="00C66A16"/>
    <w:rsid w:val="00C66DF5"/>
    <w:rsid w:val="00C67228"/>
    <w:rsid w:val="00C678CB"/>
    <w:rsid w:val="00C701B3"/>
    <w:rsid w:val="00C70521"/>
    <w:rsid w:val="00C710A9"/>
    <w:rsid w:val="00C72917"/>
    <w:rsid w:val="00C7301F"/>
    <w:rsid w:val="00C74920"/>
    <w:rsid w:val="00C75204"/>
    <w:rsid w:val="00C75D0A"/>
    <w:rsid w:val="00C77C3B"/>
    <w:rsid w:val="00C82B9F"/>
    <w:rsid w:val="00C82DD9"/>
    <w:rsid w:val="00C83C70"/>
    <w:rsid w:val="00C87C37"/>
    <w:rsid w:val="00C90E3C"/>
    <w:rsid w:val="00C92C46"/>
    <w:rsid w:val="00C92F85"/>
    <w:rsid w:val="00C93BE1"/>
    <w:rsid w:val="00C94902"/>
    <w:rsid w:val="00C952C1"/>
    <w:rsid w:val="00C97110"/>
    <w:rsid w:val="00C971FE"/>
    <w:rsid w:val="00CA205B"/>
    <w:rsid w:val="00CA272A"/>
    <w:rsid w:val="00CA2807"/>
    <w:rsid w:val="00CA2B5F"/>
    <w:rsid w:val="00CA446B"/>
    <w:rsid w:val="00CB0EEB"/>
    <w:rsid w:val="00CB155A"/>
    <w:rsid w:val="00CB1560"/>
    <w:rsid w:val="00CB29B7"/>
    <w:rsid w:val="00CB2F4F"/>
    <w:rsid w:val="00CB339F"/>
    <w:rsid w:val="00CB3CBE"/>
    <w:rsid w:val="00CB4CA8"/>
    <w:rsid w:val="00CB7832"/>
    <w:rsid w:val="00CC3B75"/>
    <w:rsid w:val="00CC44A2"/>
    <w:rsid w:val="00CC6527"/>
    <w:rsid w:val="00CC6C47"/>
    <w:rsid w:val="00CD07CA"/>
    <w:rsid w:val="00CD0C45"/>
    <w:rsid w:val="00CD275E"/>
    <w:rsid w:val="00CD2D94"/>
    <w:rsid w:val="00CD3332"/>
    <w:rsid w:val="00CD4E74"/>
    <w:rsid w:val="00CD55EC"/>
    <w:rsid w:val="00CD6325"/>
    <w:rsid w:val="00CD75CA"/>
    <w:rsid w:val="00CD7867"/>
    <w:rsid w:val="00CE14DA"/>
    <w:rsid w:val="00CE286D"/>
    <w:rsid w:val="00CE2AC6"/>
    <w:rsid w:val="00CE2CBE"/>
    <w:rsid w:val="00CE494D"/>
    <w:rsid w:val="00CE4FFB"/>
    <w:rsid w:val="00CE524F"/>
    <w:rsid w:val="00CE7396"/>
    <w:rsid w:val="00CF18AA"/>
    <w:rsid w:val="00CF39AE"/>
    <w:rsid w:val="00CF4463"/>
    <w:rsid w:val="00CF4502"/>
    <w:rsid w:val="00CF63A4"/>
    <w:rsid w:val="00CF6AA6"/>
    <w:rsid w:val="00CF7ED6"/>
    <w:rsid w:val="00D019A9"/>
    <w:rsid w:val="00D0228D"/>
    <w:rsid w:val="00D02406"/>
    <w:rsid w:val="00D0344F"/>
    <w:rsid w:val="00D04510"/>
    <w:rsid w:val="00D04897"/>
    <w:rsid w:val="00D06039"/>
    <w:rsid w:val="00D0687C"/>
    <w:rsid w:val="00D074A5"/>
    <w:rsid w:val="00D12C85"/>
    <w:rsid w:val="00D14292"/>
    <w:rsid w:val="00D1439D"/>
    <w:rsid w:val="00D160E6"/>
    <w:rsid w:val="00D204E5"/>
    <w:rsid w:val="00D228B8"/>
    <w:rsid w:val="00D241B4"/>
    <w:rsid w:val="00D2502E"/>
    <w:rsid w:val="00D260B8"/>
    <w:rsid w:val="00D26617"/>
    <w:rsid w:val="00D27687"/>
    <w:rsid w:val="00D300F9"/>
    <w:rsid w:val="00D30BFC"/>
    <w:rsid w:val="00D32641"/>
    <w:rsid w:val="00D32A67"/>
    <w:rsid w:val="00D32E97"/>
    <w:rsid w:val="00D336A5"/>
    <w:rsid w:val="00D338C6"/>
    <w:rsid w:val="00D33924"/>
    <w:rsid w:val="00D33AD5"/>
    <w:rsid w:val="00D362BA"/>
    <w:rsid w:val="00D36AFD"/>
    <w:rsid w:val="00D370D7"/>
    <w:rsid w:val="00D37D62"/>
    <w:rsid w:val="00D37D8C"/>
    <w:rsid w:val="00D4279C"/>
    <w:rsid w:val="00D433CD"/>
    <w:rsid w:val="00D4352E"/>
    <w:rsid w:val="00D43FD5"/>
    <w:rsid w:val="00D4484E"/>
    <w:rsid w:val="00D44E02"/>
    <w:rsid w:val="00D45D96"/>
    <w:rsid w:val="00D4650B"/>
    <w:rsid w:val="00D47271"/>
    <w:rsid w:val="00D4775F"/>
    <w:rsid w:val="00D47CB1"/>
    <w:rsid w:val="00D50AC4"/>
    <w:rsid w:val="00D51295"/>
    <w:rsid w:val="00D51B17"/>
    <w:rsid w:val="00D5289A"/>
    <w:rsid w:val="00D53A4A"/>
    <w:rsid w:val="00D55AB3"/>
    <w:rsid w:val="00D5629F"/>
    <w:rsid w:val="00D566F5"/>
    <w:rsid w:val="00D60BD4"/>
    <w:rsid w:val="00D612EE"/>
    <w:rsid w:val="00D62A21"/>
    <w:rsid w:val="00D65088"/>
    <w:rsid w:val="00D67BF9"/>
    <w:rsid w:val="00D705AE"/>
    <w:rsid w:val="00D729AB"/>
    <w:rsid w:val="00D72ADB"/>
    <w:rsid w:val="00D736B3"/>
    <w:rsid w:val="00D73935"/>
    <w:rsid w:val="00D74790"/>
    <w:rsid w:val="00D74E1A"/>
    <w:rsid w:val="00D75155"/>
    <w:rsid w:val="00D76339"/>
    <w:rsid w:val="00D76521"/>
    <w:rsid w:val="00D7797D"/>
    <w:rsid w:val="00D779B2"/>
    <w:rsid w:val="00D77D30"/>
    <w:rsid w:val="00D80773"/>
    <w:rsid w:val="00D80D45"/>
    <w:rsid w:val="00D80F8A"/>
    <w:rsid w:val="00D815F7"/>
    <w:rsid w:val="00D830AC"/>
    <w:rsid w:val="00D83543"/>
    <w:rsid w:val="00D85870"/>
    <w:rsid w:val="00D868E4"/>
    <w:rsid w:val="00D871CA"/>
    <w:rsid w:val="00D87400"/>
    <w:rsid w:val="00D9055B"/>
    <w:rsid w:val="00D930EE"/>
    <w:rsid w:val="00D94628"/>
    <w:rsid w:val="00D95200"/>
    <w:rsid w:val="00D956AE"/>
    <w:rsid w:val="00D95B55"/>
    <w:rsid w:val="00D95D95"/>
    <w:rsid w:val="00D97613"/>
    <w:rsid w:val="00DA02BD"/>
    <w:rsid w:val="00DA10A6"/>
    <w:rsid w:val="00DA158E"/>
    <w:rsid w:val="00DA18F2"/>
    <w:rsid w:val="00DA44DE"/>
    <w:rsid w:val="00DA4F02"/>
    <w:rsid w:val="00DA562F"/>
    <w:rsid w:val="00DB35EC"/>
    <w:rsid w:val="00DB3BBB"/>
    <w:rsid w:val="00DB3C11"/>
    <w:rsid w:val="00DB3C42"/>
    <w:rsid w:val="00DB4132"/>
    <w:rsid w:val="00DB439A"/>
    <w:rsid w:val="00DB6849"/>
    <w:rsid w:val="00DC0CAB"/>
    <w:rsid w:val="00DC2998"/>
    <w:rsid w:val="00DC301E"/>
    <w:rsid w:val="00DC3D93"/>
    <w:rsid w:val="00DC4304"/>
    <w:rsid w:val="00DC4726"/>
    <w:rsid w:val="00DC49EF"/>
    <w:rsid w:val="00DC4BFF"/>
    <w:rsid w:val="00DC5383"/>
    <w:rsid w:val="00DC57E0"/>
    <w:rsid w:val="00DC5A8B"/>
    <w:rsid w:val="00DC5D4A"/>
    <w:rsid w:val="00DC6B43"/>
    <w:rsid w:val="00DD009D"/>
    <w:rsid w:val="00DD0AB8"/>
    <w:rsid w:val="00DD3A35"/>
    <w:rsid w:val="00DD4566"/>
    <w:rsid w:val="00DD5180"/>
    <w:rsid w:val="00DD60DF"/>
    <w:rsid w:val="00DD6DBE"/>
    <w:rsid w:val="00DD792F"/>
    <w:rsid w:val="00DE0115"/>
    <w:rsid w:val="00DE096E"/>
    <w:rsid w:val="00DE3582"/>
    <w:rsid w:val="00DE3C7B"/>
    <w:rsid w:val="00DE4336"/>
    <w:rsid w:val="00DE4379"/>
    <w:rsid w:val="00DE45E8"/>
    <w:rsid w:val="00DE5308"/>
    <w:rsid w:val="00DE56DA"/>
    <w:rsid w:val="00DE5BC3"/>
    <w:rsid w:val="00DE7BB3"/>
    <w:rsid w:val="00DE7DDB"/>
    <w:rsid w:val="00DE7F51"/>
    <w:rsid w:val="00DF1378"/>
    <w:rsid w:val="00DF2B26"/>
    <w:rsid w:val="00DF2D98"/>
    <w:rsid w:val="00DF3565"/>
    <w:rsid w:val="00DF373D"/>
    <w:rsid w:val="00DF44CB"/>
    <w:rsid w:val="00DF5175"/>
    <w:rsid w:val="00DF784C"/>
    <w:rsid w:val="00E0001D"/>
    <w:rsid w:val="00E0155E"/>
    <w:rsid w:val="00E02FBC"/>
    <w:rsid w:val="00E037D6"/>
    <w:rsid w:val="00E05554"/>
    <w:rsid w:val="00E05766"/>
    <w:rsid w:val="00E0602B"/>
    <w:rsid w:val="00E0771A"/>
    <w:rsid w:val="00E07908"/>
    <w:rsid w:val="00E07982"/>
    <w:rsid w:val="00E07A1B"/>
    <w:rsid w:val="00E109F9"/>
    <w:rsid w:val="00E12161"/>
    <w:rsid w:val="00E1320B"/>
    <w:rsid w:val="00E13253"/>
    <w:rsid w:val="00E132D3"/>
    <w:rsid w:val="00E15CFC"/>
    <w:rsid w:val="00E163A6"/>
    <w:rsid w:val="00E17DD5"/>
    <w:rsid w:val="00E21032"/>
    <w:rsid w:val="00E21DF7"/>
    <w:rsid w:val="00E22DAA"/>
    <w:rsid w:val="00E24901"/>
    <w:rsid w:val="00E24F7F"/>
    <w:rsid w:val="00E25BC1"/>
    <w:rsid w:val="00E27AED"/>
    <w:rsid w:val="00E30991"/>
    <w:rsid w:val="00E32FE0"/>
    <w:rsid w:val="00E333E3"/>
    <w:rsid w:val="00E33F02"/>
    <w:rsid w:val="00E356DE"/>
    <w:rsid w:val="00E35EB1"/>
    <w:rsid w:val="00E35FD4"/>
    <w:rsid w:val="00E3600E"/>
    <w:rsid w:val="00E36DFE"/>
    <w:rsid w:val="00E37045"/>
    <w:rsid w:val="00E421C7"/>
    <w:rsid w:val="00E42277"/>
    <w:rsid w:val="00E42C5F"/>
    <w:rsid w:val="00E43CBB"/>
    <w:rsid w:val="00E43E82"/>
    <w:rsid w:val="00E44D5B"/>
    <w:rsid w:val="00E450F2"/>
    <w:rsid w:val="00E4709B"/>
    <w:rsid w:val="00E47826"/>
    <w:rsid w:val="00E47B77"/>
    <w:rsid w:val="00E506D3"/>
    <w:rsid w:val="00E50EC7"/>
    <w:rsid w:val="00E5209B"/>
    <w:rsid w:val="00E53996"/>
    <w:rsid w:val="00E55482"/>
    <w:rsid w:val="00E55867"/>
    <w:rsid w:val="00E55A61"/>
    <w:rsid w:val="00E55B1D"/>
    <w:rsid w:val="00E56B11"/>
    <w:rsid w:val="00E57A91"/>
    <w:rsid w:val="00E60091"/>
    <w:rsid w:val="00E61131"/>
    <w:rsid w:val="00E62BBE"/>
    <w:rsid w:val="00E62D8B"/>
    <w:rsid w:val="00E6485C"/>
    <w:rsid w:val="00E649EF"/>
    <w:rsid w:val="00E64D32"/>
    <w:rsid w:val="00E65342"/>
    <w:rsid w:val="00E65728"/>
    <w:rsid w:val="00E659A8"/>
    <w:rsid w:val="00E663B9"/>
    <w:rsid w:val="00E66F5B"/>
    <w:rsid w:val="00E67C73"/>
    <w:rsid w:val="00E70DD7"/>
    <w:rsid w:val="00E7263B"/>
    <w:rsid w:val="00E732ED"/>
    <w:rsid w:val="00E74171"/>
    <w:rsid w:val="00E74810"/>
    <w:rsid w:val="00E74E29"/>
    <w:rsid w:val="00E74EF2"/>
    <w:rsid w:val="00E76923"/>
    <w:rsid w:val="00E77F93"/>
    <w:rsid w:val="00E81D87"/>
    <w:rsid w:val="00E83647"/>
    <w:rsid w:val="00E870E2"/>
    <w:rsid w:val="00E910B8"/>
    <w:rsid w:val="00E913F0"/>
    <w:rsid w:val="00E9392C"/>
    <w:rsid w:val="00E93F09"/>
    <w:rsid w:val="00E947D8"/>
    <w:rsid w:val="00E96B72"/>
    <w:rsid w:val="00E97261"/>
    <w:rsid w:val="00EA0838"/>
    <w:rsid w:val="00EA2B77"/>
    <w:rsid w:val="00EA31DD"/>
    <w:rsid w:val="00EA3448"/>
    <w:rsid w:val="00EA38C2"/>
    <w:rsid w:val="00EA44D9"/>
    <w:rsid w:val="00EA583E"/>
    <w:rsid w:val="00EA7924"/>
    <w:rsid w:val="00EC44C8"/>
    <w:rsid w:val="00EC4518"/>
    <w:rsid w:val="00EC47D6"/>
    <w:rsid w:val="00EC55FB"/>
    <w:rsid w:val="00EC59E6"/>
    <w:rsid w:val="00EC672C"/>
    <w:rsid w:val="00ED0B89"/>
    <w:rsid w:val="00ED406E"/>
    <w:rsid w:val="00ED739D"/>
    <w:rsid w:val="00EE00D3"/>
    <w:rsid w:val="00EE0D3A"/>
    <w:rsid w:val="00EE0EEC"/>
    <w:rsid w:val="00EE0F2A"/>
    <w:rsid w:val="00EE104F"/>
    <w:rsid w:val="00EE1BB4"/>
    <w:rsid w:val="00EE37BE"/>
    <w:rsid w:val="00EE3CDC"/>
    <w:rsid w:val="00EE47BF"/>
    <w:rsid w:val="00EE5959"/>
    <w:rsid w:val="00EE5F56"/>
    <w:rsid w:val="00EE6492"/>
    <w:rsid w:val="00EE781F"/>
    <w:rsid w:val="00EF05A4"/>
    <w:rsid w:val="00EF0D46"/>
    <w:rsid w:val="00EF0F5E"/>
    <w:rsid w:val="00EF1257"/>
    <w:rsid w:val="00EF1739"/>
    <w:rsid w:val="00EF3BAD"/>
    <w:rsid w:val="00EF3DCB"/>
    <w:rsid w:val="00EF4A2E"/>
    <w:rsid w:val="00EF6605"/>
    <w:rsid w:val="00EF6902"/>
    <w:rsid w:val="00EF6A91"/>
    <w:rsid w:val="00EF71B0"/>
    <w:rsid w:val="00F00059"/>
    <w:rsid w:val="00F00647"/>
    <w:rsid w:val="00F00B09"/>
    <w:rsid w:val="00F023B4"/>
    <w:rsid w:val="00F02C43"/>
    <w:rsid w:val="00F03F35"/>
    <w:rsid w:val="00F04A46"/>
    <w:rsid w:val="00F05799"/>
    <w:rsid w:val="00F07A26"/>
    <w:rsid w:val="00F10912"/>
    <w:rsid w:val="00F11927"/>
    <w:rsid w:val="00F12158"/>
    <w:rsid w:val="00F122EF"/>
    <w:rsid w:val="00F1508B"/>
    <w:rsid w:val="00F1517A"/>
    <w:rsid w:val="00F15228"/>
    <w:rsid w:val="00F15A8E"/>
    <w:rsid w:val="00F17649"/>
    <w:rsid w:val="00F21275"/>
    <w:rsid w:val="00F21B1B"/>
    <w:rsid w:val="00F229C2"/>
    <w:rsid w:val="00F27168"/>
    <w:rsid w:val="00F27863"/>
    <w:rsid w:val="00F27B13"/>
    <w:rsid w:val="00F31C07"/>
    <w:rsid w:val="00F31E40"/>
    <w:rsid w:val="00F33DCC"/>
    <w:rsid w:val="00F3553A"/>
    <w:rsid w:val="00F3603D"/>
    <w:rsid w:val="00F378F7"/>
    <w:rsid w:val="00F41EBD"/>
    <w:rsid w:val="00F42339"/>
    <w:rsid w:val="00F42EBE"/>
    <w:rsid w:val="00F44032"/>
    <w:rsid w:val="00F44A0B"/>
    <w:rsid w:val="00F45013"/>
    <w:rsid w:val="00F4779F"/>
    <w:rsid w:val="00F47FD3"/>
    <w:rsid w:val="00F507DB"/>
    <w:rsid w:val="00F50A4B"/>
    <w:rsid w:val="00F50FF2"/>
    <w:rsid w:val="00F514A9"/>
    <w:rsid w:val="00F518C2"/>
    <w:rsid w:val="00F5226D"/>
    <w:rsid w:val="00F52AD2"/>
    <w:rsid w:val="00F54250"/>
    <w:rsid w:val="00F575F2"/>
    <w:rsid w:val="00F578D7"/>
    <w:rsid w:val="00F578DE"/>
    <w:rsid w:val="00F57DF4"/>
    <w:rsid w:val="00F60B72"/>
    <w:rsid w:val="00F60C74"/>
    <w:rsid w:val="00F614EE"/>
    <w:rsid w:val="00F650BC"/>
    <w:rsid w:val="00F652AD"/>
    <w:rsid w:val="00F6548E"/>
    <w:rsid w:val="00F65B06"/>
    <w:rsid w:val="00F66EA4"/>
    <w:rsid w:val="00F676A9"/>
    <w:rsid w:val="00F67D21"/>
    <w:rsid w:val="00F70E44"/>
    <w:rsid w:val="00F722BC"/>
    <w:rsid w:val="00F72CF3"/>
    <w:rsid w:val="00F73FAB"/>
    <w:rsid w:val="00F7400F"/>
    <w:rsid w:val="00F75449"/>
    <w:rsid w:val="00F76966"/>
    <w:rsid w:val="00F77726"/>
    <w:rsid w:val="00F77B51"/>
    <w:rsid w:val="00F80EA7"/>
    <w:rsid w:val="00F81DDE"/>
    <w:rsid w:val="00F81F96"/>
    <w:rsid w:val="00F821A8"/>
    <w:rsid w:val="00F84CA2"/>
    <w:rsid w:val="00F85013"/>
    <w:rsid w:val="00F8535F"/>
    <w:rsid w:val="00F85CE0"/>
    <w:rsid w:val="00F86582"/>
    <w:rsid w:val="00F87EBF"/>
    <w:rsid w:val="00F90D23"/>
    <w:rsid w:val="00F91131"/>
    <w:rsid w:val="00F9181C"/>
    <w:rsid w:val="00F92658"/>
    <w:rsid w:val="00F926C7"/>
    <w:rsid w:val="00F93CEE"/>
    <w:rsid w:val="00F93E1B"/>
    <w:rsid w:val="00F945FB"/>
    <w:rsid w:val="00FA0DBD"/>
    <w:rsid w:val="00FA0FB5"/>
    <w:rsid w:val="00FA16D2"/>
    <w:rsid w:val="00FA23AC"/>
    <w:rsid w:val="00FA2A31"/>
    <w:rsid w:val="00FA3EB4"/>
    <w:rsid w:val="00FA5015"/>
    <w:rsid w:val="00FA58F7"/>
    <w:rsid w:val="00FA5A32"/>
    <w:rsid w:val="00FA5CAE"/>
    <w:rsid w:val="00FA67E6"/>
    <w:rsid w:val="00FA7904"/>
    <w:rsid w:val="00FA7D67"/>
    <w:rsid w:val="00FB04CC"/>
    <w:rsid w:val="00FB0502"/>
    <w:rsid w:val="00FB0C08"/>
    <w:rsid w:val="00FB14F9"/>
    <w:rsid w:val="00FB30F3"/>
    <w:rsid w:val="00FB3DC5"/>
    <w:rsid w:val="00FB4E3A"/>
    <w:rsid w:val="00FB4E7B"/>
    <w:rsid w:val="00FB4EBE"/>
    <w:rsid w:val="00FB5F13"/>
    <w:rsid w:val="00FB62B3"/>
    <w:rsid w:val="00FB6916"/>
    <w:rsid w:val="00FB7918"/>
    <w:rsid w:val="00FC111E"/>
    <w:rsid w:val="00FC2C3B"/>
    <w:rsid w:val="00FC461E"/>
    <w:rsid w:val="00FC4750"/>
    <w:rsid w:val="00FC484E"/>
    <w:rsid w:val="00FC4AC1"/>
    <w:rsid w:val="00FC6C77"/>
    <w:rsid w:val="00FC7FB1"/>
    <w:rsid w:val="00FD01BB"/>
    <w:rsid w:val="00FD1185"/>
    <w:rsid w:val="00FD19AC"/>
    <w:rsid w:val="00FD2CAB"/>
    <w:rsid w:val="00FD327B"/>
    <w:rsid w:val="00FD5470"/>
    <w:rsid w:val="00FE2156"/>
    <w:rsid w:val="00FE2CA6"/>
    <w:rsid w:val="00FE3342"/>
    <w:rsid w:val="00FE39BC"/>
    <w:rsid w:val="00FE43DA"/>
    <w:rsid w:val="00FE68A7"/>
    <w:rsid w:val="00FE7078"/>
    <w:rsid w:val="00FE728F"/>
    <w:rsid w:val="00FE7B61"/>
    <w:rsid w:val="00FF0209"/>
    <w:rsid w:val="00FF09EA"/>
    <w:rsid w:val="00FF153B"/>
    <w:rsid w:val="00FF1D6E"/>
    <w:rsid w:val="00FF3491"/>
    <w:rsid w:val="00FF3617"/>
    <w:rsid w:val="00FF42A7"/>
    <w:rsid w:val="00FF5564"/>
    <w:rsid w:val="00FF60EF"/>
    <w:rsid w:val="00FF672F"/>
    <w:rsid w:val="00FF6BAD"/>
    <w:rsid w:val="00FF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C657E"/>
  <w15:docId w15:val="{D6D6F250-4EF8-4431-BD59-8B969961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A71"/>
  </w:style>
  <w:style w:type="paragraph" w:styleId="Heading1">
    <w:name w:val="heading 1"/>
    <w:basedOn w:val="Normal"/>
    <w:next w:val="Normal"/>
    <w:link w:val="Heading1Char"/>
    <w:uiPriority w:val="9"/>
    <w:qFormat/>
    <w:rsid w:val="003E5AB6"/>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3E5AB6"/>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69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5698"/>
  </w:style>
  <w:style w:type="paragraph" w:styleId="Footer">
    <w:name w:val="footer"/>
    <w:basedOn w:val="Normal"/>
    <w:link w:val="FooterChar"/>
    <w:uiPriority w:val="99"/>
    <w:unhideWhenUsed/>
    <w:rsid w:val="00AD569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5698"/>
  </w:style>
  <w:style w:type="character" w:styleId="CommentReference">
    <w:name w:val="annotation reference"/>
    <w:basedOn w:val="DefaultParagraphFont"/>
    <w:uiPriority w:val="99"/>
    <w:semiHidden/>
    <w:unhideWhenUsed/>
    <w:rsid w:val="00AB3FFC"/>
    <w:rPr>
      <w:sz w:val="16"/>
      <w:szCs w:val="16"/>
    </w:rPr>
  </w:style>
  <w:style w:type="paragraph" w:styleId="CommentText">
    <w:name w:val="annotation text"/>
    <w:basedOn w:val="Normal"/>
    <w:link w:val="CommentTextChar"/>
    <w:uiPriority w:val="99"/>
    <w:unhideWhenUsed/>
    <w:rsid w:val="00AB3FFC"/>
    <w:pPr>
      <w:spacing w:line="240" w:lineRule="auto"/>
    </w:pPr>
    <w:rPr>
      <w:sz w:val="20"/>
      <w:szCs w:val="20"/>
    </w:rPr>
  </w:style>
  <w:style w:type="character" w:customStyle="1" w:styleId="CommentTextChar">
    <w:name w:val="Comment Text Char"/>
    <w:basedOn w:val="DefaultParagraphFont"/>
    <w:link w:val="CommentText"/>
    <w:uiPriority w:val="99"/>
    <w:rsid w:val="00AB3FFC"/>
    <w:rPr>
      <w:sz w:val="20"/>
      <w:szCs w:val="20"/>
    </w:rPr>
  </w:style>
  <w:style w:type="paragraph" w:styleId="BalloonText">
    <w:name w:val="Balloon Text"/>
    <w:basedOn w:val="Normal"/>
    <w:link w:val="BalloonTextChar"/>
    <w:uiPriority w:val="99"/>
    <w:semiHidden/>
    <w:unhideWhenUsed/>
    <w:rsid w:val="00AB3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FC"/>
    <w:rPr>
      <w:rFonts w:ascii="Segoe UI" w:hAnsi="Segoe UI" w:cs="Segoe UI"/>
      <w:sz w:val="18"/>
      <w:szCs w:val="18"/>
    </w:rPr>
  </w:style>
  <w:style w:type="paragraph" w:styleId="FootnoteText">
    <w:name w:val="footnote text"/>
    <w:basedOn w:val="Normal"/>
    <w:link w:val="FootnoteTextChar"/>
    <w:uiPriority w:val="99"/>
    <w:semiHidden/>
    <w:unhideWhenUsed/>
    <w:rsid w:val="00F006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0647"/>
    <w:rPr>
      <w:sz w:val="20"/>
      <w:szCs w:val="20"/>
    </w:rPr>
  </w:style>
  <w:style w:type="character" w:styleId="FootnoteReference">
    <w:name w:val="footnote reference"/>
    <w:basedOn w:val="DefaultParagraphFont"/>
    <w:uiPriority w:val="99"/>
    <w:semiHidden/>
    <w:unhideWhenUsed/>
    <w:rsid w:val="00F00647"/>
    <w:rPr>
      <w:vertAlign w:val="superscript"/>
    </w:rPr>
  </w:style>
  <w:style w:type="paragraph" w:styleId="ListParagraph">
    <w:name w:val="List Paragraph"/>
    <w:basedOn w:val="Normal"/>
    <w:uiPriority w:val="34"/>
    <w:qFormat/>
    <w:rsid w:val="006514CC"/>
    <w:pPr>
      <w:ind w:left="720"/>
      <w:contextualSpacing/>
    </w:pPr>
  </w:style>
  <w:style w:type="paragraph" w:styleId="CommentSubject">
    <w:name w:val="annotation subject"/>
    <w:basedOn w:val="CommentText"/>
    <w:next w:val="CommentText"/>
    <w:link w:val="CommentSubjectChar"/>
    <w:uiPriority w:val="99"/>
    <w:semiHidden/>
    <w:unhideWhenUsed/>
    <w:rsid w:val="007E2FCA"/>
    <w:rPr>
      <w:b/>
      <w:bCs/>
    </w:rPr>
  </w:style>
  <w:style w:type="character" w:customStyle="1" w:styleId="CommentSubjectChar">
    <w:name w:val="Comment Subject Char"/>
    <w:basedOn w:val="CommentTextChar"/>
    <w:link w:val="CommentSubject"/>
    <w:uiPriority w:val="99"/>
    <w:semiHidden/>
    <w:rsid w:val="007E2FCA"/>
    <w:rPr>
      <w:b/>
      <w:bCs/>
      <w:sz w:val="20"/>
      <w:szCs w:val="20"/>
    </w:rPr>
  </w:style>
  <w:style w:type="character" w:customStyle="1" w:styleId="fontstyle01">
    <w:name w:val="fontstyle01"/>
    <w:basedOn w:val="DefaultParagraphFont"/>
    <w:rsid w:val="00FB04CC"/>
    <w:rPr>
      <w:rFonts w:ascii="TimesTen-Roman" w:hAnsi="TimesTen-Roman" w:hint="default"/>
      <w:b w:val="0"/>
      <w:bCs w:val="0"/>
      <w:i w:val="0"/>
      <w:iCs w:val="0"/>
      <w:color w:val="231F20"/>
      <w:sz w:val="20"/>
      <w:szCs w:val="20"/>
    </w:rPr>
  </w:style>
  <w:style w:type="character" w:styleId="Hyperlink">
    <w:name w:val="Hyperlink"/>
    <w:basedOn w:val="DefaultParagraphFont"/>
    <w:uiPriority w:val="99"/>
    <w:unhideWhenUsed/>
    <w:rsid w:val="009E6FB5"/>
    <w:rPr>
      <w:color w:val="0563C1" w:themeColor="hyperlink"/>
      <w:u w:val="single"/>
    </w:rPr>
  </w:style>
  <w:style w:type="paragraph" w:styleId="Revision">
    <w:name w:val="Revision"/>
    <w:hidden/>
    <w:uiPriority w:val="99"/>
    <w:semiHidden/>
    <w:rsid w:val="00826D7A"/>
    <w:pPr>
      <w:spacing w:after="0" w:line="240" w:lineRule="auto"/>
    </w:pPr>
  </w:style>
  <w:style w:type="character" w:customStyle="1" w:styleId="apple-converted-space">
    <w:name w:val="apple-converted-space"/>
    <w:basedOn w:val="DefaultParagraphFont"/>
    <w:rsid w:val="004F6933"/>
  </w:style>
  <w:style w:type="character" w:customStyle="1" w:styleId="Heading1Char">
    <w:name w:val="Heading 1 Char"/>
    <w:basedOn w:val="DefaultParagraphFont"/>
    <w:link w:val="Heading1"/>
    <w:uiPriority w:val="9"/>
    <w:rsid w:val="003E5AB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E5AB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148738">
      <w:bodyDiv w:val="1"/>
      <w:marLeft w:val="0"/>
      <w:marRight w:val="0"/>
      <w:marTop w:val="0"/>
      <w:marBottom w:val="0"/>
      <w:divBdr>
        <w:top w:val="none" w:sz="0" w:space="0" w:color="auto"/>
        <w:left w:val="none" w:sz="0" w:space="0" w:color="auto"/>
        <w:bottom w:val="none" w:sz="0" w:space="0" w:color="auto"/>
        <w:right w:val="none" w:sz="0" w:space="0" w:color="auto"/>
      </w:divBdr>
    </w:div>
    <w:div w:id="568032603">
      <w:bodyDiv w:val="1"/>
      <w:marLeft w:val="0"/>
      <w:marRight w:val="0"/>
      <w:marTop w:val="0"/>
      <w:marBottom w:val="0"/>
      <w:divBdr>
        <w:top w:val="none" w:sz="0" w:space="0" w:color="auto"/>
        <w:left w:val="none" w:sz="0" w:space="0" w:color="auto"/>
        <w:bottom w:val="none" w:sz="0" w:space="0" w:color="auto"/>
        <w:right w:val="none" w:sz="0" w:space="0" w:color="auto"/>
      </w:divBdr>
    </w:div>
    <w:div w:id="687416609">
      <w:bodyDiv w:val="1"/>
      <w:marLeft w:val="0"/>
      <w:marRight w:val="0"/>
      <w:marTop w:val="0"/>
      <w:marBottom w:val="0"/>
      <w:divBdr>
        <w:top w:val="none" w:sz="0" w:space="0" w:color="auto"/>
        <w:left w:val="none" w:sz="0" w:space="0" w:color="auto"/>
        <w:bottom w:val="none" w:sz="0" w:space="0" w:color="auto"/>
        <w:right w:val="none" w:sz="0" w:space="0" w:color="auto"/>
      </w:divBdr>
    </w:div>
    <w:div w:id="863439159">
      <w:bodyDiv w:val="1"/>
      <w:marLeft w:val="0"/>
      <w:marRight w:val="0"/>
      <w:marTop w:val="0"/>
      <w:marBottom w:val="0"/>
      <w:divBdr>
        <w:top w:val="none" w:sz="0" w:space="0" w:color="auto"/>
        <w:left w:val="none" w:sz="0" w:space="0" w:color="auto"/>
        <w:bottom w:val="none" w:sz="0" w:space="0" w:color="auto"/>
        <w:right w:val="none" w:sz="0" w:space="0" w:color="auto"/>
      </w:divBdr>
    </w:div>
    <w:div w:id="928395303">
      <w:bodyDiv w:val="1"/>
      <w:marLeft w:val="0"/>
      <w:marRight w:val="0"/>
      <w:marTop w:val="0"/>
      <w:marBottom w:val="0"/>
      <w:divBdr>
        <w:top w:val="none" w:sz="0" w:space="0" w:color="auto"/>
        <w:left w:val="none" w:sz="0" w:space="0" w:color="auto"/>
        <w:bottom w:val="none" w:sz="0" w:space="0" w:color="auto"/>
        <w:right w:val="none" w:sz="0" w:space="0" w:color="auto"/>
      </w:divBdr>
    </w:div>
    <w:div w:id="1003241341">
      <w:bodyDiv w:val="1"/>
      <w:marLeft w:val="0"/>
      <w:marRight w:val="0"/>
      <w:marTop w:val="0"/>
      <w:marBottom w:val="0"/>
      <w:divBdr>
        <w:top w:val="none" w:sz="0" w:space="0" w:color="auto"/>
        <w:left w:val="none" w:sz="0" w:space="0" w:color="auto"/>
        <w:bottom w:val="none" w:sz="0" w:space="0" w:color="auto"/>
        <w:right w:val="none" w:sz="0" w:space="0" w:color="auto"/>
      </w:divBdr>
    </w:div>
    <w:div w:id="1018195541">
      <w:bodyDiv w:val="1"/>
      <w:marLeft w:val="0"/>
      <w:marRight w:val="0"/>
      <w:marTop w:val="0"/>
      <w:marBottom w:val="0"/>
      <w:divBdr>
        <w:top w:val="none" w:sz="0" w:space="0" w:color="auto"/>
        <w:left w:val="none" w:sz="0" w:space="0" w:color="auto"/>
        <w:bottom w:val="none" w:sz="0" w:space="0" w:color="auto"/>
        <w:right w:val="none" w:sz="0" w:space="0" w:color="auto"/>
      </w:divBdr>
    </w:div>
    <w:div w:id="1502039117">
      <w:bodyDiv w:val="1"/>
      <w:marLeft w:val="0"/>
      <w:marRight w:val="0"/>
      <w:marTop w:val="0"/>
      <w:marBottom w:val="0"/>
      <w:divBdr>
        <w:top w:val="none" w:sz="0" w:space="0" w:color="auto"/>
        <w:left w:val="none" w:sz="0" w:space="0" w:color="auto"/>
        <w:bottom w:val="none" w:sz="0" w:space="0" w:color="auto"/>
        <w:right w:val="none" w:sz="0" w:space="0" w:color="auto"/>
      </w:divBdr>
    </w:div>
    <w:div w:id="1601260939">
      <w:bodyDiv w:val="1"/>
      <w:marLeft w:val="0"/>
      <w:marRight w:val="0"/>
      <w:marTop w:val="0"/>
      <w:marBottom w:val="0"/>
      <w:divBdr>
        <w:top w:val="none" w:sz="0" w:space="0" w:color="auto"/>
        <w:left w:val="none" w:sz="0" w:space="0" w:color="auto"/>
        <w:bottom w:val="none" w:sz="0" w:space="0" w:color="auto"/>
        <w:right w:val="none" w:sz="0" w:space="0" w:color="auto"/>
      </w:divBdr>
    </w:div>
    <w:div w:id="1650938364">
      <w:bodyDiv w:val="1"/>
      <w:marLeft w:val="0"/>
      <w:marRight w:val="0"/>
      <w:marTop w:val="0"/>
      <w:marBottom w:val="0"/>
      <w:divBdr>
        <w:top w:val="none" w:sz="0" w:space="0" w:color="auto"/>
        <w:left w:val="none" w:sz="0" w:space="0" w:color="auto"/>
        <w:bottom w:val="none" w:sz="0" w:space="0" w:color="auto"/>
        <w:right w:val="none" w:sz="0" w:space="0" w:color="auto"/>
      </w:divBdr>
    </w:div>
    <w:div w:id="1699816532">
      <w:bodyDiv w:val="1"/>
      <w:marLeft w:val="0"/>
      <w:marRight w:val="0"/>
      <w:marTop w:val="0"/>
      <w:marBottom w:val="0"/>
      <w:divBdr>
        <w:top w:val="none" w:sz="0" w:space="0" w:color="auto"/>
        <w:left w:val="none" w:sz="0" w:space="0" w:color="auto"/>
        <w:bottom w:val="none" w:sz="0" w:space="0" w:color="auto"/>
        <w:right w:val="none" w:sz="0" w:space="0" w:color="auto"/>
      </w:divBdr>
    </w:div>
    <w:div w:id="20030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ivan.grahek@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02813-3961-4338-A345-D67C2557F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14</Pages>
  <Words>7498</Words>
  <Characters>42744</Characters>
  <Application>Microsoft Office Word</Application>
  <DocSecurity>0</DocSecurity>
  <Lines>356</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50142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Ivan Grahek</cp:lastModifiedBy>
  <cp:revision>15</cp:revision>
  <cp:lastPrinted>2017-06-14T15:36:00Z</cp:lastPrinted>
  <dcterms:created xsi:type="dcterms:W3CDTF">2018-03-19T10:13:00Z</dcterms:created>
  <dcterms:modified xsi:type="dcterms:W3CDTF">2018-04-25T11:50:00Z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1265218d-f9fd-3b9a-bab8-a2f13eaecf70</vt:lpwstr>
  </property>
  <property fmtid="{D5CDD505-2E9C-101B-9397-08002B2CF9AE}" pid="4" name="Mendeley Citation Style_1">
    <vt:lpwstr>http://www.zotero.org/styles/neuroscience-and-biobehavioral-reviews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http://www.zotero.org/styles/clinical-psychology-review</vt:lpwstr>
  </property>
  <property fmtid="{D5CDD505-2E9C-101B-9397-08002B2CF9AE}" pid="14" name="Mendeley Recent Style Name 4_1">
    <vt:lpwstr>Clinical Psychology Review</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http://www.zotero.org/styles/neuroscience-and-biobehavioral-reviews</vt:lpwstr>
  </property>
  <property fmtid="{D5CDD505-2E9C-101B-9397-08002B2CF9AE}" pid="24" name="Mendeley Recent Style Name 9_1">
    <vt:lpwstr>Neuroscience and Biobehavioral Reviews</vt:lpwstr>
  </property>
</Properties>
</file>