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b/>
        </w:rPr>
      </w:pPr>
    </w:p>
    <w:p w14:paraId="6C56992E" w14:textId="77777777" w:rsidR="009C1769" w:rsidRDefault="009C1769" w:rsidP="00B16292">
      <w:pPr>
        <w:spacing w:line="480" w:lineRule="auto"/>
        <w:jc w:val="center"/>
        <w:rPr>
          <w:b/>
        </w:rPr>
      </w:pPr>
    </w:p>
    <w:p w14:paraId="513F5AAB" w14:textId="77777777" w:rsidR="009C1769" w:rsidRDefault="009C1769" w:rsidP="00B16292">
      <w:pPr>
        <w:spacing w:line="480" w:lineRule="auto"/>
        <w:jc w:val="center"/>
        <w:rPr>
          <w:b/>
        </w:rPr>
      </w:pPr>
    </w:p>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4F3934" w:rsidRDefault="005F3ABC" w:rsidP="005F3ABC">
      <w:pPr>
        <w:spacing w:line="480" w:lineRule="auto"/>
        <w:jc w:val="center"/>
      </w:pPr>
      <w:r w:rsidRPr="00463B46">
        <w:rPr>
          <w:highlight w:val="yellow"/>
        </w:rPr>
        <w:t>Working title:</w:t>
      </w:r>
      <w:r>
        <w:t xml:space="preserve"> </w:t>
      </w:r>
      <w:r w:rsidR="00234B2A">
        <w:t>Feature-based Attention and Reward: Insights from Steady-state Visually Evoked P</w:t>
      </w:r>
      <w:r w:rsidR="0047282E">
        <w:t>otentials</w:t>
      </w:r>
    </w:p>
    <w:p w14:paraId="455F6015" w14:textId="77777777" w:rsidR="00234B2A" w:rsidRDefault="00234B2A" w:rsidP="005F3ABC">
      <w:pPr>
        <w:spacing w:line="480" w:lineRule="auto"/>
        <w:jc w:val="center"/>
      </w:pPr>
    </w:p>
    <w:p w14:paraId="18625D64" w14:textId="240094F6" w:rsidR="005F3ABC" w:rsidRPr="00014B1F" w:rsidRDefault="005F3ABC" w:rsidP="005F3ABC">
      <w:pPr>
        <w:spacing w:line="480" w:lineRule="auto"/>
        <w:jc w:val="center"/>
        <w:rPr>
          <w:vertAlign w:val="superscript"/>
          <w:lang w:val="nl-BE"/>
        </w:rPr>
      </w:pPr>
      <w:r w:rsidRPr="00014B1F">
        <w:rPr>
          <w:lang w:val="nl-BE"/>
        </w:rPr>
        <w:t>Ivan Grahek</w:t>
      </w:r>
      <w:r w:rsidR="0047282E" w:rsidRPr="00014B1F">
        <w:rPr>
          <w:vertAlign w:val="superscript"/>
          <w:lang w:val="nl-BE"/>
        </w:rPr>
        <w:t>1+*</w:t>
      </w:r>
      <w:r w:rsidR="0047282E" w:rsidRPr="00014B1F">
        <w:rPr>
          <w:lang w:val="nl-BE"/>
        </w:rPr>
        <w:t>, Antonio Schettino</w:t>
      </w:r>
      <w:r w:rsidR="0047282E" w:rsidRPr="00014B1F">
        <w:rPr>
          <w:vertAlign w:val="superscript"/>
          <w:lang w:val="nl-BE"/>
        </w:rPr>
        <w:t>1+</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 xml:space="preserve">, &amp; </w:t>
      </w:r>
      <w:proofErr w:type="spellStart"/>
      <w:r w:rsidR="0047282E" w:rsidRPr="00014B1F">
        <w:rPr>
          <w:lang w:val="nl-BE"/>
        </w:rPr>
        <w:t>Søren</w:t>
      </w:r>
      <w:proofErr w:type="spellEnd"/>
      <w:r w:rsidR="0047282E" w:rsidRPr="00014B1F">
        <w:rPr>
          <w:lang w:val="nl-BE"/>
        </w:rPr>
        <w:t xml:space="preserve"> K. Andersen</w:t>
      </w:r>
      <w:r w:rsidR="0047282E" w:rsidRPr="00014B1F">
        <w:rPr>
          <w:vertAlign w:val="superscript"/>
          <w:lang w:val="nl-BE"/>
        </w:rPr>
        <w:t>2</w:t>
      </w:r>
    </w:p>
    <w:p w14:paraId="10A59581" w14:textId="77777777" w:rsidR="005F3ABC" w:rsidRPr="00014B1F" w:rsidRDefault="005F3ABC" w:rsidP="005F3ABC">
      <w:pPr>
        <w:spacing w:after="0" w:line="480" w:lineRule="auto"/>
        <w:jc w:val="center"/>
        <w:rPr>
          <w:vertAlign w:val="superscript"/>
          <w:lang w:val="nl-BE"/>
        </w:rPr>
      </w:pPr>
    </w:p>
    <w:p w14:paraId="3B6536FA" w14:textId="77777777"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18BF8549" w14:textId="737213F1" w:rsidR="005F3ABC" w:rsidRPr="009508C9" w:rsidRDefault="009508C9" w:rsidP="009508C9">
      <w:pPr>
        <w:pStyle w:val="ListParagraph"/>
        <w:numPr>
          <w:ilvl w:val="0"/>
          <w:numId w:val="23"/>
        </w:numPr>
        <w:spacing w:after="0" w:line="480" w:lineRule="auto"/>
        <w:rPr>
          <w:i/>
        </w:rPr>
      </w:pPr>
      <w:r w:rsidRPr="009508C9">
        <w:rPr>
          <w:i/>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b/>
        </w:rPr>
      </w:pPr>
    </w:p>
    <w:p w14:paraId="793E5DDA" w14:textId="77777777" w:rsidR="00AB4F3E" w:rsidRDefault="00AB4F3E"/>
    <w:p w14:paraId="7A73ED13" w14:textId="77777777" w:rsidR="009508C9" w:rsidRDefault="009508C9"/>
    <w:p w14:paraId="4C5ADABA" w14:textId="77777777" w:rsidR="009508C9" w:rsidRDefault="009508C9"/>
    <w:p w14:paraId="76F5E0BD" w14:textId="77777777" w:rsidR="00234B2A" w:rsidRDefault="00234B2A"/>
    <w:p w14:paraId="51BBAE11" w14:textId="77777777" w:rsidR="00234B2A" w:rsidRDefault="00234B2A"/>
    <w:p w14:paraId="5485EFE7" w14:textId="77777777" w:rsidR="009508C9" w:rsidRDefault="009508C9">
      <w:pPr>
        <w:rPr>
          <w:b/>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A733BB">
      <w:pPr>
        <w:spacing w:line="480" w:lineRule="auto"/>
        <w:jc w:val="both"/>
      </w:pPr>
      <w:r>
        <w:tab/>
      </w:r>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 xml:space="preserve">. </w:t>
      </w:r>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7777777" w:rsidR="006D4521" w:rsidRDefault="006D4521" w:rsidP="00EC4518">
      <w:pPr>
        <w:spacing w:line="360" w:lineRule="auto"/>
        <w:jc w:val="center"/>
        <w:rPr>
          <w:b/>
        </w:rPr>
      </w:pPr>
    </w:p>
    <w:p w14:paraId="78FCD169" w14:textId="4A7F2141" w:rsidR="009508C9" w:rsidRDefault="009508C9" w:rsidP="003E5AB6">
      <w:pPr>
        <w:pStyle w:val="Heading1"/>
        <w:spacing w:before="0"/>
      </w:pPr>
      <w:r>
        <w:t>Methods</w:t>
      </w:r>
    </w:p>
    <w:p w14:paraId="3EA709CE" w14:textId="6834F536" w:rsidR="00F17649" w:rsidRDefault="00146705" w:rsidP="003E5AB6">
      <w:pPr>
        <w:pStyle w:val="Heading2"/>
      </w:pPr>
      <w:r>
        <w:t>Participants</w:t>
      </w:r>
    </w:p>
    <w:p w14:paraId="301E968B" w14:textId="77777777" w:rsidR="007D5FCE" w:rsidRDefault="007D5FCE" w:rsidP="007D5FCE"/>
    <w:p w14:paraId="2D72950A" w14:textId="6259691D" w:rsidR="00251771" w:rsidRPr="00251771" w:rsidRDefault="00251771" w:rsidP="008141DE">
      <w:pPr>
        <w:spacing w:line="480" w:lineRule="auto"/>
      </w:pPr>
      <w:r>
        <w:t xml:space="preserve">We have tested </w:t>
      </w:r>
      <w:r w:rsidR="008A3C86">
        <w:t>48 participants</w:t>
      </w:r>
      <w:r w:rsidR="008141DE">
        <w:t xml:space="preserve"> </w:t>
      </w:r>
      <w:r w:rsidR="008A3C86">
        <w:t xml:space="preserve">with normal or corrected-to-normal vision and no history of neurological diseases. </w:t>
      </w:r>
      <w:r w:rsidR="00796C11">
        <w:t>Due to technical problems (4) or artifacts (4) in the EEG recordings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 xml:space="preserve">The study was approved by the ethics committee of Ghent University. </w:t>
      </w:r>
      <w:r w:rsidR="00321CA8">
        <w:t xml:space="preserve"> </w:t>
      </w:r>
    </w:p>
    <w:p w14:paraId="481B9F2F" w14:textId="2271B308" w:rsidR="006D4521" w:rsidRDefault="00F17649" w:rsidP="003E5AB6">
      <w:pPr>
        <w:pStyle w:val="Heading2"/>
      </w:pPr>
      <w:r>
        <w:lastRenderedPageBreak/>
        <w:t xml:space="preserve">Stimuli </w:t>
      </w:r>
      <w:r w:rsidR="006449E2">
        <w:t>and task</w:t>
      </w:r>
    </w:p>
    <w:p w14:paraId="7EEE0A4D" w14:textId="1ABAB413" w:rsidR="006449E2" w:rsidRDefault="006449E2" w:rsidP="006449E2"/>
    <w:p w14:paraId="30A66630" w14:textId="1E4FE8A7" w:rsidR="004D501F" w:rsidRDefault="006449E2" w:rsidP="008D6BE0">
      <w:pPr>
        <w:spacing w:line="480" w:lineRule="auto"/>
        <w:ind w:firstLine="720"/>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8D6BE0">
      <w:pPr>
        <w:spacing w:line="480" w:lineRule="auto"/>
        <w:ind w:firstLine="720"/>
      </w:pPr>
      <w:r>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lastRenderedPageBreak/>
        <w:t>(</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3C293E8" w:rsidR="00146705" w:rsidRDefault="004F6F4C" w:rsidP="00146705">
      <w:pPr>
        <w:pStyle w:val="Heading2"/>
      </w:pPr>
      <w:r>
        <w:t>Preprocessing of the behavioral data</w:t>
      </w:r>
    </w:p>
    <w:p w14:paraId="3D77DC3D" w14:textId="77777777" w:rsidR="004F6F4C" w:rsidRDefault="004F6F4C" w:rsidP="004F6F4C"/>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77777777" w:rsidR="00BA0ADE" w:rsidRDefault="00BA0ADE" w:rsidP="00BA0ADE">
      <w:pPr>
        <w:pStyle w:val="Heading2"/>
      </w:pPr>
      <w:r>
        <w:t>EEG recording and preprocessing</w:t>
      </w:r>
    </w:p>
    <w:p w14:paraId="1D5BA849" w14:textId="77777777" w:rsidR="00BA0ADE" w:rsidRPr="00BA0ADE" w:rsidRDefault="00BA0ADE" w:rsidP="00BA0ADE"/>
    <w:p w14:paraId="1EFE6D41" w14:textId="77777777" w:rsidR="004F6F4C" w:rsidRDefault="004F6F4C" w:rsidP="004F6F4C">
      <w:r w:rsidRPr="00BA0ADE">
        <w:rPr>
          <w:highlight w:val="yellow"/>
        </w:rPr>
        <w:t>Antonio</w:t>
      </w:r>
    </w:p>
    <w:p w14:paraId="10D01D99" w14:textId="16633955" w:rsidR="004F6F4C" w:rsidRDefault="004F6F4C" w:rsidP="004F6F4C">
      <w:pPr>
        <w:pStyle w:val="Heading2"/>
      </w:pPr>
      <w:r>
        <w:t>Statistical analyses</w:t>
      </w:r>
    </w:p>
    <w:p w14:paraId="5746E42D" w14:textId="38E46D88" w:rsidR="008A3C86" w:rsidRDefault="008A3C86" w:rsidP="008A3C86"/>
    <w:p w14:paraId="71C7E87A" w14:textId="0D09BE2A" w:rsidR="00A55975" w:rsidRPr="00D03DBF" w:rsidRDefault="001512DB" w:rsidP="007A318B">
      <w:pPr>
        <w:spacing w:line="480" w:lineRule="auto"/>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bookmarkStart w:id="0" w:name="_GoBack"/>
      <w:bookmarkEnd w:id="0"/>
      <w:r w:rsidR="00313C20">
        <w:t xml:space="preserve"> of interest was examined. </w:t>
      </w:r>
    </w:p>
    <w:p w14:paraId="15FA9DA9" w14:textId="73BF6E23" w:rsidR="009508C9" w:rsidRDefault="009508C9" w:rsidP="003E5AB6">
      <w:pPr>
        <w:pStyle w:val="Heading1"/>
        <w:spacing w:before="0"/>
      </w:pPr>
      <w:r>
        <w:t>Results</w:t>
      </w:r>
    </w:p>
    <w:p w14:paraId="11F11DC4" w14:textId="77777777" w:rsidR="00BE710C" w:rsidRPr="00BE710C" w:rsidRDefault="00BE710C" w:rsidP="00BE710C"/>
    <w:p w14:paraId="3B5595AE" w14:textId="0A34ACD7" w:rsidR="008C4B5F" w:rsidRDefault="008C4B5F" w:rsidP="00BE710C">
      <w:pPr>
        <w:pStyle w:val="Heading2"/>
      </w:pPr>
      <w:r>
        <w:t>Behavioral results</w:t>
      </w:r>
    </w:p>
    <w:p w14:paraId="09C056F5" w14:textId="5830DE7E" w:rsidR="00B5232F" w:rsidRDefault="00B5232F" w:rsidP="00B5232F"/>
    <w:p w14:paraId="3DE4EF01" w14:textId="0C779CD0" w:rsidR="00AF1D01" w:rsidRDefault="00AA56D6" w:rsidP="00B5232F">
      <w:pPr>
        <w:spacing w:line="480" w:lineRule="auto"/>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w:t>
      </w:r>
      <w:r w:rsidR="00AF1D01">
        <w:lastRenderedPageBreak/>
        <w:t xml:space="preserve">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8C4B5F">
      <w:pPr>
        <w:pStyle w:val="Heading2"/>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77777777" w:rsidR="006F3879" w:rsidRDefault="006F3879" w:rsidP="006F3879">
      <w:pPr>
        <w:pStyle w:val="ListParagraph"/>
        <w:numPr>
          <w:ilvl w:val="0"/>
          <w:numId w:val="38"/>
        </w:numPr>
      </w:pPr>
      <w:r>
        <w:t>Model comparison</w:t>
      </w:r>
    </w:p>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8C4B5F">
      <w:pPr>
        <w:pStyle w:val="Heading2"/>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2D16D9E4" w:rsidR="008E5598" w:rsidRDefault="008E5598" w:rsidP="008E5598">
      <w:pPr>
        <w:pStyle w:val="ListParagraph"/>
        <w:numPr>
          <w:ilvl w:val="0"/>
          <w:numId w:val="38"/>
        </w:numPr>
      </w:pPr>
      <w:r>
        <w:t>Model comparison</w:t>
      </w:r>
    </w:p>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E710C">
      <w:pPr>
        <w:pStyle w:val="Heading2"/>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52D872D0" w14:textId="77777777" w:rsidR="006F3879" w:rsidRDefault="006F3879" w:rsidP="006F3879">
      <w:pPr>
        <w:pStyle w:val="ListParagraph"/>
        <w:numPr>
          <w:ilvl w:val="0"/>
          <w:numId w:val="39"/>
        </w:numPr>
      </w:pPr>
      <w:r>
        <w:t>Model comparison</w:t>
      </w:r>
    </w:p>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lastRenderedPageBreak/>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77777777" w:rsidR="00BE710C" w:rsidRPr="00BE710C" w:rsidRDefault="00BE710C" w:rsidP="00BE710C"/>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i/>
        </w:rPr>
      </w:pPr>
      <w:r>
        <w:rPr>
          <w:i/>
        </w:rPr>
        <w:t>1500 word limit including citations</w:t>
      </w:r>
    </w:p>
    <w:p w14:paraId="3815A2B2" w14:textId="212695AB" w:rsidR="00BE2DD8" w:rsidRDefault="00BE2DD8" w:rsidP="00BE2DD8">
      <w:pPr>
        <w:spacing w:line="480" w:lineRule="auto"/>
        <w:jc w:val="both"/>
      </w:pPr>
      <w:r>
        <w:tab/>
      </w:r>
      <w:r w:rsidR="007B104B">
        <w:t xml:space="preserve"> </w:t>
      </w:r>
    </w:p>
    <w:p w14:paraId="310F606E" w14:textId="1749C8C4" w:rsidR="00FB0502" w:rsidRDefault="00FB0502" w:rsidP="003E5AB6">
      <w:pPr>
        <w:pStyle w:val="Heading1"/>
        <w:spacing w:before="0"/>
      </w:pPr>
      <w:r>
        <w:t>Acknowledgements</w:t>
      </w:r>
    </w:p>
    <w:p w14:paraId="04A7C82B" w14:textId="77777777" w:rsidR="00BE710C" w:rsidRPr="00BE710C" w:rsidRDefault="00BE710C" w:rsidP="00BE710C"/>
    <w:p w14:paraId="35F326AA" w14:textId="60D80FC3" w:rsidR="00FB0502" w:rsidRDefault="001B37E8" w:rsidP="00FB4E7B">
      <w:pPr>
        <w:spacing w:after="0" w:line="480" w:lineRule="auto"/>
        <w:jc w:val="both"/>
      </w:pPr>
      <w:r>
        <w:t xml:space="preserve">This </w:t>
      </w:r>
      <w:r w:rsidR="0013661A">
        <w:t>work</w:t>
      </w:r>
      <w:r>
        <w:t xml:space="preserve"> was supported by the Special Research Fund (BOF) of Ghent University </w:t>
      </w:r>
      <w:r w:rsidR="0013661A">
        <w:t>[grant number 01D02415 awarded to IG]</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0D10C4">
        <w:t xml:space="preserve"> </w:t>
      </w:r>
      <w:r w:rsidR="000B4D3A" w:rsidRPr="000B4D3A">
        <w:rPr>
          <w:highlight w:val="yellow"/>
        </w:rPr>
        <w:t xml:space="preserve">Add funding for </w:t>
      </w:r>
      <w:r w:rsidR="009508C9">
        <w:rPr>
          <w:highlight w:val="yellow"/>
        </w:rPr>
        <w:t xml:space="preserve">Antonio,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p>
    <w:p w14:paraId="4C1F2545" w14:textId="731323C0" w:rsidR="00D32A67" w:rsidRDefault="007F7776" w:rsidP="003E5AB6">
      <w:pPr>
        <w:pStyle w:val="Heading1"/>
        <w:spacing w:before="0"/>
        <w:rPr>
          <w:lang w:val="de-DE"/>
        </w:rPr>
      </w:pPr>
      <w:r w:rsidRPr="007E7285">
        <w:rPr>
          <w:lang w:val="de-DE"/>
        </w:rPr>
        <w:t>References</w:t>
      </w:r>
    </w:p>
    <w:p w14:paraId="404F76E2" w14:textId="77777777" w:rsidR="00BE710C" w:rsidRPr="00BE710C" w:rsidRDefault="00BE710C" w:rsidP="00BE710C">
      <w:pPr>
        <w:rPr>
          <w:lang w:val="de-DE"/>
        </w:rPr>
      </w:pP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5232F">
        <w:rPr>
          <w:b/>
        </w:rPr>
        <w:instrText xml:space="preserve">ADDIN Mendeley Bibliography CSL_BIBLIOGRAPHY </w:instrText>
      </w:r>
      <w:r>
        <w:rPr>
          <w:b/>
        </w:rPr>
        <w:fldChar w:fldCharType="separate"/>
      </w:r>
      <w:r w:rsidR="00B1021D" w:rsidRPr="00B1021D">
        <w:rPr>
          <w:noProof/>
          <w:szCs w:val="24"/>
        </w:rPr>
        <w:t xml:space="preserve">Andersen, S. K., &amp; Müller, M. M. (2010). 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 xml:space="preserve">(38), 14250–14254. </w:t>
      </w:r>
      <w:r w:rsidRPr="00B1021D">
        <w:rPr>
          <w:noProof/>
          <w:szCs w:val="24"/>
        </w:rPr>
        <w:lastRenderedPageBreak/>
        <w:t>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[The Dutch version of the Beck depression 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EC7E9" w14:textId="77777777" w:rsidR="004A249E" w:rsidRDefault="004A249E" w:rsidP="00AD5698">
      <w:pPr>
        <w:spacing w:after="0" w:line="240" w:lineRule="auto"/>
      </w:pPr>
      <w:r>
        <w:separator/>
      </w:r>
    </w:p>
  </w:endnote>
  <w:endnote w:type="continuationSeparator" w:id="0">
    <w:p w14:paraId="359BC010" w14:textId="77777777" w:rsidR="004A249E" w:rsidRDefault="004A249E"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pPr>
    <w:r>
      <w:t xml:space="preserve">+ The first two authors equally contributed to the study.  </w:t>
    </w:r>
  </w:p>
  <w:p w14:paraId="4B769C76" w14:textId="298ABCF6" w:rsidR="008C17C2" w:rsidRDefault="008C17C2"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rsidR="0047282E">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72EDA" w14:textId="77777777" w:rsidR="004A249E" w:rsidRDefault="004A249E" w:rsidP="00AD5698">
      <w:pPr>
        <w:spacing w:after="0" w:line="240" w:lineRule="auto"/>
      </w:pPr>
      <w:r>
        <w:separator/>
      </w:r>
    </w:p>
  </w:footnote>
  <w:footnote w:type="continuationSeparator" w:id="0">
    <w:p w14:paraId="7E22F96C" w14:textId="77777777" w:rsidR="004A249E" w:rsidRDefault="004A249E"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5264B24F" w:rsidR="008C17C2" w:rsidRDefault="0047282E">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szCs w:val="24"/>
          </w:rPr>
          <w:fldChar w:fldCharType="begin"/>
        </w:r>
        <w:r w:rsidR="008C17C2" w:rsidRPr="00271CF9">
          <w:rPr>
            <w:szCs w:val="24"/>
          </w:rPr>
          <w:instrText xml:space="preserve"> PAGE   \* MERGEFORMAT </w:instrText>
        </w:r>
        <w:r w:rsidR="008C17C2" w:rsidRPr="00271CF9">
          <w:rPr>
            <w:szCs w:val="24"/>
          </w:rPr>
          <w:fldChar w:fldCharType="separate"/>
        </w:r>
        <w:r w:rsidR="0083578A">
          <w:rPr>
            <w:noProof/>
            <w:szCs w:val="24"/>
          </w:rPr>
          <w:t>14</w:t>
        </w:r>
        <w:r w:rsidR="008C17C2"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szCs w:val="24"/>
      </w:rPr>
      <w:t xml:space="preserve">Running head: </w:t>
    </w:r>
    <w:r w:rsidR="0047282E">
      <w:rPr>
        <w:szCs w:val="24"/>
      </w:rPr>
      <w:t>FEATURE-BASED ATTENTION AND REWARD</w:t>
    </w:r>
    <w:r>
      <w:rPr>
        <w:szCs w:val="24"/>
      </w:rPr>
      <w:t xml:space="preserve">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B1B34"/>
    <w:rsid w:val="000B20DC"/>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58F"/>
    <w:rsid w:val="007A57CF"/>
    <w:rsid w:val="007A5DA5"/>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37F"/>
    <w:rsid w:val="00A35ABE"/>
    <w:rsid w:val="00A37165"/>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D2946-4CDC-41DD-94AF-F3CBE2A3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18</Pages>
  <Words>9667</Words>
  <Characters>55102</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68</cp:revision>
  <cp:lastPrinted>2017-06-14T15:36:00Z</cp:lastPrinted>
  <dcterms:created xsi:type="dcterms:W3CDTF">2018-03-19T10:13:00Z</dcterms:created>
  <dcterms:modified xsi:type="dcterms:W3CDTF">2018-07-13T15:05:00Z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