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0"/>
        <w:jc w:val="center"/>
      </w:pPr>
      <w:r>
        <w:rPr>
          <w:rFonts w:ascii="Traditional Arabic" w:hAnsi="Traditional Arabic" w:cs="Traditional Arabic" w:eastAsia="Traditional Arabic"/>
          <w:b/>
          <w:sz w:val="36"/>
          <w:rtl w:val="1"/>
          <w:szCs w:val="36"/>
          <w:bCs/>
        </w:rPr>
        <w:t>الفصل السادس: المسؤولية الخلقية للعالِم</w:t>
      </w:r>
    </w:p>
    <w:p>
      <w:pPr>
        <w:bidi w:val="1"/>
        <w:spacing w:after="160"/>
        <w:jc w:val="center"/>
      </w:pPr>
      <w:r>
        <w:rPr>
          <w:rFonts w:ascii="Traditional Arabic" w:hAnsi="Traditional Arabic" w:cs="Traditional Arabic" w:eastAsia="Traditional Arabic"/>
          <w:color w:val="555555"/>
          <w:sz w:val="26"/>
          <w:rtl w:val="1"/>
          <w:szCs w:val="26"/>
        </w:rPr>
        <w:t>كارل بوبر – أسطورة الإطار</w:t>
      </w:r>
    </w:p>
    <w:p>
      <w:pPr>
        <w:bidi w:val="1"/>
        <w:spacing w:after="60" w:line="240" w:lineRule="auto"/>
        <w:jc w:val="both"/>
      </w:pPr>
      <w:r>
        <w:rPr>
          <w:rFonts w:ascii="Traditional Arabic" w:hAnsi="Traditional Arabic" w:cs="Traditional Arabic" w:eastAsia="Traditional Arabic"/>
          <w:b/>
          <w:sz w:val="28"/>
          <w:rtl w:val="1"/>
          <w:szCs w:val="28"/>
          <w:bCs/>
        </w:rPr>
        <w:t xml:space="preserve">مدخل: </w:t>
      </w:r>
      <w:r>
        <w:rPr>
          <w:rFonts w:ascii="Traditional Arabic" w:hAnsi="Traditional Arabic" w:cs="Traditional Arabic" w:eastAsia="Traditional Arabic"/>
          <w:sz w:val="28"/>
          <w:rtl w:val="1"/>
          <w:szCs w:val="28"/>
        </w:rPr>
        <w:t xml:space="preserve">الموضوع لم يكن من اختيار بوبر، ولا يدّعي امتلاك حلول له، لكنه قبل الحديث لأن المسؤولية الخلقية للعالِم «قارب نركبه جميعاً» بدرجات متفاوتة. والعنوان تعبير مهذّب عن الحرب النووية والبيولوجية، لكنه سيوسّع النظر أبعد منها. </w:t>
      </w:r>
      <w:r>
        <w:rPr>
          <w:rFonts w:ascii="Traditional Arabic" w:hAnsi="Traditional Arabic" w:cs="Traditional Arabic" w:eastAsia="Traditional Arabic"/>
          <w:color w:val="1F5F8B"/>
          <w:sz w:val="28"/>
          <w:rtl w:val="1"/>
          <w:szCs w:val="28"/>
        </w:rPr>
        <w:t>(يعني: ما عندي الحل، بس المسؤولية على الكل)</w:t>
      </w:r>
    </w:p>
    <w:p>
      <w:pPr>
        <w:bidi w:val="1"/>
        <w:spacing w:after="60" w:line="240" w:lineRule="auto"/>
        <w:jc w:val="both"/>
      </w:pPr>
      <w:r>
        <w:rPr>
          <w:rFonts w:ascii="Traditional Arabic" w:hAnsi="Traditional Arabic" w:cs="Traditional Arabic" w:eastAsia="Traditional Arabic"/>
          <w:b/>
          <w:sz w:val="28"/>
          <w:rtl w:val="1"/>
          <w:szCs w:val="28"/>
          <w:bCs/>
        </w:rPr>
        <w:t xml:space="preserve">من العلم البحت إلى التطبيقي: </w:t>
      </w:r>
      <w:r>
        <w:rPr>
          <w:rFonts w:ascii="Traditional Arabic" w:hAnsi="Traditional Arabic" w:cs="Traditional Arabic" w:eastAsia="Traditional Arabic"/>
          <w:sz w:val="28"/>
          <w:rtl w:val="1"/>
          <w:szCs w:val="28"/>
        </w:rPr>
        <w:t xml:space="preserve">كان العالِم البحت مسؤولاً فقط عن البحث عن الحقيقة؛ فماكسويل وهيرتز لم يتخيلا تطبيق معادلاتهما. أما اليوم فكل علم بحت يمكن أن يصبح تطبيقياً، فصارت المسؤولية مسألة الجميع. </w:t>
      </w:r>
      <w:r>
        <w:rPr>
          <w:rFonts w:ascii="Traditional Arabic" w:hAnsi="Traditional Arabic" w:cs="Traditional Arabic" w:eastAsia="Traditional Arabic"/>
          <w:color w:val="1F5F8B"/>
          <w:sz w:val="28"/>
          <w:rtl w:val="1"/>
          <w:szCs w:val="28"/>
        </w:rPr>
        <w:t>(الزمن اللي العالِم يبحث وبس انتهى)</w:t>
      </w:r>
    </w:p>
    <w:p>
      <w:pPr>
        <w:bidi w:val="1"/>
        <w:spacing w:after="60" w:line="240" w:lineRule="auto"/>
        <w:jc w:val="both"/>
      </w:pPr>
      <w:r>
        <w:rPr>
          <w:rFonts w:ascii="Traditional Arabic" w:hAnsi="Traditional Arabic" w:cs="Traditional Arabic" w:eastAsia="Traditional Arabic"/>
          <w:b/>
          <w:sz w:val="28"/>
          <w:rtl w:val="1"/>
          <w:szCs w:val="28"/>
          <w:bCs/>
        </w:rPr>
        <w:t xml:space="preserve">قسم أبقراط وصيغته الحديثة: </w:t>
      </w:r>
      <w:r>
        <w:rPr>
          <w:rFonts w:ascii="Traditional Arabic" w:hAnsi="Traditional Arabic" w:cs="Traditional Arabic" w:eastAsia="Traditional Arabic"/>
          <w:sz w:val="28"/>
          <w:rtl w:val="1"/>
          <w:szCs w:val="28"/>
        </w:rPr>
        <w:t>قسم أبقراط موجَّه أصلاً للمبتدئ: التزام نحو المعلم، وصون تقاليد الصنعة وحرمة الحياة، وعون المريض وحفظ سرّه. ويقترح بوبر أن نصوغ مع طلابنا – لا أن نفرض عليهم – قسماً حديثاً يقوم على ثلاث أفكار:</w:t>
      </w:r>
    </w:p>
    <w:p>
      <w:pPr>
        <w:bidi w:val="1"/>
        <w:spacing w:after="60" w:line="240" w:lineRule="auto"/>
        <w:ind w:right="340"/>
        <w:jc w:val="both"/>
      </w:pPr>
      <w:r>
        <w:rPr>
          <w:rFonts w:ascii="Traditional Arabic" w:hAnsi="Traditional Arabic" w:cs="Traditional Arabic" w:eastAsia="Traditional Arabic"/>
          <w:b/>
          <w:sz w:val="28"/>
          <w:rtl w:val="1"/>
          <w:szCs w:val="28"/>
          <w:bCs/>
        </w:rPr>
        <w:t xml:space="preserve">١. المسؤولية المهنية: </w:t>
      </w:r>
      <w:r>
        <w:rPr>
          <w:rFonts w:ascii="Traditional Arabic" w:hAnsi="Traditional Arabic" w:cs="Traditional Arabic" w:eastAsia="Traditional Arabic"/>
          <w:sz w:val="28"/>
          <w:rtl w:val="1"/>
          <w:szCs w:val="28"/>
        </w:rPr>
        <w:t>تنمية المعرفة سعياً وراء الحقيقة، مع إدراك أن الجميع معرّض للخطأ، فنأخذ أخطاءنا بجدّية ونتذكر تناهي معرفتنا ولا تناهي جهلنا.</w:t>
      </w:r>
    </w:p>
    <w:p>
      <w:pPr>
        <w:bidi w:val="1"/>
        <w:spacing w:after="60" w:line="240" w:lineRule="auto"/>
        <w:ind w:right="340"/>
        <w:jc w:val="both"/>
      </w:pPr>
      <w:r>
        <w:rPr>
          <w:rFonts w:ascii="Traditional Arabic" w:hAnsi="Traditional Arabic" w:cs="Traditional Arabic" w:eastAsia="Traditional Arabic"/>
          <w:b/>
          <w:sz w:val="28"/>
          <w:rtl w:val="1"/>
          <w:szCs w:val="28"/>
          <w:bCs/>
        </w:rPr>
        <w:t xml:space="preserve">٢. الطالب: </w:t>
      </w:r>
      <w:r>
        <w:rPr>
          <w:rFonts w:ascii="Traditional Arabic" w:hAnsi="Traditional Arabic" w:cs="Traditional Arabic" w:eastAsia="Traditional Arabic"/>
          <w:sz w:val="28"/>
          <w:rtl w:val="1"/>
          <w:szCs w:val="28"/>
        </w:rPr>
        <w:t>ينتمي إلى تقليد علمي فيدين لمعلميه بالاحترام، لكنه ينقد غيره ونفسه خصوصاً، ويحذر من الغطرسة الفكرية ومجاراة الموضات مجاراة عمياء.</w:t>
      </w:r>
    </w:p>
    <w:p>
      <w:pPr>
        <w:bidi w:val="1"/>
        <w:spacing w:after="60" w:line="240" w:lineRule="auto"/>
        <w:ind w:right="340"/>
        <w:jc w:val="both"/>
      </w:pPr>
      <w:r>
        <w:rPr>
          <w:rFonts w:ascii="Traditional Arabic" w:hAnsi="Traditional Arabic" w:cs="Traditional Arabic" w:eastAsia="Traditional Arabic"/>
          <w:b/>
          <w:sz w:val="28"/>
          <w:rtl w:val="1"/>
          <w:szCs w:val="28"/>
          <w:bCs/>
        </w:rPr>
        <w:t xml:space="preserve">٣. الالتزام الطاغي: </w:t>
      </w:r>
      <w:r>
        <w:rPr>
          <w:rFonts w:ascii="Traditional Arabic" w:hAnsi="Traditional Arabic" w:cs="Traditional Arabic" w:eastAsia="Traditional Arabic"/>
          <w:sz w:val="28"/>
          <w:rtl w:val="1"/>
          <w:szCs w:val="28"/>
        </w:rPr>
        <w:t xml:space="preserve">ولاؤه الأعلى للإنسانية جمعاء، فعليه أن يتبصّر أخطار نتائج بحثه ويحاول منع إساءة استخدامها ولو لم يطبّقها بنفسه. </w:t>
      </w:r>
      <w:r>
        <w:rPr>
          <w:rFonts w:ascii="Traditional Arabic" w:hAnsi="Traditional Arabic" w:cs="Traditional Arabic" w:eastAsia="Traditional Arabic"/>
          <w:color w:val="1F5F8B"/>
          <w:sz w:val="28"/>
          <w:rtl w:val="1"/>
          <w:szCs w:val="28"/>
        </w:rPr>
        <w:t>(أهم بند برأيي: المسؤولية ما تنتهي عند باب المختبر)</w:t>
      </w:r>
    </w:p>
    <w:p>
      <w:pPr>
        <w:bidi w:val="1"/>
        <w:spacing w:after="60" w:line="240" w:lineRule="auto"/>
        <w:jc w:val="both"/>
      </w:pPr>
      <w:r>
        <w:rPr>
          <w:rFonts w:ascii="Traditional Arabic" w:hAnsi="Traditional Arabic" w:cs="Traditional Arabic" w:eastAsia="Traditional Arabic"/>
          <w:b/>
          <w:sz w:val="28"/>
          <w:rtl w:val="1"/>
          <w:szCs w:val="28"/>
          <w:bCs/>
        </w:rPr>
        <w:t xml:space="preserve">أزمة الجامعات: </w:t>
      </w:r>
      <w:r>
        <w:rPr>
          <w:rFonts w:ascii="Traditional Arabic" w:hAnsi="Traditional Arabic" w:cs="Traditional Arabic" w:eastAsia="Traditional Arabic"/>
          <w:sz w:val="28"/>
          <w:rtl w:val="1"/>
          <w:szCs w:val="28"/>
        </w:rPr>
        <w:t>صار طلبة الدكتوراه يُدرَّبون متخصصين يُجرون قياسات دون أن يعرفوا المشكلة الأصلية، وهذا عنده موقف غير مسؤول؛ فمهمة المعلم أن يشرح للطالب المشكلات الكبرى. ويحذّر من تحويل القسم إلى «أخلاقيات مهنة» تحمي الزملاء.</w:t>
      </w:r>
    </w:p>
    <w:p>
      <w:pPr>
        <w:bidi w:val="1"/>
        <w:spacing w:after="60" w:line="240" w:lineRule="auto"/>
        <w:jc w:val="both"/>
      </w:pPr>
      <w:r>
        <w:rPr>
          <w:rFonts w:ascii="Traditional Arabic" w:hAnsi="Traditional Arabic" w:cs="Traditional Arabic" w:eastAsia="Traditional Arabic"/>
          <w:b/>
          <w:sz w:val="28"/>
          <w:rtl w:val="1"/>
          <w:szCs w:val="28"/>
          <w:bCs/>
        </w:rPr>
        <w:t xml:space="preserve">تخفيف المعاناة لا تعظيم السعادة: </w:t>
      </w:r>
      <w:r>
        <w:rPr>
          <w:rFonts w:ascii="Traditional Arabic" w:hAnsi="Traditional Arabic" w:cs="Traditional Arabic" w:eastAsia="Traditional Arabic"/>
          <w:sz w:val="28"/>
          <w:rtl w:val="1"/>
          <w:szCs w:val="28"/>
        </w:rPr>
        <w:t>أولوية السياسة العامة تجنّب المعاناة الممكن تجنّبها، أما السعادة فتُترك للمبادرات الشخصية، دون أن يكون هذا «المبدأ الأخلاقي الأعلى».</w:t>
      </w:r>
    </w:p>
    <w:p>
      <w:pPr>
        <w:bidi w:val="1"/>
        <w:spacing w:after="60" w:line="240" w:lineRule="auto"/>
        <w:jc w:val="both"/>
      </w:pPr>
      <w:r>
        <w:rPr>
          <w:rFonts w:ascii="Traditional Arabic" w:hAnsi="Traditional Arabic" w:cs="Traditional Arabic" w:eastAsia="Traditional Arabic"/>
          <w:b/>
          <w:sz w:val="28"/>
          <w:rtl w:val="1"/>
          <w:szCs w:val="28"/>
          <w:bCs/>
        </w:rPr>
        <w:t xml:space="preserve">الحرب والطغيان: </w:t>
      </w:r>
      <w:r>
        <w:rPr>
          <w:rFonts w:ascii="Traditional Arabic" w:hAnsi="Traditional Arabic" w:cs="Traditional Arabic" w:eastAsia="Traditional Arabic"/>
          <w:sz w:val="28"/>
          <w:rtl w:val="1"/>
          <w:szCs w:val="28"/>
        </w:rPr>
        <w:t xml:space="preserve">تجنّب الحرب أكثر المشكلات إلحاحاً، ويجب رفض عبادة العنف التي تروّجها وسائل الترفيه. والحروب تنشأ من الخوف من العدوان لا من العدوانية وحدها، و«لا مشكلة تباري في إلحاحها مشكلة تفادي الحروب إلا مشكلة تفادي الطغيان». لذلك يرفض نزع السلاح من جانب واحد ويرى أن الردع منع الحرب النووية، وخطأ علماء قنبلة اليابان أنهم لم يصرّوا على حصرها في أهداف عسكرية خالصة. </w:t>
      </w:r>
      <w:r>
        <w:rPr>
          <w:rFonts w:ascii="Traditional Arabic" w:hAnsi="Traditional Arabic" w:cs="Traditional Arabic" w:eastAsia="Traditional Arabic"/>
          <w:color w:val="1F5F8B"/>
          <w:sz w:val="28"/>
          <w:rtl w:val="1"/>
          <w:szCs w:val="28"/>
        </w:rPr>
        <w:t>(بوبر هنا واقعي، مو داعية سلام حالم)</w:t>
      </w:r>
    </w:p>
    <w:p>
      <w:pPr>
        <w:bidi w:val="1"/>
        <w:spacing w:after="60" w:line="240" w:lineRule="auto"/>
        <w:jc w:val="both"/>
      </w:pPr>
      <w:r>
        <w:rPr>
          <w:rFonts w:ascii="Traditional Arabic" w:hAnsi="Traditional Arabic" w:cs="Traditional Arabic" w:eastAsia="Traditional Arabic"/>
          <w:b/>
          <w:sz w:val="28"/>
          <w:rtl w:val="1"/>
          <w:szCs w:val="28"/>
          <w:bCs/>
        </w:rPr>
        <w:t xml:space="preserve">الضمير: </w:t>
      </w:r>
      <w:r>
        <w:rPr>
          <w:rFonts w:ascii="Traditional Arabic" w:hAnsi="Traditional Arabic" w:cs="Traditional Arabic" w:eastAsia="Traditional Arabic"/>
          <w:sz w:val="28"/>
          <w:rtl w:val="1"/>
          <w:szCs w:val="28"/>
        </w:rPr>
        <w:t>حتى الحرب العادلة لا تخلو من جرائم، ومحاكمات نورمبرغ جعلت ضمير الفرد المرجع الأخير، فلا عذر بـ«طاعة الأوامر»، ومن هنا يجب احترام حق المعترض الحي الضمير، عالماً كان أم جندياً.</w:t>
      </w:r>
    </w:p>
    <w:p>
      <w:pPr>
        <w:bidi w:val="1"/>
        <w:spacing w:after="60" w:line="240" w:lineRule="auto"/>
        <w:jc w:val="both"/>
      </w:pPr>
      <w:r>
        <w:rPr>
          <w:rFonts w:ascii="Traditional Arabic" w:hAnsi="Traditional Arabic" w:cs="Traditional Arabic" w:eastAsia="Traditional Arabic"/>
          <w:b/>
          <w:sz w:val="28"/>
          <w:rtl w:val="1"/>
          <w:szCs w:val="28"/>
          <w:bCs/>
        </w:rPr>
        <w:t xml:space="preserve">الغطرسة والقوة: </w:t>
      </w:r>
      <w:r>
        <w:rPr>
          <w:rFonts w:ascii="Traditional Arabic" w:hAnsi="Traditional Arabic" w:cs="Traditional Arabic" w:eastAsia="Traditional Arabic"/>
          <w:sz w:val="28"/>
          <w:rtl w:val="1"/>
          <w:szCs w:val="28"/>
        </w:rPr>
        <w:t>قال أوبنهايمر إن الفيزيائيين «عرفوا الخطيئة»، وبيكون قال «المعرفة قوة». والغطرسة عند بوبر هي طلب المعرفة من أجل القوة، والقوة تجنح نحو الإفساد كما قال اللورد أكتون، والترياق هو الوعي بضآلة ما نعرفه.</w:t>
      </w:r>
    </w:p>
    <w:p>
      <w:pPr>
        <w:bidi w:val="1"/>
        <w:spacing w:after="60" w:line="240" w:lineRule="auto"/>
        <w:jc w:val="both"/>
      </w:pPr>
      <w:r>
        <w:rPr>
          <w:rFonts w:ascii="Traditional Arabic" w:hAnsi="Traditional Arabic" w:cs="Traditional Arabic" w:eastAsia="Traditional Arabic"/>
          <w:b/>
          <w:sz w:val="28"/>
          <w:rtl w:val="1"/>
          <w:szCs w:val="28"/>
          <w:bCs/>
        </w:rPr>
        <w:t xml:space="preserve">العلوم الاجتماعية والنواتج غير المقصودة: </w:t>
      </w:r>
      <w:r>
        <w:rPr>
          <w:rFonts w:ascii="Traditional Arabic" w:hAnsi="Traditional Arabic" w:cs="Traditional Arabic" w:eastAsia="Traditional Arabic"/>
          <w:sz w:val="28"/>
          <w:rtl w:val="1"/>
          <w:szCs w:val="28"/>
        </w:rPr>
        <w:t>للعالِم الاجتماعي مسؤولية خاصة لأن دراسته تمسّ القوة، فعليه أن يحذّر من أدوات التلاعب بالجماهير دون الوقوع في الرقابة. وكل من يملك معرفة خاصة يحمل مسؤولية خاصة، والمشكلة الأساسية هي النواتج غير المقصودة لأفعالنا، فعلى العالِم أن يتنبأ بها وينبّه إليها منذ أولى بشائرها.</w:t>
      </w:r>
    </w:p>
    <w:p>
      <w:pPr>
        <w:bidi w:val="1"/>
        <w:spacing w:after="60" w:line="240" w:lineRule="auto"/>
        <w:jc w:val="both"/>
      </w:pPr>
      <w:r>
        <w:rPr>
          <w:rFonts w:ascii="Traditional Arabic" w:hAnsi="Traditional Arabic" w:cs="Traditional Arabic" w:eastAsia="Traditional Arabic"/>
          <w:b/>
          <w:sz w:val="28"/>
          <w:rtl w:val="1"/>
          <w:szCs w:val="28"/>
          <w:bCs/>
        </w:rPr>
        <w:t xml:space="preserve">الخلاصة: </w:t>
      </w:r>
      <w:r>
        <w:rPr>
          <w:rFonts w:ascii="Traditional Arabic" w:hAnsi="Traditional Arabic" w:cs="Traditional Arabic" w:eastAsia="Traditional Arabic"/>
          <w:sz w:val="28"/>
          <w:rtl w:val="1"/>
          <w:szCs w:val="28"/>
        </w:rPr>
        <w:t xml:space="preserve">العالِم مسؤول أمام الإنسانية عن عواقب ما يكتشفه، وسلاحه التواضع والنقد الذاتي. </w:t>
      </w:r>
      <w:r>
        <w:rPr>
          <w:rFonts w:ascii="Traditional Arabic" w:hAnsi="Traditional Arabic" w:cs="Traditional Arabic" w:eastAsia="Traditional Arabic"/>
          <w:color w:val="1F5F8B"/>
          <w:sz w:val="28"/>
          <w:rtl w:val="1"/>
          <w:szCs w:val="28"/>
        </w:rPr>
        <w:t>(باختصار: اعرف قد إيش أنت جاهل، وفكّر في عواقب علمك قبل لا تفرح فيه)</w:t>
      </w:r>
    </w:p>
    <w:sectPr w:rsidR="00FC693F" w:rsidRPr="0006063C" w:rsidSect="00034616">
      <w:pgSz w:w="11906" w:h="16838"/>
      <w:pgMar w:top="1247" w:right="1304" w:bottom="1247" w:left="130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