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  <w:rFonts w:ascii="Times New Roman" w:hAnsi="Times New Roman" w:cs="Times New Roman"/>
        </w:rPr>
        <w:t>UNIVERSIDAD AUTÓNOMA DEL ESTADO DE MÉXICO</w:t>
        <w:br/>
        <w:t>FACULTAD DE INGENIERÍA</w:t>
        <w:br/>
      </w:r>
      <w:r>
        <w:rPr>
          <w:rFonts w:ascii="Times New Roman" w:hAnsi="Times New Roman" w:cs="Times New Roman" w:eastAsia="Times New Roman"/>
          <w:b/>
          <w:i w:val="0"/>
          <w:color w:val="000000"/>
          <w:sz w:val="32"/>
          <w:rFonts w:ascii="Times New Roman" w:hAnsi="Times New Roman" w:cs="Times New Roman"/>
        </w:rPr>
        <w:t>NEXUS FI — FORMATO UNIVERSAL DE DOCUMENTACIÓN Y ENTREGA DE TAREAS</w:t>
        <w:br/>
      </w:r>
      <w:r>
        <w:rPr>
          <w:rFonts w:ascii="Times New Roman" w:hAnsi="Times New Roman" w:cs="Times New Roman" w:eastAsia="Times New Roman"/>
          <w:b w:val="0"/>
          <w:i/>
          <w:color w:val="000000"/>
          <w:sz w:val="22"/>
          <w:rFonts w:ascii="Times New Roman" w:hAnsi="Times New Roman" w:cs="Times New Roman"/>
        </w:rPr>
        <w:t>Instrumento Oficial de Reporte Técnico, Entregables de Código y Evidencias de Ejecución</w:t>
      </w:r>
    </w:p>
    <w:p>
      <w:pPr>
        <w:spacing w:before="40" w:after="120" w:line="264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  <w:rFonts w:ascii="Times New Roman" w:hAnsi="Times New Roman" w:cs="Times New Roman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40" w:after="160" w:line="264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  <w:rFonts w:ascii="Times New Roman" w:hAnsi="Times New Roman" w:cs="Times New Roman"/>
        </w:rPr>
        <w:t xml:space="preserve">IMPORTANTE PARA EL LLENADO: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rFonts w:ascii="Times New Roman" w:hAnsi="Times New Roman" w:cs="Times New Roman"/>
        </w:rPr>
        <w:t>Todo el texto de este documento debe presentarse estrictamente en tipografía Times New Roman, color negro, interlineado 1.1 y alineación justificada. No utilizar colores de fuente distintos al negro. Los títulos deben respetar la jerarquía oficial: Título 1 en 16 puntos con negritas, Título 2 en 14 puntos con negritas y Título 3 en 13 puntos normal. Las tablas deben conservar bordes visibles en color gris con encabezados sombreados y texto en color negro. Los pies de figuras y tablas deben llevar formato 'Figura n.n: Descripción' o 'Tabla n.n: Descripción' en itálicas, tamaño 11, color negro.</w:t>
      </w:r>
    </w:p>
    <w:p>
      <w:pPr>
        <w:spacing w:before="280" w:after="80" w:line="26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  <w:rFonts w:ascii="Times New Roman" w:hAnsi="Times New Roman" w:cs="Times New Roman"/>
        </w:rPr>
        <w:t>1. FICHA TÉCNICA DE LA TAREA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Código / ID de Tarea: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T-02-UI-METRICS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Paquete WBS: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WBS 1.3.4</w:t>
            </w:r>
          </w:p>
        </w:tc>
      </w:tr>
      <w:tr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Nombre de la Tarea: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Modo Oscuro transversal, Tablero Dinámico de Usuario y Panel de Métricas de Consumo para el Administrador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Fase / Avance: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Avance 2 (50%)</w:t>
            </w:r>
          </w:p>
        </w:tc>
      </w:tr>
      <w:tr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Responsable(s) Asignado(s):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Daniel Aguilar Sánchez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Joan Alexis Ocaña Martínez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Rol en Equipo 404: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Frontend PWA y Experiencia de Usuario (UX/UI)</w:t>
            </w:r>
          </w:p>
        </w:tc>
      </w:tr>
      <w:tr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Asignada por (PM):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t>Fernando Azuara Ibarra (Project Manager)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Prioridad: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Alta</w:t>
            </w:r>
          </w:p>
        </w:tc>
      </w:tr>
      <w:tr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Fecha de Asignación: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25/10/2026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Fecha de Entrega: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28/10/2026</w:t>
            </w:r>
          </w:p>
        </w:tc>
      </w:tr>
      <w:tr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Estado de la Tarea: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[ ] En Desarrollo   [ ] En Pruebas   [X] Concluida y Validada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  <w:shd w:fill="EAEAE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Solicitud de Cambio:</w:t>
            </w:r>
          </w:p>
        </w:tc>
        <w:tc>
          <w:tcPr>
            <w:tcW w:type="dxa" w:w="22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[X] No Requerida   [ ] Sí Tramitada</w:t>
            </w:r>
          </w:p>
        </w:tc>
      </w:tr>
    </w:tbl>
    <w:p/>
    <w:p>
      <w:pPr>
        <w:spacing w:before="280" w:after="80" w:line="26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  <w:rFonts w:ascii="Times New Roman" w:hAnsi="Times New Roman" w:cs="Times New Roman"/>
        </w:rPr>
        <w:t>2. OBJETIVO TÉCNICO Y CRITERIOS DE ACEPTACIÓN</w:t>
      </w:r>
    </w:p>
    <w:p>
      <w:pPr>
        <w:spacing w:before="40" w:after="120" w:line="264" w:lineRule="auto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2"/>
        </w:rPr>
        <w:t>La tarea moderniza la experiencia de usuario de Nexus FI de cara a la evaluación del 50% del proyecto. Se incorporó un Modo Oscuro transversal que conserva la identidad institucional de la UAEMéx, un tablero de métricas dinámico para el usuario y una vista exclusiva para el administrador que concentra el consumo de tokens y el costo devengado de las cuatro claves API segregadas de OpenAI (módulo DT-10), junto con los indicadores de infraestructura en AWS.</w:t>
      </w:r>
    </w:p>
    <w:p>
      <w:pPr>
        <w:spacing w:before="40" w:after="120" w:line="264" w:lineRule="auto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2"/>
        </w:rPr>
        <w:t>El aporte concreto al sistema es la visibilidad: el equipo y la docente evaluadora pueden observar en tiempo real cuántas consultas atiende el asistente, su latencia promedio, la tasa de respuestas fundamentadas y el costo acumulado por cada servicio de OpenAI.</w:t>
      </w:r>
    </w:p>
    <w:p>
      <w:pPr>
        <w:spacing w:before="200" w:after="60" w:line="26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  <w:rFonts w:ascii="Times New Roman" w:hAnsi="Times New Roman" w:cs="Times New Roman"/>
        </w:rPr>
        <w:t>2.1 Criterios de Aceptación (Definición de Terminado - DoD)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946"/>
        <w:gridCol w:w="2946"/>
        <w:gridCol w:w="2946"/>
      </w:tblGrid>
      <w:tr>
        <w:tc>
          <w:tcPr>
            <w:tcW w:type="dxa" w:w="2946"/>
            <w:shd w:fill="D1D1D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N°</w:t>
            </w:r>
          </w:p>
        </w:tc>
        <w:tc>
          <w:tcPr>
            <w:tcW w:type="dxa" w:w="2946"/>
            <w:shd w:fill="D1D1D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Criterio de Aceptación Requerido</w:t>
            </w:r>
          </w:p>
        </w:tc>
        <w:tc>
          <w:tcPr>
            <w:tcW w:type="dxa" w:w="2946"/>
            <w:shd w:fill="D1D1D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Estado de Cumplimiento</w:t>
            </w:r>
          </w:p>
        </w:tc>
      </w:tr>
      <w:tr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El código fuente se ejecuta de manera limpia sin errores ni excepciones en consola (index.html, dashboard.html y admin-metrics.html cargan con HTTP 200).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[X] Cumplido   [ ] Pendiente</w:t>
            </w:r>
          </w:p>
        </w:tc>
      </w:tr>
      <w:tr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La solución se integró en main mediante merge selectivo (commit 828f10c) conservando el prompt de citación RF09, la segregación de facturación DT-10 y los middlewares de seguridad WBS 1.3.5 / 1.4.2.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[X] Cumplido   [ ] Pendiente</w:t>
            </w:r>
          </w:p>
        </w:tc>
      </w:tr>
      <w:tr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El selector de Modo Oscuro persiste la preferencia del usuario en localStorage y se aplica en las tres vistas.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[X] Cumplido   [ ] Pendiente</w:t>
            </w:r>
          </w:p>
        </w:tc>
      </w:tr>
      <w:tr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Los endpoints /api/v1/metrics/user-dashboard y /api/v1/admin/metrics responden con la estructura que consumen las vistas y acumulan las consultas reales del chat.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[X] Cumplido   [ ] Pendiente</w:t>
            </w:r>
          </w:p>
        </w:tc>
      </w:tr>
      <w:tr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Se adjuntan evidencias funcionales completas (capturas de pantalla de las tres vistas en modo claro y oscuro).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[ ] Cumplido   [X] Pendiente</w:t>
            </w:r>
          </w:p>
        </w:tc>
      </w:tr>
    </w:tbl>
    <w:p/>
    <w:p>
      <w:pPr>
        <w:spacing w:before="280" w:after="80" w:line="26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  <w:rFonts w:ascii="Times New Roman" w:hAnsi="Times New Roman" w:cs="Times New Roman"/>
        </w:rPr>
        <w:t>3. INTERCONEXIÓN, PRECEDENCIAS Y RED DE COLABORACIÓN</w:t>
      </w:r>
    </w:p>
    <w:p>
      <w:pPr>
        <w:spacing w:before="40" w:after="80" w:line="264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rFonts w:ascii="Times New Roman" w:hAnsi="Times New Roman" w:cs="Times New Roman"/>
        </w:rPr>
        <w:t>Documentar la trazabilidad de interdependencias entre integrantes para garantizar la continuidad operativa del proyecto: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946"/>
        <w:gridCol w:w="2946"/>
        <w:gridCol w:w="2946"/>
      </w:tblGrid>
      <w:tr>
        <w:tc>
          <w:tcPr>
            <w:tcW w:type="dxa" w:w="2946"/>
            <w:shd w:fill="D1D1D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Tipo de Relación</w:t>
            </w:r>
          </w:p>
        </w:tc>
        <w:tc>
          <w:tcPr>
            <w:tcW w:type="dxa" w:w="2946"/>
            <w:shd w:fill="D1D1D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Detalle de Actividad o Insumo Requerido</w:t>
            </w:r>
          </w:p>
        </w:tc>
        <w:tc>
          <w:tcPr>
            <w:tcW w:type="dxa" w:w="2946"/>
            <w:shd w:fill="D1D1D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Integrante(s) con quien se coordinó</w:t>
            </w:r>
          </w:p>
        </w:tc>
      </w:tr>
      <w:tr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  <w:shd w:fill="F5F5F5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Insumos Precedentes (Qué necesité antes):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Backend FastAPI con RAG y telemetría DT-10 operativo; códigos de respuesta 403 (fuera de perímetro) y 429 (cuota excedida) definidos por el middleware de seguridad.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Fernando Azuara Ibarra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Joaquín Ulises García Álvarez</w:t>
            </w:r>
          </w:p>
        </w:tc>
      </w:tr>
      <w:tr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  <w:shd w:fill="F5F5F5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Entregables que desbloquea (A quién le sirve):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Panel de administrador donde se muestran los indicadores de AWS y del proxy Nginx; tablero de usuario para la demostración del 50%.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Ángel Israel de la Cruz Martínez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Aarón Nevid Domínguez Fuentes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Fernando Azuara Ibarra</w:t>
            </w:r>
          </w:p>
        </w:tc>
      </w:tr>
      <w:tr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  <w:shd w:fill="F5F5F5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Canales y Acuerdos de Comunicación: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Se acordó que la interfaz muestre mensajes claros ante HTTP 403 y HTTP 429, y que el panel de administrador consuma un único endpoint con las secciones openai, aws y server.</w:t>
            </w:r>
          </w:p>
        </w:tc>
        <w:tc>
          <w:tcPr>
            <w:tcW w:type="dxa" w:w="29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Todos los involucrados</w:t>
            </w:r>
          </w:p>
        </w:tc>
      </w:tr>
    </w:tbl>
    <w:p/>
    <w:p>
      <w:pPr>
        <w:spacing w:before="280" w:after="80" w:line="26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  <w:rFonts w:ascii="Times New Roman" w:hAnsi="Times New Roman" w:cs="Times New Roman"/>
        </w:rPr>
        <w:t>4. ENTREGABLES DE CÓDIGO Y CONTROL DE VERSIONES (GIT)</w:t>
      </w:r>
    </w:p>
    <w:p>
      <w:pPr>
        <w:spacing w:before="40" w:after="80" w:line="264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rFonts w:ascii="Times New Roman" w:hAnsi="Times New Roman" w:cs="Times New Roman"/>
        </w:rPr>
        <w:t>Indicar la ubicación y trazabilidad de los artefactos producidos en el repositorio oficial de GitHub: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419"/>
        <w:gridCol w:w="4419"/>
      </w:tblGrid>
      <w:tr>
        <w:tc>
          <w:tcPr>
            <w:tcW w:type="dxa" w:w="4419"/>
            <w:shd w:fill="EAEAE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Rama de Git utilizada (Branch):</w:t>
            </w:r>
          </w:p>
        </w:tc>
        <w:tc>
          <w:tcPr>
            <w:tcW w:type="dxa" w:w="4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feature/dark-mode-and-metrics</w:t>
            </w:r>
          </w:p>
        </w:tc>
      </w:tr>
      <w:tr>
        <w:tc>
          <w:tcPr>
            <w:tcW w:type="dxa" w:w="4419"/>
            <w:shd w:fill="EAEAE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Hash(es) de Commit o Pull Request:</w:t>
            </w:r>
          </w:p>
        </w:tc>
        <w:tc>
          <w:tcPr>
            <w:tcW w:type="dxa" w:w="4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35386cc (Modo Oscuro), 3ecfdb4 y 8c427a1 (dashboard, admin-metrics y navegación), 49835f0 y 7bdca82 (ajustes a backend/app.py). Integración en main: merge selectivo 828f10c.</w:t>
            </w:r>
          </w:p>
        </w:tc>
      </w:tr>
      <w:tr>
        <w:tc>
          <w:tcPr>
            <w:tcW w:type="dxa" w:w="4419"/>
            <w:shd w:fill="EAEAE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Archivos Nuevos Creados:</w:t>
            </w:r>
          </w:p>
        </w:tc>
        <w:tc>
          <w:tcPr>
            <w:tcW w:type="dxa" w:w="4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frontend/admin-metrics.html</w:t>
            </w:r>
          </w:p>
        </w:tc>
      </w:tr>
      <w:tr>
        <w:tc>
          <w:tcPr>
            <w:tcW w:type="dxa" w:w="4419"/>
            <w:shd w:fill="EAEAE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Archivos Modificados:</w:t>
            </w:r>
          </w:p>
        </w:tc>
        <w:tc>
          <w:tcPr>
            <w:tcW w:type="dxa" w:w="4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frontend/index.html, frontend/dashboard.html, frontend/styles.css, frontend/app.js, backend/app.py</w:t>
            </w:r>
          </w:p>
        </w:tc>
      </w:tr>
      <w:tr>
        <w:tc>
          <w:tcPr>
            <w:tcW w:type="dxa" w:w="4419"/>
            <w:shd w:fill="EAEAE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Librerías / Dependencias Añadidas:</w:t>
            </w:r>
          </w:p>
        </w:tc>
        <w:tc>
          <w:tcPr>
            <w:tcW w:type="dxa" w:w="4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Ninguna en requirements.txt. En el navegador se usa Chart.js desde CDN para las gráficas del tablero.</w:t>
            </w:r>
          </w:p>
        </w:tc>
      </w:tr>
      <w:tr>
        <w:tc>
          <w:tcPr>
            <w:tcW w:type="dxa" w:w="4419"/>
            <w:shd w:fill="EAEAE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Instrucciones de Ejecución Local:</w:t>
            </w:r>
          </w:p>
        </w:tc>
        <w:tc>
          <w:tcPr>
            <w:tcW w:type="dxa" w:w="4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python main.py --serve --port 8000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Abrir http://localhost:8000/, /dashboard y /admin-metrics desde una IP dentro del perímetro de la FI.</w:t>
            </w:r>
          </w:p>
        </w:tc>
      </w:tr>
    </w:tbl>
    <w:p/>
    <w:p>
      <w:pPr>
        <w:spacing w:before="280" w:after="80" w:line="26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  <w:rFonts w:ascii="Times New Roman" w:hAnsi="Times New Roman" w:cs="Times New Roman"/>
        </w:rPr>
        <w:t>5. DOCUMENTACIÓN DE RESULTADOS Y EVIDENCIAS TÉCNICAS</w:t>
      </w:r>
    </w:p>
    <w:p>
      <w:pPr>
        <w:spacing w:before="200" w:after="60" w:line="26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  <w:rFonts w:ascii="Times New Roman" w:hAnsi="Times New Roman" w:cs="Times New Roman"/>
        </w:rPr>
        <w:t>5.1 Descripción Técnica de la Solución Implementada</w:t>
      </w:r>
    </w:p>
    <w:p>
      <w:pPr>
        <w:spacing w:before="40" w:after="120" w:line="264" w:lineRule="auto"/>
        <w:jc w:val="both"/>
      </w:pPr>
      <w:r>
        <w:rPr>
          <w:rFonts w:ascii="Times New Roman" w:hAnsi="Times New Roman" w:cs="Times New Roman" w:eastAsia="Times New Roman"/>
          <w:b/>
          <w:color w:val="000000"/>
          <w:sz w:val="22"/>
        </w:rPr>
        <w:t>Modo Oscuro:</w:t>
      </w:r>
      <w:r>
        <w:rPr>
          <w:rFonts w:ascii="Times New Roman" w:hAnsi="Times New Roman" w:cs="Times New Roman" w:eastAsia="Times New Roman"/>
          <w:b w:val="0"/>
          <w:color w:val="000000"/>
          <w:sz w:val="22"/>
        </w:rPr>
        <w:t xml:space="preserve"> se implementó con variables CSS y un atributo de tema en el documento. El botón alterna entre tema claro y oscuro, y la preferencia se guarda en localStorage para que se mantenga al recargar o cambiar de vista. Los colores verde y oro institucionales se conservan en ambos temas.</w:t>
      </w:r>
    </w:p>
    <w:p>
      <w:pPr>
        <w:spacing w:before="40" w:after="120" w:line="264" w:lineRule="auto"/>
        <w:jc w:val="both"/>
      </w:pPr>
      <w:r>
        <w:rPr>
          <w:rFonts w:ascii="Times New Roman" w:hAnsi="Times New Roman" w:cs="Times New Roman" w:eastAsia="Times New Roman"/>
          <w:b/>
          <w:color w:val="000000"/>
          <w:sz w:val="22"/>
        </w:rPr>
        <w:t>Tablero de usuario (dashboard.html):</w:t>
      </w:r>
      <w:r>
        <w:rPr>
          <w:rFonts w:ascii="Times New Roman" w:hAnsi="Times New Roman" w:cs="Times New Roman" w:eastAsia="Times New Roman"/>
          <w:b w:val="0"/>
          <w:color w:val="000000"/>
          <w:sz w:val="22"/>
        </w:rPr>
        <w:t xml:space="preserve"> consulta /api/v1/metrics/user-dashboard y presenta tres indicadores (consultas totales, latencia promedio y tasa de éxito) más dos gráficas con Chart.js: latencia y volumen de consultas por franja horaria, y distribución de temas consultados.</w:t>
      </w:r>
    </w:p>
    <w:p>
      <w:pPr>
        <w:spacing w:before="40" w:after="120" w:line="264" w:lineRule="auto"/>
        <w:jc w:val="both"/>
      </w:pPr>
      <w:r>
        <w:rPr>
          <w:rFonts w:ascii="Times New Roman" w:hAnsi="Times New Roman" w:cs="Times New Roman" w:eastAsia="Times New Roman"/>
          <w:b/>
          <w:color w:val="000000"/>
          <w:sz w:val="22"/>
        </w:rPr>
        <w:t>Panel de administrador (admin-metrics.html):</w:t>
      </w:r>
      <w:r>
        <w:rPr>
          <w:rFonts w:ascii="Times New Roman" w:hAnsi="Times New Roman" w:cs="Times New Roman" w:eastAsia="Times New Roman"/>
          <w:b w:val="0"/>
          <w:color w:val="000000"/>
          <w:sz w:val="22"/>
        </w:rPr>
        <w:t xml:space="preserve"> consulta /api/v1/admin/metrics y muestra tokens y costo devengado por cada una de las cuatro claves segregadas (Embeddings, GPT-4o-mini, Luna 6 y Luna 5.6), el costo total y los indicadores de AWS (S3, EC2, CPU, ancho de banda y crédito disponible).</w:t>
      </w:r>
    </w:p>
    <w:p>
      <w:pPr>
        <w:spacing w:before="40" w:after="120" w:line="264" w:lineRule="auto"/>
        <w:jc w:val="both"/>
      </w:pPr>
      <w:r>
        <w:rPr>
          <w:rFonts w:ascii="Times New Roman" w:hAnsi="Times New Roman" w:cs="Times New Roman" w:eastAsia="Times New Roman"/>
          <w:b/>
          <w:color w:val="000000"/>
          <w:sz w:val="22"/>
        </w:rPr>
        <w:t>Integración con el backend:</w:t>
      </w:r>
      <w:r>
        <w:rPr>
          <w:rFonts w:ascii="Times New Roman" w:hAnsi="Times New Roman" w:cs="Times New Roman" w:eastAsia="Times New Roman"/>
          <w:b w:val="0"/>
          <w:color w:val="000000"/>
          <w:sz w:val="22"/>
        </w:rPr>
        <w:t xml:space="preserve"> durante la revisión del Project Manager se detectó que la versión de backend/app.py de la rama simplificaba el prompt de citación RF09, eliminaba la segregación de facturación y agregaba un modo simulado que devolvía una cita inventada. Para no degradar el sistema se hizo un merge selectivo: se integró todo el frontend y, en el backend, solo los dos endpoints de métricas, las rutas /admin-metrics e /index y el registro de métricas por consulta. Además, el consumo de tokens ahora se toma del uso real que reporta OpenAI y se asigna a la bolsa de la clave que atendió la consulta.</w:t>
      </w:r>
    </w:p>
    <w:p>
      <w:pPr>
        <w:spacing w:before="40" w:after="120" w:line="264" w:lineRule="auto"/>
        <w:jc w:val="both"/>
      </w:pPr>
      <w:r>
        <w:rPr>
          <w:rFonts w:ascii="Times New Roman" w:hAnsi="Times New Roman" w:cs="Times New Roman" w:eastAsia="Times New Roman"/>
          <w:b/>
          <w:color w:val="000000"/>
          <w:sz w:val="22"/>
        </w:rPr>
        <w:t>Alcance de los datos:</w:t>
      </w:r>
      <w:r>
        <w:rPr>
          <w:rFonts w:ascii="Times New Roman" w:hAnsi="Times New Roman" w:cs="Times New Roman" w:eastAsia="Times New Roman"/>
          <w:b w:val="0"/>
          <w:color w:val="000000"/>
          <w:sz w:val="22"/>
        </w:rPr>
        <w:t xml:space="preserve"> los contadores parten de una línea base de demostración y se les suman las consultas reales; viven en memoria y se reinician al reiniciar el servidor. Los indicadores de AWS son valores de referencia capturados por el equipo Cloud DevOps, no una consulta en vivo a AWS. Ambos endpoints lo indican en el campo dataSource.</w:t>
      </w:r>
    </w:p>
    <w:p>
      <w:pPr>
        <w:spacing w:before="200" w:after="60" w:line="26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  <w:rFonts w:ascii="Times New Roman" w:hAnsi="Times New Roman" w:cs="Times New Roman"/>
        </w:rPr>
        <w:t>5.2 Matriz de Pruebas Funcionales Realizadas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fill="D1D1D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Caso</w:t>
            </w:r>
          </w:p>
        </w:tc>
        <w:tc>
          <w:tcPr>
            <w:tcW w:type="dxa" w:w="1768"/>
            <w:shd w:fill="D1D1D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Escenario / Prueba Evaluada</w:t>
            </w:r>
          </w:p>
        </w:tc>
        <w:tc>
          <w:tcPr>
            <w:tcW w:type="dxa" w:w="1768"/>
            <w:shd w:fill="D1D1D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Entrada / Datos</w:t>
            </w:r>
          </w:p>
        </w:tc>
        <w:tc>
          <w:tcPr>
            <w:tcW w:type="dxa" w:w="1768"/>
            <w:shd w:fill="D1D1D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Comportamiento Obtenido</w:t>
            </w:r>
          </w:p>
        </w:tc>
        <w:tc>
          <w:tcPr>
            <w:tcW w:type="dxa" w:w="1768"/>
            <w:shd w:fill="D1D1D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Resultado</w:t>
            </w:r>
          </w:p>
        </w:tc>
      </w:tr>
      <w:tr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CP-01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Carga de las tres vistas a través del backend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GET /, /dashboard y /admin-metrics desde IP del perímetro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HTTP 200 con contenido HTML en las tres rutas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Aprobado</w:t>
            </w:r>
          </w:p>
        </w:tc>
      </w:tr>
      <w:tr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CP-02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Endpoints de métricas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GET /api/v1/metrics/user-dashboard y /api/v1/admin/metrics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HTTP 200 con los campos que consumen las vistas (totalQueries, openai.*, aws.*)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Aprobado</w:t>
            </w:r>
          </w:p>
        </w:tc>
      </w:tr>
      <w:tr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CP-03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Acumulación de métricas con una consulta real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POST /api/chat: «¿Cuáles son los requisitos para el servicio social?»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Respuesta con 4 citas; totalQueries pasó de 1248 a 1249 y los tokens de GPT-4o-mini aumentaron con el uso real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Aprobado</w:t>
            </w:r>
          </w:p>
        </w:tc>
      </w:tr>
      <w:tr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CP-04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Protección perimetral del panel de administrador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GET /api/v1/admin/metrics con X-Forwarded-For: 8.8.8.8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HTTP 403 Forbidden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Aprobado</w:t>
            </w:r>
          </w:p>
        </w:tc>
      </w:tr>
      <w:tr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CP-05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Persistencia del Modo Oscuro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Activar modo oscuro y recargar la página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El tema elegido se conserva (localStorage)</w:t>
            </w:r>
          </w:p>
        </w:tc>
        <w:tc>
          <w:tcPr>
            <w:tcW w:type="dxa" w:w="1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19"/>
              </w:rPr>
              <w:t>Aprobado</w:t>
            </w:r>
          </w:p>
        </w:tc>
      </w:tr>
    </w:tbl>
    <w:p/>
    <w:p>
      <w:pPr>
        <w:spacing w:before="200" w:after="60" w:line="26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  <w:rFonts w:ascii="Times New Roman" w:hAnsi="Times New Roman" w:cs="Times New Roman"/>
        </w:rPr>
        <w:t>5.3 Evidencias Gráficas y Capturas de Pantalla</w:t>
      </w:r>
    </w:p>
    <w:p>
      <w:pPr>
        <w:spacing w:before="80" w:after="80" w:line="264" w:lineRule="auto"/>
        <w:jc w:val="center"/>
      </w:pPr>
      <w:r>
        <w:rPr>
          <w:rFonts w:ascii="Courier New" w:hAnsi="Courier New" w:cs="Courier New" w:eastAsia="Courier New"/>
          <w:b w:val="0"/>
          <w:i w:val="0"/>
          <w:color w:val="000000"/>
          <w:sz w:val="18"/>
          <w:rFonts w:ascii="Courier New" w:hAnsi="Courier New" w:cs="Courier New"/>
        </w:rPr>
        <w:t>╔═══════════════════════════════════════════════════════════════════════════╗</w:t>
        <w:br/>
        <w:t>║                                                                           ║</w:t>
        <w:br/>
        <w:t>║              [INSERTAR AQUÍ CAPTURAS DE PANTALLA O LOGS DE EVIDENCIA]      ║</w:t>
        <w:br/>
        <w:t>║           (Terminal de ejecución, interfaz gráfica, pruebas de consola)   ║</w:t>
        <w:br/>
        <w:t>║                                                                           ║</w:t>
        <w:br/>
        <w:t>╚═══════════════════════════════════════════════════════════════════════════╝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before="40" w:after="160" w:line="264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2"/>
        </w:rPr>
        <w:t>Figura 5.1: Vistas index.html, dashboard.html y admin-metrics.html en modo claro y oscuro (capturas por adjuntar).</w:t>
      </w:r>
    </w:p>
    <w:p>
      <w:pPr>
        <w:spacing w:before="280" w:after="80" w:line="26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  <w:rFonts w:ascii="Times New Roman" w:hAnsi="Times New Roman" w:cs="Times New Roman"/>
        </w:rPr>
        <w:t>6. GESTIÓN DE RIESGOS, INCIDENCIAS Y CONTROL DE CAMBIOS</w:t>
      </w:r>
    </w:p>
    <w:p>
      <w:pPr>
        <w:spacing w:before="40" w:after="80" w:line="264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  <w:rFonts w:ascii="Times New Roman" w:hAnsi="Times New Roman" w:cs="Times New Roman"/>
        </w:rPr>
        <w:t>POLÍTICA INSTITUCIONAL DE CONTROL DE CAMBIOS:</w:t>
        <w:br/>
        <w:t>En caso de experimentar bloqueos técnicos, retrasos de respuesta en áreas administrativas de la Universidad o la necesidad de realizar ajustes en el alcance acordado, se debe tramitar formalmente el documento 'Solicitud de cambio.docx' ante el Project Manager para su evaluación y aprobación oficial.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419"/>
        <w:gridCol w:w="4419"/>
      </w:tblGrid>
      <w:tr>
        <w:tc>
          <w:tcPr>
            <w:tcW w:type="dxa" w:w="4419"/>
            <w:shd w:fill="F5F5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¿Se requirió Solicitud de Cambio formal?</w:t>
            </w:r>
          </w:p>
        </w:tc>
        <w:tc>
          <w:tcPr>
            <w:tcW w:type="dxa" w:w="4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[X] No Requerida   |   [ ] Sí Tramitada (Indicar Folio: SC-2026-______)</w:t>
            </w:r>
          </w:p>
        </w:tc>
      </w:tr>
      <w:tr>
        <w:tc>
          <w:tcPr>
            <w:tcW w:type="dxa" w:w="4419"/>
            <w:shd w:fill="F5F5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Incidencias o dificultades encontradas:</w:t>
            </w:r>
          </w:p>
        </w:tc>
        <w:tc>
          <w:tcPr>
            <w:tcW w:type="dxa" w:w="4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La versión de backend/app.py de la rama entraba en conflicto con main y retiraba controles obligatorios (RF09 y DT-10). Se mitigó con un merge selectivo que conservó la versión de main y añadió únicamente lo necesario para las métricas.</w:t>
            </w:r>
          </w:p>
        </w:tc>
      </w:tr>
      <w:tr>
        <w:tc>
          <w:tcPr>
            <w:tcW w:type="dxa" w:w="4419"/>
            <w:shd w:fill="F5F5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Impacto en Cronograma o Alcance hacia el 50%:</w:t>
            </w:r>
          </w:p>
        </w:tc>
        <w:tc>
          <w:tcPr>
            <w:tcW w:type="dxa" w:w="441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[X] Ninguno / Sin desviación   |   [ ] Ajuste acordado con PM</w:t>
            </w:r>
          </w:p>
        </w:tc>
      </w:tr>
    </w:tbl>
    <w:p/>
    <w:p>
      <w:pPr>
        <w:spacing w:before="280" w:after="80" w:line="26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  <w:rFonts w:ascii="Times New Roman" w:hAnsi="Times New Roman" w:cs="Times New Roman"/>
        </w:rPr>
        <w:t>7. CONCLUSIONES Y PRÓXIMOS PASOS</w:t>
      </w:r>
    </w:p>
    <w:p>
      <w:pPr>
        <w:spacing w:before="40" w:after="160" w:line="264" w:lineRule="auto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2"/>
        </w:rPr>
        <w:t>La entrega cumple el alcance de WBS 1.3.4: el Modo Oscuro funciona en todas las vistas y los tableros de usuario y administrador consumen datos del backend, incluido el consumo real de cada consulta.</w:t>
      </w:r>
    </w:p>
    <w:p>
      <w:pPr>
        <w:spacing w:before="40" w:after="160" w:line="264" w:lineRule="auto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2"/>
        </w:rPr>
        <w:t>Lección aprendida: los cambios de frontend deben evitar modificar la lógica central del backend; cuando se necesiten endpoints nuevos conviene agregarlos sin tocar el flujo RAG ni los controles de seguridad.</w:t>
      </w:r>
    </w:p>
    <w:p>
      <w:pPr>
        <w:spacing w:before="40" w:after="160" w:line="264" w:lineRule="auto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2"/>
        </w:rPr>
        <w:t>Próximos pasos: guardar las métricas en una base persistente para que no se pierdan al reiniciar, clasificar automáticamente el tema de cada consulta y obtener los indicadores de AWS directamente de CloudWatch.</w:t>
      </w:r>
    </w:p>
    <w:p>
      <w:pPr>
        <w:spacing w:before="280" w:after="80" w:line="264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  <w:rFonts w:ascii="Times New Roman" w:hAnsi="Times New Roman" w:cs="Times New Roman"/>
        </w:rPr>
        <w:t>8. VALIDACIÓN, RETROALIMENTACIÓN Y FIRMAS DE CONFORMIDAD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419"/>
        <w:gridCol w:w="4419"/>
      </w:tblGrid>
      <w:tr>
        <w:tc>
          <w:tcPr>
            <w:tcW w:type="dxa" w:w="4419"/>
            <w:shd w:fill="D1D1D1"/>
          </w:tcPr>
          <w:p>
            <w:pPr>
              <w:spacing w:before="0" w:after="1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RESPONSABLE DE LA TAREA (ENTREGA TÉCNICA)</w:t>
            </w:r>
          </w:p>
        </w:tc>
        <w:tc>
          <w:tcPr>
            <w:tcW w:type="dxa" w:w="4419"/>
            <w:shd w:fill="D1D1D1"/>
          </w:tcPr>
          <w:p>
            <w:pPr>
              <w:spacing w:before="0" w:after="1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  <w:rFonts w:ascii="Times New Roman" w:hAnsi="Times New Roman" w:cs="Times New Roman"/>
              </w:rPr>
              <w:t>PROJECT MANAGER (VALIDACIÓN Y APROBACIÓN)</w:t>
            </w:r>
          </w:p>
        </w:tc>
      </w:tr>
      <w:tr>
        <w:tc>
          <w:tcPr>
            <w:tcW w:type="dxa" w:w="441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1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br/>
              <w:br/>
              <w:t>_________________________________________</w:t>
              <w:br/>
              <w:t>Firma de Entrega Técnica</w:t>
            </w:r>
          </w:p>
        </w:tc>
        <w:tc>
          <w:tcPr>
            <w:tcW w:type="dxa" w:w="441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1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  <w:rFonts w:ascii="Times New Roman" w:hAnsi="Times New Roman" w:cs="Times New Roman"/>
              </w:rPr>
              <w:br/>
              <w:br/>
              <w:t>_________________________________________</w:t>
              <w:br/>
              <w:t>Firma de Aprobación PM</w:t>
            </w:r>
          </w:p>
        </w:tc>
      </w:tr>
      <w:tr>
        <w:tc>
          <w:tcPr>
            <w:tcW w:type="dxa" w:w="44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12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Nombre: Daniel Aguilar Sánchez / Joan Alexis Ocaña Martínez</w:t>
            </w:r>
          </w:p>
        </w:tc>
        <w:tc>
          <w:tcPr>
            <w:tcW w:type="dxa" w:w="44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12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Nombre: Fernando Azuara Ibarra</w:t>
            </w:r>
          </w:p>
        </w:tc>
      </w:tr>
      <w:tr>
        <w:tc>
          <w:tcPr>
            <w:tcW w:type="dxa" w:w="44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12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0"/>
              </w:rPr>
              <w:t>Fecha de Entrega: 28 / 10 / 2026</w:t>
            </w:r>
          </w:p>
        </w:tc>
        <w:tc>
          <w:tcPr>
            <w:tcW w:type="dxa" w:w="44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120" w:line="264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9"/>
                <w:rFonts w:ascii="Times New Roman" w:hAnsi="Times New Roman" w:cs="Times New Roman"/>
              </w:rPr>
              <w:t>Fecha de Aprobación: _____ / _____ / 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Times New Roman" w:hAnsi="Times New Roman"/>
        <w:b w:val="0"/>
        <w:i/>
        <w:color w:val="000000"/>
        <w:sz w:val="18"/>
        <w:rFonts w:ascii="Times New Roman" w:hAnsi="Times New Roman" w:cs="Times New Roman"/>
      </w:rPr>
      <w:t>Equipo 404 · Fase de Ejecución del Proyecto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Times New Roman" w:hAnsi="Times New Roman"/>
        <w:b w:val="0"/>
        <w:i/>
        <w:color w:val="000000"/>
        <w:sz w:val="18"/>
        <w:rFonts w:ascii="Times New Roman" w:hAnsi="Times New Roman" w:cs="Times New Roman"/>
      </w:rPr>
      <w:t>Facultad de Ingeniería – UAEMéx | Nexus FI: Documentación de Tareas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