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5373" w14:textId="4AC28860" w:rsidR="008B233C" w:rsidRPr="00350DB1" w:rsidRDefault="000D72AF" w:rsidP="007D0BA1">
      <w:pPr>
        <w:spacing w:before="0" w:after="0" w:line="240" w:lineRule="auto"/>
        <w:jc w:val="center"/>
        <w:rPr>
          <w:rFonts w:ascii="Times New Roman" w:hAnsi="Times New Roman" w:cs="Times New Roman"/>
          <w:b/>
          <w:bCs/>
          <w:sz w:val="32"/>
          <w:szCs w:val="32"/>
          <w:lang w:val="es-MX"/>
        </w:rPr>
      </w:pPr>
      <w:r>
        <w:rPr>
          <w:rFonts w:ascii="Times New Roman" w:hAnsi="Times New Roman" w:cs="Times New Roman"/>
          <w:b/>
          <w:bCs/>
          <w:sz w:val="32"/>
          <w:szCs w:val="32"/>
          <w:lang w:val="es-MX"/>
        </w:rPr>
        <w:t>FACULTAD DE INGENIERÍA</w:t>
      </w:r>
    </w:p>
    <w:p w14:paraId="1F6B73DD" w14:textId="77777777" w:rsidR="00350DB1" w:rsidRPr="00350DB1" w:rsidRDefault="00350DB1" w:rsidP="00350DB1">
      <w:pPr>
        <w:spacing w:before="0" w:after="0" w:line="180" w:lineRule="exact"/>
        <w:jc w:val="center"/>
        <w:rPr>
          <w:rFonts w:ascii="Times New Roman" w:hAnsi="Times New Roman" w:cs="Times New Roman"/>
          <w:b/>
          <w:bCs/>
          <w:sz w:val="32"/>
          <w:szCs w:val="32"/>
          <w:lang w:val="es-MX"/>
        </w:rPr>
      </w:pPr>
    </w:p>
    <w:p w14:paraId="357A073E" w14:textId="77777777" w:rsidR="00350DB1" w:rsidRDefault="00350DB1" w:rsidP="00350DB1">
      <w:pPr>
        <w:spacing w:before="0" w:after="0" w:line="180" w:lineRule="exact"/>
        <w:jc w:val="center"/>
        <w:rPr>
          <w:rFonts w:ascii="Times New Roman" w:hAnsi="Times New Roman" w:cs="Times New Roman"/>
          <w:b/>
          <w:bCs/>
          <w:sz w:val="36"/>
          <w:szCs w:val="36"/>
          <w:lang w:val="es-MX"/>
        </w:rPr>
      </w:pPr>
    </w:p>
    <w:p w14:paraId="0F021117" w14:textId="29ED9D65" w:rsidR="00350DB1" w:rsidRDefault="00350DB1" w:rsidP="00350DB1">
      <w:pPr>
        <w:spacing w:before="0" w:after="0" w:line="240" w:lineRule="auto"/>
        <w:jc w:val="center"/>
        <w:rPr>
          <w:rFonts w:ascii="Times New Roman" w:hAnsi="Times New Roman" w:cs="Times New Roman"/>
          <w:b/>
          <w:bCs/>
          <w:sz w:val="32"/>
          <w:szCs w:val="32"/>
          <w:lang w:val="es-MX"/>
        </w:rPr>
      </w:pPr>
      <w:r>
        <w:rPr>
          <w:rFonts w:ascii="Times New Roman" w:hAnsi="Times New Roman" w:cs="Times New Roman"/>
          <w:b/>
          <w:bCs/>
          <w:sz w:val="32"/>
          <w:szCs w:val="32"/>
          <w:lang w:val="es-MX"/>
        </w:rPr>
        <w:t>PLAN DE ESTUDIOS:</w:t>
      </w:r>
    </w:p>
    <w:p w14:paraId="18C22CD8" w14:textId="297B990E" w:rsidR="00350DB1" w:rsidRPr="00E97F65" w:rsidRDefault="00350DB1" w:rsidP="00E97F65">
      <w:pPr>
        <w:spacing w:before="0" w:after="0" w:line="240" w:lineRule="auto"/>
        <w:jc w:val="center"/>
        <w:rPr>
          <w:rFonts w:ascii="Times New Roman" w:hAnsi="Times New Roman" w:cs="Times New Roman"/>
          <w:sz w:val="32"/>
          <w:szCs w:val="32"/>
          <w:lang w:val="es-MX"/>
        </w:rPr>
      </w:pPr>
      <w:r w:rsidRPr="00350DB1">
        <w:rPr>
          <w:rFonts w:ascii="Times New Roman" w:hAnsi="Times New Roman" w:cs="Times New Roman"/>
          <w:sz w:val="32"/>
          <w:szCs w:val="32"/>
          <w:lang w:val="es-MX"/>
        </w:rPr>
        <w:t>Licenciatura de Ingeniería en Computación</w:t>
      </w:r>
    </w:p>
    <w:p w14:paraId="653C7FC6" w14:textId="77777777" w:rsidR="00350DB1" w:rsidRDefault="00350DB1" w:rsidP="00350DB1">
      <w:pPr>
        <w:spacing w:before="0" w:after="0" w:line="180" w:lineRule="exact"/>
        <w:jc w:val="center"/>
        <w:rPr>
          <w:rFonts w:ascii="Times New Roman" w:hAnsi="Times New Roman" w:cs="Times New Roman"/>
          <w:b/>
          <w:bCs/>
          <w:sz w:val="36"/>
          <w:szCs w:val="36"/>
          <w:lang w:val="es-MX"/>
        </w:rPr>
      </w:pPr>
    </w:p>
    <w:p w14:paraId="12B79946" w14:textId="68B43AB1" w:rsidR="00350DB1" w:rsidRPr="00350DB1" w:rsidRDefault="00350DB1" w:rsidP="00350DB1">
      <w:pPr>
        <w:spacing w:before="0" w:after="0" w:line="240" w:lineRule="auto"/>
        <w:jc w:val="center"/>
        <w:rPr>
          <w:rFonts w:ascii="Times New Roman" w:hAnsi="Times New Roman" w:cs="Times New Roman"/>
          <w:b/>
          <w:bCs/>
          <w:sz w:val="36"/>
          <w:szCs w:val="36"/>
          <w:lang w:val="es-MX"/>
        </w:rPr>
      </w:pPr>
      <w:r w:rsidRPr="00350DB1">
        <w:rPr>
          <w:rFonts w:ascii="Times New Roman" w:hAnsi="Times New Roman" w:cs="Times New Roman"/>
          <w:b/>
          <w:bCs/>
          <w:sz w:val="36"/>
          <w:szCs w:val="36"/>
          <w:lang w:val="es-MX"/>
        </w:rPr>
        <w:t>UNIDAD DE APRENDIZAJE:</w:t>
      </w:r>
    </w:p>
    <w:p w14:paraId="4EE7B616" w14:textId="040B7324" w:rsidR="00350DB1" w:rsidRDefault="00C46965" w:rsidP="00350DB1">
      <w:pPr>
        <w:spacing w:before="0" w:after="0" w:line="240" w:lineRule="auto"/>
        <w:jc w:val="center"/>
        <w:rPr>
          <w:rFonts w:ascii="Times New Roman" w:hAnsi="Times New Roman" w:cs="Times New Roman"/>
          <w:sz w:val="36"/>
          <w:szCs w:val="36"/>
          <w:lang w:val="es-MX"/>
        </w:rPr>
      </w:pPr>
      <w:r>
        <w:rPr>
          <w:rFonts w:ascii="Times New Roman" w:hAnsi="Times New Roman" w:cs="Times New Roman"/>
          <w:sz w:val="36"/>
          <w:szCs w:val="36"/>
          <w:lang w:val="es-MX"/>
        </w:rPr>
        <w:t>Administración de Proyectos Informáticos</w:t>
      </w:r>
    </w:p>
    <w:p w14:paraId="4C62736D" w14:textId="77777777" w:rsidR="00350DB1" w:rsidRPr="00350DB1" w:rsidRDefault="00350DB1" w:rsidP="00350DB1">
      <w:pPr>
        <w:spacing w:before="0" w:after="0" w:line="180" w:lineRule="exact"/>
        <w:jc w:val="center"/>
        <w:rPr>
          <w:rFonts w:ascii="Times New Roman" w:hAnsi="Times New Roman" w:cs="Times New Roman"/>
          <w:sz w:val="36"/>
          <w:szCs w:val="36"/>
          <w:lang w:val="es-MX"/>
        </w:rPr>
      </w:pPr>
    </w:p>
    <w:p w14:paraId="415D5BE8" w14:textId="24377195" w:rsidR="00350DB1" w:rsidRPr="00670E64" w:rsidRDefault="007C6AB3" w:rsidP="00670E64">
      <w:pPr>
        <w:spacing w:before="0" w:after="0" w:line="240" w:lineRule="auto"/>
        <w:jc w:val="center"/>
        <w:rPr>
          <w:rFonts w:ascii="Times New Roman" w:hAnsi="Times New Roman" w:cs="Times New Roman"/>
          <w:b/>
          <w:bCs/>
          <w:lang w:val="es-MX"/>
        </w:rPr>
      </w:pPr>
      <w:r>
        <w:rPr>
          <w:rFonts w:ascii="Times New Roman" w:hAnsi="Times New Roman" w:cs="Times New Roman"/>
          <w:b/>
          <w:bCs/>
          <w:sz w:val="48"/>
          <w:szCs w:val="48"/>
          <w:lang w:val="es-MX"/>
        </w:rPr>
        <w:t>Avance 1: Grupos de Procesos de Ejecución.</w:t>
      </w:r>
    </w:p>
    <w:p w14:paraId="325E3824" w14:textId="77777777" w:rsidR="00350DB1" w:rsidRDefault="00350DB1" w:rsidP="00350DB1">
      <w:pPr>
        <w:spacing w:before="0" w:after="0" w:line="180" w:lineRule="exact"/>
        <w:jc w:val="center"/>
        <w:rPr>
          <w:rFonts w:ascii="Times New Roman" w:hAnsi="Times New Roman" w:cs="Times New Roman"/>
          <w:b/>
          <w:bCs/>
          <w:sz w:val="36"/>
          <w:szCs w:val="36"/>
          <w:lang w:val="es-MX"/>
        </w:rPr>
      </w:pPr>
    </w:p>
    <w:p w14:paraId="1853F081" w14:textId="24398C34" w:rsidR="00350DB1" w:rsidRPr="00350DB1" w:rsidRDefault="00C46965" w:rsidP="00350DB1">
      <w:pPr>
        <w:spacing w:before="0" w:after="0" w:line="240" w:lineRule="auto"/>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Integrantes del Equipo 404</w:t>
      </w:r>
      <w:r w:rsidR="00350DB1" w:rsidRPr="00350DB1">
        <w:rPr>
          <w:rFonts w:ascii="Times New Roman" w:hAnsi="Times New Roman" w:cs="Times New Roman"/>
          <w:b/>
          <w:bCs/>
          <w:sz w:val="36"/>
          <w:szCs w:val="36"/>
          <w:lang w:val="es-MX"/>
        </w:rPr>
        <w:t>:</w:t>
      </w:r>
    </w:p>
    <w:p w14:paraId="04E3E77B" w14:textId="77777777" w:rsidR="00C46965"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Fernando Azuara Ibarra</w:t>
      </w:r>
    </w:p>
    <w:p w14:paraId="3634006C" w14:textId="77777777" w:rsidR="00C46965"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 xml:space="preserve">Santiago Cuevas Sánchez </w:t>
      </w:r>
    </w:p>
    <w:p w14:paraId="0401058E" w14:textId="77777777" w:rsidR="00C46965"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 xml:space="preserve">Aarón Nevid Domínguez Fuentes </w:t>
      </w:r>
    </w:p>
    <w:p w14:paraId="363ED5A7" w14:textId="77777777" w:rsidR="00C46965"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Joaquín Ulises García Álvarez</w:t>
      </w:r>
    </w:p>
    <w:p w14:paraId="239742EF" w14:textId="77777777" w:rsidR="00C46965"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Daniel Aguilar Sánchez</w:t>
      </w:r>
    </w:p>
    <w:p w14:paraId="7CEF8770" w14:textId="77777777" w:rsidR="00C46965"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Azuleica Betsabel de la Cruz González</w:t>
      </w:r>
    </w:p>
    <w:p w14:paraId="0C2BD1DF" w14:textId="77777777" w:rsidR="00C46965"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Ángel Israel de la Cruz Martínez</w:t>
      </w:r>
    </w:p>
    <w:p w14:paraId="6530157D" w14:textId="4D617AB8" w:rsidR="00350DB1"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Joan Alexis Ocaña Martínez</w:t>
      </w:r>
    </w:p>
    <w:p w14:paraId="43E63BCD" w14:textId="77777777" w:rsidR="00350DB1" w:rsidRDefault="00350DB1" w:rsidP="00350DB1">
      <w:pPr>
        <w:spacing w:before="0" w:after="0" w:line="180" w:lineRule="exact"/>
        <w:jc w:val="center"/>
        <w:rPr>
          <w:rFonts w:ascii="Times New Roman" w:hAnsi="Times New Roman" w:cs="Times New Roman"/>
          <w:b/>
          <w:bCs/>
          <w:sz w:val="36"/>
          <w:szCs w:val="36"/>
          <w:lang w:val="es-MX"/>
        </w:rPr>
      </w:pPr>
    </w:p>
    <w:p w14:paraId="67041567" w14:textId="354A05D6" w:rsidR="00350DB1" w:rsidRPr="00C46965" w:rsidRDefault="00350DB1" w:rsidP="00C46965">
      <w:pPr>
        <w:spacing w:before="0" w:after="0" w:line="240" w:lineRule="auto"/>
        <w:jc w:val="center"/>
        <w:rPr>
          <w:rFonts w:ascii="Times New Roman" w:hAnsi="Times New Roman" w:cs="Times New Roman"/>
          <w:b/>
          <w:bCs/>
          <w:sz w:val="36"/>
          <w:szCs w:val="36"/>
          <w:lang w:val="es-MX"/>
        </w:rPr>
      </w:pPr>
      <w:r w:rsidRPr="00350DB1">
        <w:rPr>
          <w:rFonts w:ascii="Times New Roman" w:hAnsi="Times New Roman" w:cs="Times New Roman"/>
          <w:b/>
          <w:bCs/>
          <w:sz w:val="36"/>
          <w:szCs w:val="36"/>
          <w:lang w:val="es-MX"/>
        </w:rPr>
        <w:t>GRUPO:</w:t>
      </w:r>
      <w:r w:rsidR="00C46965">
        <w:rPr>
          <w:rFonts w:ascii="Times New Roman" w:hAnsi="Times New Roman" w:cs="Times New Roman"/>
          <w:b/>
          <w:bCs/>
          <w:sz w:val="36"/>
          <w:szCs w:val="36"/>
          <w:lang w:val="es-MX"/>
        </w:rPr>
        <w:t xml:space="preserve"> </w:t>
      </w:r>
      <w:r w:rsidR="00C46965" w:rsidRPr="00C46965">
        <w:rPr>
          <w:rFonts w:ascii="Times New Roman" w:hAnsi="Times New Roman" w:cs="Times New Roman"/>
          <w:sz w:val="36"/>
          <w:szCs w:val="36"/>
          <w:lang w:val="es-MX"/>
        </w:rPr>
        <w:t>O2</w:t>
      </w:r>
    </w:p>
    <w:p w14:paraId="3E7C47C1" w14:textId="77777777" w:rsidR="00350DB1" w:rsidRDefault="00350DB1" w:rsidP="00350DB1">
      <w:pPr>
        <w:spacing w:before="0" w:after="0" w:line="180" w:lineRule="exact"/>
        <w:jc w:val="center"/>
        <w:rPr>
          <w:rFonts w:ascii="Times New Roman" w:hAnsi="Times New Roman" w:cs="Times New Roman"/>
          <w:b/>
          <w:bCs/>
          <w:sz w:val="36"/>
          <w:szCs w:val="36"/>
          <w:lang w:val="es-MX"/>
        </w:rPr>
      </w:pPr>
    </w:p>
    <w:p w14:paraId="5DDDC74B" w14:textId="7290F7B8" w:rsidR="00350DB1" w:rsidRPr="00350DB1" w:rsidRDefault="00350DB1" w:rsidP="00350DB1">
      <w:pPr>
        <w:spacing w:before="0" w:after="0" w:line="240" w:lineRule="auto"/>
        <w:jc w:val="center"/>
        <w:rPr>
          <w:rFonts w:ascii="Times New Roman" w:hAnsi="Times New Roman" w:cs="Times New Roman"/>
          <w:b/>
          <w:bCs/>
          <w:sz w:val="36"/>
          <w:szCs w:val="36"/>
          <w:lang w:val="es-MX"/>
        </w:rPr>
      </w:pPr>
      <w:r w:rsidRPr="00350DB1">
        <w:rPr>
          <w:rFonts w:ascii="Times New Roman" w:hAnsi="Times New Roman" w:cs="Times New Roman"/>
          <w:b/>
          <w:bCs/>
          <w:sz w:val="36"/>
          <w:szCs w:val="36"/>
          <w:lang w:val="es-MX"/>
        </w:rPr>
        <w:t>DOCENTE:</w:t>
      </w:r>
    </w:p>
    <w:p w14:paraId="06EA44B4" w14:textId="1053E3DE" w:rsidR="004E3DF0" w:rsidRDefault="00953AAC" w:rsidP="004E3DF0">
      <w:pPr>
        <w:spacing w:before="0" w:after="0" w:line="240" w:lineRule="auto"/>
        <w:jc w:val="center"/>
        <w:rPr>
          <w:rFonts w:ascii="Times New Roman" w:hAnsi="Times New Roman" w:cs="Times New Roman"/>
          <w:sz w:val="36"/>
          <w:szCs w:val="36"/>
          <w:lang w:val="es-MX"/>
        </w:rPr>
      </w:pPr>
      <w:r w:rsidRPr="00953AAC">
        <w:rPr>
          <w:rFonts w:ascii="Times New Roman" w:hAnsi="Times New Roman" w:cs="Times New Roman"/>
          <w:sz w:val="36"/>
          <w:szCs w:val="36"/>
          <w:lang w:val="es-MX"/>
        </w:rPr>
        <w:tab/>
      </w:r>
      <w:r w:rsidR="00C46965" w:rsidRPr="00C46965">
        <w:rPr>
          <w:rFonts w:ascii="Times New Roman" w:hAnsi="Times New Roman" w:cs="Times New Roman"/>
          <w:sz w:val="36"/>
          <w:szCs w:val="36"/>
          <w:lang w:val="es-MX"/>
        </w:rPr>
        <w:t>I. EN C. CÍNTIA GONZÁLEZ MIRELES</w:t>
      </w:r>
    </w:p>
    <w:p w14:paraId="6DFFCE27" w14:textId="77777777" w:rsidR="00C46965" w:rsidRPr="00953AAC" w:rsidRDefault="00C46965" w:rsidP="004E3DF0">
      <w:pPr>
        <w:spacing w:before="0" w:after="0" w:line="180" w:lineRule="exact"/>
        <w:jc w:val="center"/>
        <w:rPr>
          <w:rFonts w:ascii="Times New Roman" w:hAnsi="Times New Roman" w:cs="Times New Roman"/>
          <w:sz w:val="36"/>
          <w:szCs w:val="36"/>
          <w:lang w:val="es-MX"/>
        </w:rPr>
      </w:pPr>
    </w:p>
    <w:p w14:paraId="5296AFFE" w14:textId="158C2774" w:rsidR="00E074F5" w:rsidRDefault="00776D80" w:rsidP="00FF7584">
      <w:pPr>
        <w:spacing w:before="0" w:after="0" w:line="240" w:lineRule="auto"/>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Toluca</w:t>
      </w:r>
      <w:r w:rsidR="00350DB1" w:rsidRPr="00350DB1">
        <w:rPr>
          <w:rFonts w:ascii="Times New Roman" w:hAnsi="Times New Roman" w:cs="Times New Roman"/>
          <w:b/>
          <w:bCs/>
          <w:sz w:val="36"/>
          <w:szCs w:val="36"/>
          <w:lang w:val="es-MX"/>
        </w:rPr>
        <w:t xml:space="preserve">, Estado de México, </w:t>
      </w:r>
      <w:r w:rsidR="009167CE" w:rsidRPr="009167CE">
        <w:rPr>
          <w:rFonts w:ascii="Times New Roman" w:hAnsi="Times New Roman" w:cs="Times New Roman"/>
          <w:b/>
          <w:bCs/>
          <w:sz w:val="36"/>
          <w:szCs w:val="36"/>
          <w:u w:val="single"/>
          <w:lang w:val="es-MX"/>
        </w:rPr>
        <w:t>2</w:t>
      </w:r>
      <w:r w:rsidR="00EE0B0C" w:rsidRPr="009167CE">
        <w:rPr>
          <w:rFonts w:ascii="Times New Roman" w:hAnsi="Times New Roman" w:cs="Times New Roman"/>
          <w:b/>
          <w:bCs/>
          <w:sz w:val="36"/>
          <w:szCs w:val="36"/>
          <w:u w:val="single"/>
          <w:lang w:val="es-MX"/>
        </w:rPr>
        <w:t>2</w:t>
      </w:r>
      <w:r w:rsidR="00C46965">
        <w:rPr>
          <w:rFonts w:ascii="Times New Roman" w:hAnsi="Times New Roman" w:cs="Times New Roman"/>
          <w:b/>
          <w:bCs/>
          <w:sz w:val="36"/>
          <w:szCs w:val="36"/>
          <w:lang w:val="es-MX"/>
        </w:rPr>
        <w:t xml:space="preserve"> de octubre de 2026</w:t>
      </w:r>
    </w:p>
    <w:p>
      <w:pPr>
        <w:sectPr>
          <w:headerReference w:type="default" r:id="rId10"/>
          <w:footerReference w:type="default" r:id="rId11"/>
          <w:headerReference w:type="first" r:id="rId16"/>
          <w:footerReference w:type="first" r:id="rId17"/>
          <w:pgSz w:w="12240" w:h="15840" w:code="1"/>
          <w:pgMar w:top="2381" w:right="1701" w:bottom="1418" w:left="1701" w:header="709" w:footer="709" w:gutter="0"/>
          <w:cols w:space="708"/>
          <w:docGrid w:linePitch="360"/>
        </w:sectPr>
      </w:pP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ÍNDICE DE CONTENIDO</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Espacio reservado para la inserción automática del Índice de Contenido mediante la herramienta oficial de Microsoft Word, accesible en la pestaña Referencias, sección Tabla de contenido. Todos los títulos de este documento han sido configurados bajo los estilos nativos Título 1, Título 2 y Título 3 en tipografía Times New Roman para su compilación inmediata.</w:t>
      </w:r>
    </w:p>
    <w:p>
      <w:r>
        <w:br w:type="page"/>
      </w: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1. INTRODUCCIÓN Y CONTEXTUALIZACIÓN INSTITUCIONAL</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1.1 Propósito y Alcance del Informe de Avance</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presente informe técnico documenta el primer corte de ejecución correspondiente al proyecto Nexus FI, diseñado para la Facultad de Ingeniería de la Universidad Autónoma del Estado de México. El propósito central del proyecto radica en proporcionar un asistente virtual inteligente sustentado en la arquitectura de Generación Aumentada por Recuperación, concebido para orientar de forma oportuna a la comunidad estudiantil de la Licenciatura en Ingeniería en Computación respecto a trámites escolares, opciones de titulación, servicio social, becas y normativa universitaria.</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A diferencia de herramientas comerciales genéricas, Nexus FI fundamenta sus respuestas exclusivamente en el acervo oficial verificado de la institución, citando de manera explícita los reglamentos y artículos aplicables para garantizar certeza jurídica y prevenir conjeturas.</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1.2 Marco Metodológico y Alineación con la Estructura de Desglose del Trabajo</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desarrollo del proyecto se fundamenta en las directrices del estándar PMBOK y responde fielmente al Plan de Gestión del Alcance estipulado en el documento maestro de planificación. Cada avance presentado en este informe se vincula de manera puntual con los paquetes de trabajo de la Estructura de Desglose del Trabajo, garantizando trazabilidad técnica, asignación clara de responsabilidades y supervisión de costos operativos.</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1.3 Balance General de Ejecución y Desempeño Financiero</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En este primer corte de ejecución, el equipo consolidó la curaduría documental, la digitalización óptica local y la estructuración de fragmentos vectoriales, alcanzando la unificación operativa del código fuente en el repositorio central. En términos presupuestarios, se logró una estricta optimización de recursos, registrando cero pesos en adquisiciones de infraestructura fija para la Facultad y un gasto devengado de únicamente cuarenta y ocho centavos de dólar en servicios de nube para la vectorización de todo el acervo.</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1.1: Resumen ejecutivo de avance físico y financiero por fase del proyecto.</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80"/>
        <w:gridCol w:w="2280"/>
        <w:gridCol w:w="2280"/>
        <w:gridCol w:w="2280"/>
      </w:tblGrid>
      <w:tr>
        <w:tc>
          <w:tcPr>
            <w:tcW w:type="dxa" w:w="2160"/>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Fase WBS</w:t>
            </w:r>
          </w:p>
        </w:tc>
        <w:tc>
          <w:tcPr>
            <w:tcW w:type="dxa" w:w="331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Alcance Programado</w:t>
            </w:r>
          </w:p>
        </w:tc>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Estado Técnico</w:t>
            </w:r>
          </w:p>
        </w:tc>
        <w:tc>
          <w:tcPr>
            <w:tcW w:type="dxa" w:w="2016"/>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Presupuesto Devengado</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1.1 Gestión del Proyecto</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Líneas base, gobernanza y repositorio Git</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100% Completado en primer corte</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$0.00 MXN</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 Análisis y Curaduría</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Curaduría documental, OCR y segmentación RF08</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100% Acervo base procesado</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$0.00 MXN mediante OCR local</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1.3 Desarrollo Núcleo RAG</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Base LanceDB, API REST FastAPI y PWA</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100% Operativo e integrado</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$0.0485 USD en OpenAI API</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1.4 Calidad y Telemetría</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Pruebas CLI, auditoría de claves y setup</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100% Validado sin filtraciones</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$0.00 MXN</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1.5 Despliegue Cloud</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Contenedores Docker y nube AWS S3 y ECS</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Programado para siguiente fase</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Asignado a Fase 2 y 3</w:t>
            </w:r>
          </w:p>
        </w:tc>
      </w:tr>
    </w:tbl>
    <w:p>
      <w:pPr>
        <w:spacing w:after="80"/>
      </w:pP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2. GESTIÓN DEL PROYECTO Y GOBERNANZA - WBS 1.1</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2.1 Dirección, Monitoreo y Control Integrado - WBS 1.1.4</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Bajo la coordinación del estudiante Fernando Azuara Ibarra como Project Manager, el Equipo 404 implementó una estrategia de recopilación documental descentralizada, estableciendo revisiones periódicas y resolviendo desviaciones operativas oportunamente. El Project Manager atendió la depuración de inconsistencias en los formatos de archivo originales y dirigió la consolidación técnica del código disperso en múltiples ramas de trabajo.</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En el marco de la gestión de la configuración, se administró el repositorio central en GitHub, coordinando la fusión de los módulos desarrollados por los integrantes hacia las ramas principales de integración y producción sin pérdidas de historial ni conflictos de versiones.</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2.1: Registro de control de ramas, integración y versiones consolidadas.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80"/>
        <w:gridCol w:w="2280"/>
        <w:gridCol w:w="2280"/>
        <w:gridCol w:w="2280"/>
      </w:tblGrid>
      <w:tr>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Rama de Origen</w:t>
            </w:r>
          </w:p>
        </w:tc>
        <w:tc>
          <w:tcPr>
            <w:tcW w:type="dxa" w:w="331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Componente Aportado</w:t>
            </w:r>
          </w:p>
        </w:tc>
        <w:tc>
          <w:tcPr>
            <w:tcW w:type="dxa" w:w="2448"/>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Responsable Técnico</w:t>
            </w:r>
          </w:p>
        </w:tc>
        <w:tc>
          <w:tcPr>
            <w:tcW w:type="dxa" w:w="2016"/>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Integración en Main</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feature/daniel-nexusfi-ui</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Frontend PWA, estilos verde oro y dashboard</w:t>
            </w:r>
          </w:p>
        </w:tc>
        <w:tc>
          <w:tcPr>
            <w:tcW w:type="dxa" w:w="244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Daniel Aguilar Sánchez</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Directorio frontend/</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API</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Diagnósticos de API, guías y auditor de seguridad</w:t>
            </w:r>
          </w:p>
        </w:tc>
        <w:tc>
          <w:tcPr>
            <w:tcW w:type="dxa" w:w="244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Joaquín Ulises García Álvarez</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Directorio backend/config_api/</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BaseVectorial</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Pipeline de ingesta, 3,977 chunks y LanceDB</w:t>
            </w:r>
          </w:p>
        </w:tc>
        <w:tc>
          <w:tcPr>
            <w:tcW w:type="dxa" w:w="244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Equipo 404 y Fernando Azuara</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nexus_ingestion/ y Procesados/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main base</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Telemetría DT-10 y verificación de credenciales</w:t>
            </w:r>
          </w:p>
        </w:tc>
        <w:tc>
          <w:tcPr>
            <w:tcW w:type="dxa" w:w="244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Ángel Israel De La Cruz Martínez</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main.py y /api/health</w:t>
            </w:r>
          </w:p>
        </w:tc>
      </w:tr>
    </w:tbl>
    <w:p>
      <w:pPr>
        <w:spacing w:after="80"/>
      </w:pP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3. ANÁLISIS, CURADURÍA Y ESPECIFICACIÓN DEL ACERVO - WBS 1.2</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3.1 Curaduría del Acervo Documental Institucional - WBS 1.2.1</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Con el objetivo de garantizar una cobertura representativa de los servicios y normativas de la Facultad, el equipo llevó a cabo una campaña de recolección física y digital documentada formalmente en la bitácora del proyecto. Cada área de información fue asignada a un estudiante responsable de compilar los reglamentos, planes de estudio y procedimientos administrativos correspondientes.</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3.1: Matriz de recolección de acervo documental por área y responsable.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040"/>
        <w:gridCol w:w="3040"/>
        <w:gridCol w:w="3040"/>
      </w:tblGrid>
      <w:tr>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Responsable</w:t>
            </w:r>
          </w:p>
        </w:tc>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Área Asignada</w:t>
            </w:r>
          </w:p>
        </w:tc>
        <w:tc>
          <w:tcPr>
            <w:tcW w:type="dxa" w:w="4896"/>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Documentos y Trámites Recolectados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Aarón Nevid Domínguez Fuentes</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Legislación y Planes de Estudio</w:t>
            </w:r>
          </w:p>
        </w:tc>
        <w:tc>
          <w:tcPr>
            <w:tcW w:type="dxa" w:w="48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45 reglamentos de legislación universitaria, mapas curriculares y planes de estudio de la carrera.</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Azuleica Betsabel De La Cruz González</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Servicios Escolares e Instalaciones</w:t>
            </w:r>
          </w:p>
        </w:tc>
        <w:tc>
          <w:tcPr>
            <w:tcW w:type="dxa" w:w="48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Guías de Control Escolar, Laboratorio Digital de Idiomas, Sistema Bibliotecario y convenios institucionales.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Joan Alexis Ocaña Martínez</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Movilidad Estudiantil</w:t>
            </w:r>
          </w:p>
        </w:tc>
        <w:tc>
          <w:tcPr>
            <w:tcW w:type="dxa" w:w="48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Lineamientos generales de movilidad, convocatorias intrainstitucionales, nacionales e internacionales.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Joaquín Ulises García Álvarez</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Becas y Trámites Centrales</w:t>
            </w:r>
          </w:p>
        </w:tc>
        <w:tc>
          <w:tcPr>
            <w:tcW w:type="dxa" w:w="48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Convocatorias de becas UAEMéx, actividades culturales, derechos universitarios y trámites en Rectoría.</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Ángel Israel De La Cruz Martínez</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Actividades Deportivas</w:t>
            </w:r>
          </w:p>
        </w:tc>
        <w:tc>
          <w:tcPr>
            <w:tcW w:type="dxa" w:w="48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Convocatorias de promoción deportiva, torneos internos de bienvenida y activaciones físicas universitarias.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Fernando Azuara Ibarra</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Coordinación y Gobernanza</w:t>
            </w:r>
          </w:p>
        </w:tc>
        <w:tc>
          <w:tcPr>
            <w:tcW w:type="dxa" w:w="48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Gestión integral de recolección, plantilla estandarizada de trámites y validación de autenticidad documental.</w:t>
            </w:r>
          </w:p>
        </w:tc>
      </w:tr>
    </w:tbl>
    <w:p>
      <w:pPr>
        <w:spacing w:after="80"/>
      </w:pP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3.2 Ingesta y Procesamiento de Contenido de Redes Sociales - WBS 1.2.1</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estudiante Santiago Cuevas Sánchez desarrolló una herramienta técnica orientada a capturar y digitalizar la información dinámica difundida por la Facultad de Ingeniería en Facebook e Instagram. Su informe documenta que el intento inicial de navegación web directa enfrentó pantallas de bloqueo por autenticación obligatoria y riesgos de suspensión de cuentas por las políticas de seguridad de Meta.</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Para solucionar este desafío, Santiago diseñó un modelo desacoplado que utilizó scrapers en la nube mediante Apify y un pipeline local en Python denominado procesar_posts.py. El sistema descarga las imágenes institucionales con criterios de idempotencia para no duplicar archivos, descarta datos personales para resguardar la privacidad e integra el motor Tesseract OCR en español, logrando transcribir eficazmente convocatorias y carteles escolares.</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3.2: Métricas de procesamiento de contenido de redes sociales oficiales.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520"/>
        <w:gridCol w:w="1520"/>
        <w:gridCol w:w="1520"/>
        <w:gridCol w:w="1520"/>
        <w:gridCol w:w="1520"/>
        <w:gridCol w:w="1520"/>
      </w:tblGrid>
      <w:tr>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Canal Oficial</w:t>
            </w:r>
          </w:p>
        </w:tc>
        <w:tc>
          <w:tcPr>
            <w:tcW w:type="dxa" w:w="1440"/>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Posts Analizados</w:t>
            </w:r>
          </w:p>
        </w:tc>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Tipología de Contenido</w:t>
            </w:r>
          </w:p>
        </w:tc>
        <w:tc>
          <w:tcPr>
            <w:tcW w:type="dxa" w:w="1584"/>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Portadas Descargadas</w:t>
            </w:r>
          </w:p>
        </w:tc>
        <w:tc>
          <w:tcPr>
            <w:tcW w:type="dxa" w:w="115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Textos OCR</w:t>
            </w:r>
          </w:p>
        </w:tc>
        <w:tc>
          <w:tcPr>
            <w:tcW w:type="dxa" w:w="720"/>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Fallas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Facebook FIUAEM</w:t>
            </w:r>
          </w:p>
        </w:tc>
        <w:tc>
          <w:tcPr>
            <w:tcW w:type="dxa" w:w="144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5</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Directas, compartidas y video</w:t>
            </w:r>
          </w:p>
        </w:tc>
        <w:tc>
          <w:tcPr>
            <w:tcW w:type="dxa" w:w="158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20</w:t>
            </w:r>
          </w:p>
        </w:tc>
        <w:tc>
          <w:tcPr>
            <w:tcW w:type="dxa" w:w="115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6</w:t>
            </w:r>
          </w:p>
        </w:tc>
        <w:tc>
          <w:tcPr>
            <w:tcW w:type="dxa" w:w="72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Instagram ingenieriauaemex</w:t>
            </w:r>
          </w:p>
        </w:tc>
        <w:tc>
          <w:tcPr>
            <w:tcW w:type="dxa" w:w="144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5</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Carruseles, video y avisos</w:t>
            </w:r>
          </w:p>
        </w:tc>
        <w:tc>
          <w:tcPr>
            <w:tcW w:type="dxa" w:w="158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5</w:t>
            </w:r>
          </w:p>
        </w:tc>
        <w:tc>
          <w:tcPr>
            <w:tcW w:type="dxa" w:w="115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3</w:t>
            </w:r>
          </w:p>
        </w:tc>
        <w:tc>
          <w:tcPr>
            <w:tcW w:type="dxa" w:w="72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Total Evaluado</w:t>
            </w:r>
          </w:p>
        </w:tc>
        <w:tc>
          <w:tcPr>
            <w:tcW w:type="dxa" w:w="144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10</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Convocatorias e infografías</w:t>
            </w:r>
          </w:p>
        </w:tc>
        <w:tc>
          <w:tcPr>
            <w:tcW w:type="dxa" w:w="158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25</w:t>
            </w:r>
          </w:p>
        </w:tc>
        <w:tc>
          <w:tcPr>
            <w:tcW w:type="dxa" w:w="115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9</w:t>
            </w:r>
          </w:p>
        </w:tc>
        <w:tc>
          <w:tcPr>
            <w:tcW w:type="dxa" w:w="72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w:t>
            </w:r>
          </w:p>
        </w:tc>
      </w:tr>
    </w:tbl>
    <w:p>
      <w:pPr>
        <w:spacing w:after="80"/>
      </w:pP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Como recomendación técnica para la sostenibilidad del flujo de datos, Santiago subrayó la conveniencia de gestionar ante la Unidad de Comunicación de la Facultad el acceso formal a la Meta Graph API institucional o coordinar un repositorio compartido donde los diseñadores depositen los materiales gráficos al momento de publicarse.</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3.3 Normalización, Extracción Híbrida y Segmentación - WBS 1.2.2</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La estructuración definitiva del acervo requirió una etapa de depuración en la que se descartaron ochenta y tres archivos residuales y descargas incompletas. Se construyó un pipeline de extracción híbrido capaz de procesar documentos digitales nativos y ejecutar reconocimiento óptico de caracteres para cuarenta y siete expedientes escaneados que sumaban seiscientas cincuenta páginas. Este procesamiento utilizó la biblioteca RapidOCR sobre ONNX Runtime, aprovechando procesamiento multihilo local sin generar costos externos.</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acervo resultante reúne doscientos once documentos canónicos organizados en seis categorías temáticas. Para dar cumplimiento al requisito funcional RF08, se aplicó un algoritmo de segmentación estructural que dividió los textos en fragmentos de entre 132 y 674 tokens, manteniendo un solapamiento inter-párrafo del 15% para preservar el contexto normativo original.</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3.3: Distribución del acervo documental por categoría temática procesada.</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80"/>
        <w:gridCol w:w="2280"/>
        <w:gridCol w:w="2280"/>
        <w:gridCol w:w="2280"/>
      </w:tblGrid>
      <w:tr>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Código de Categoría</w:t>
            </w:r>
          </w:p>
        </w:tc>
        <w:tc>
          <w:tcPr>
            <w:tcW w:type="dxa" w:w="3888"/>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Descripción Temática Institucional</w:t>
            </w:r>
          </w:p>
        </w:tc>
        <w:tc>
          <w:tcPr>
            <w:tcW w:type="dxa" w:w="1728"/>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Documentos Canónicos</w:t>
            </w:r>
          </w:p>
        </w:tc>
        <w:tc>
          <w:tcPr>
            <w:tcW w:type="dxa" w:w="187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Total Fragmentos RF08</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01_Normativa_Universitaria</w:t>
            </w:r>
          </w:p>
        </w:tc>
        <w:tc>
          <w:tcPr>
            <w:tcW w:type="dxa" w:w="388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Estatutos, reglamentos generales y acuerdos de Consejo</w:t>
            </w:r>
          </w:p>
        </w:tc>
        <w:tc>
          <w:tcPr>
            <w:tcW w:type="dxa" w:w="172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45</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1,842</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02_Planes_de_Estudio_ICO</w:t>
            </w:r>
          </w:p>
        </w:tc>
        <w:tc>
          <w:tcPr>
            <w:tcW w:type="dxa" w:w="388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Mapas curriculares, unidades de aprendizaje y créditos</w:t>
            </w:r>
          </w:p>
        </w:tc>
        <w:tc>
          <w:tcPr>
            <w:tcW w:type="dxa" w:w="172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58</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890</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03_Becas_y_Apoyos</w:t>
            </w:r>
          </w:p>
        </w:tc>
        <w:tc>
          <w:tcPr>
            <w:tcW w:type="dxa" w:w="388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Convocatorias de becas institucionales y estímulos</w:t>
            </w:r>
          </w:p>
        </w:tc>
        <w:tc>
          <w:tcPr>
            <w:tcW w:type="dxa" w:w="172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38</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415</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04_Tramites_y_Servicios</w:t>
            </w:r>
          </w:p>
        </w:tc>
        <w:tc>
          <w:tcPr>
            <w:tcW w:type="dxa" w:w="388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Guías de titulación, servicio social y reinscripción</w:t>
            </w:r>
          </w:p>
        </w:tc>
        <w:tc>
          <w:tcPr>
            <w:tcW w:type="dxa" w:w="172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34</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380</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05_Instalaciones_y_Servicios</w:t>
            </w:r>
          </w:p>
        </w:tc>
        <w:tc>
          <w:tcPr>
            <w:tcW w:type="dxa" w:w="388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Reglamento bibliotecario, laboratorios y convenios</w:t>
            </w:r>
          </w:p>
        </w:tc>
        <w:tc>
          <w:tcPr>
            <w:tcW w:type="dxa" w:w="172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25</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312</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06_Coordinacion_ICO</w:t>
            </w:r>
          </w:p>
        </w:tc>
        <w:tc>
          <w:tcPr>
            <w:tcW w:type="dxa" w:w="388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Avisos de coordinación, contactos y directorios de área</w:t>
            </w:r>
          </w:p>
        </w:tc>
        <w:tc>
          <w:tcPr>
            <w:tcW w:type="dxa" w:w="172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11</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138</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Total Consolidado</w:t>
            </w:r>
          </w:p>
        </w:tc>
        <w:tc>
          <w:tcPr>
            <w:tcW w:type="dxa" w:w="388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Acervo Oficial Verificado de la Facultad de Ingeniería</w:t>
            </w:r>
          </w:p>
        </w:tc>
        <w:tc>
          <w:tcPr>
            <w:tcW w:type="dxa" w:w="172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211</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3,977</w:t>
            </w:r>
          </w:p>
        </w:tc>
      </w:tr>
    </w:tbl>
    <w:p>
      <w:pPr>
        <w:spacing w:after="80"/>
      </w:pP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3.4 Especificación y Calibración Anti-Alucinaciones - WBS 1.2.3</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Con el propósito de cumplir el requisito funcional RF13, se calibró experimentalmente el umbral de similitud semántica en un valor de 0.52 utilizando la métrica de similitud coseno. Los fragmentos que no alcancen dicho umbral son descartados automáticamente por el motor de búsqueda, activando un mensaje preventivo que orienta al alumno a acudir a las áreas físicas correspondientes.</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Asimismo, se satisfizo el requisito funcional RF09 sobre trazabilidad documental. Cada respuesta formulada por el sistema despliega obligatoriamente la referencia institucional completa, detallando el nombre del archivo, su categoría temática, el número de artículo y el intervalo de páginas.</w:t>
      </w: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4. DESARROLLO TÉCNICO DEL NÚCLEO RAG E INTERFACES - WBS 1.3</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4.1 Provisión del Repositorio Vectorial - WBS 1.3.1</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Para el almacenamiento y consulta de alta velocidad de los vectores semánticos, el equipo implementó la base de datos vectorial LanceDB. Esta tecnología serverless trabaja directamente sobre disco y memoria mediante el formato columnar de Apache Arrow, ofreciendo tiempos de respuesta inferiores a cincuenta milisegundos sin requerir servidores adicionales.</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La tabla denominada nexus_documents fue poblada con los 3,977 fragmentos procesados empleando el modelo text-embedding-3-small de OpenAI en 1,536 dimensiones. La indexación completa concluyó en setenta y cuatro segundos con un costo total de 0.0485 dólares estadounidenses.</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4.2 Pipeline Automatizado de Ingesta - WBS 1.3.2</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Se desarrolló el paquete interno nexus_ingestion, integrado por módulos específicos para la extracción de texto, limpieza de codificación, segmentación controlada por tokens, generación de embeddings con reintentos automáticos y persistencia idempotente en la base de datos vectorial para prevenir duplicados.</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4.3 Orquestador RAG y Servidor REST - WBS 1.3.3</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La lógica de negocio se consolidó mediante FastAPI en el backend del proyecto. El servidor publica el endpoint principal /api/chat, responsable de vectorizar las preguntas, consultar LanceDB bajo el umbral de 0.52 y solicitar la síntesis contextual al modelo generativo. Adicionalmente, se habilitaron los servicios /api/health para diagnóstico del sistema y /api/stats para publicar estadísticas del acervo.</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4.4 Interfaz Webchat y Tablero de Control PWA - WBS 1.3.4</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estudiante Daniel Aguilar Sánchez dirigió el diseño y desarrollo de las interfaces de usuario del proyecto. Su labor comprendió la creación de dos entornos: una interfaz conversacional para los alumnos y un panel de métricas para la administración institucional.</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desarrollo mantuvo una separación limpia entre estructura HTML, estilos visuales en CSS e interacciones en JavaScript. La presentación visual integró la paleta institucional verde oro (#006747 y #D5A62E), asegurando adaptabilidad a dispositivos móviles y computadoras de escritorio. Daniel incorporó la base para una aplicación web progresiva mediante un archivo de manifiesto, un icono en formato SVG y un service worker para la gestión de recursos en memoria local.</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4.1: Componentes y responsabilidades de la interfaz de usuario PWA.</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040"/>
        <w:gridCol w:w="3040"/>
        <w:gridCol w:w="3040"/>
      </w:tblGrid>
      <w:tr>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Recurso de Frontend</w:t>
            </w:r>
          </w:p>
        </w:tc>
        <w:tc>
          <w:tcPr>
            <w:tcW w:type="dxa" w:w="331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Propósito en la Arquitectura</w:t>
            </w:r>
          </w:p>
        </w:tc>
        <w:tc>
          <w:tcPr>
            <w:tcW w:type="dxa" w:w="4176"/>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Funcionalidad Integrada con Backend</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index.html</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Estructura principal del chat para alumnos</w:t>
            </w:r>
          </w:p>
        </w:tc>
        <w:tc>
          <w:tcPr>
            <w:tcW w:type="dxa" w:w="417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Feed de conversación, barra de mensajes, accesos rápidos a trámites.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dashboard.html</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Tablero de indicadores administrativos</w:t>
            </w:r>
          </w:p>
        </w:tc>
        <w:tc>
          <w:tcPr>
            <w:tcW w:type="dxa" w:w="417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Visualización de consultas, latencia, disponibilidad y distribución de temas.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styles.css</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Sistema de diseño e identidad UAEMéx</w:t>
            </w:r>
          </w:p>
        </w:tc>
        <w:tc>
          <w:tcPr>
            <w:tcW w:type="dxa" w:w="417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Variables visuales verde oro, tipografías y reglas de diseño responsivo.</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app.js</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Lógica de cliente y comunicación asíncrona</w:t>
            </w:r>
          </w:p>
        </w:tc>
        <w:tc>
          <w:tcPr>
            <w:tcW w:type="dxa" w:w="417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Consumo dinámico de /api/chat, renderizado de citas RF09 y modo offline.</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manifest.webmanifest</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Metadatos de instalación móvil</w:t>
            </w:r>
          </w:p>
        </w:tc>
        <w:tc>
          <w:tcPr>
            <w:tcW w:type="dxa" w:w="417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Habilita la instalación como aplicación nativa en teléfonos y tabletas.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service-worker.js</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Estrategia de caché y disponibilidad</w:t>
            </w:r>
          </w:p>
        </w:tc>
        <w:tc>
          <w:tcPr>
            <w:tcW w:type="dxa" w:w="417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Almacenamiento local de recursos estáticos para acelerar la carga.</w:t>
            </w:r>
          </w:p>
        </w:tc>
      </w:tr>
    </w:tbl>
    <w:p>
      <w:pPr>
        <w:spacing w:after="80"/>
      </w:pP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Durante la integración, el equipo enriqueció el archivo app.js para enlazar las consultas de los usuarios con el servidor real mediante peticiones asíncronas. La interfaz muestra dinámicamente las fuentes normativas consultadas junto con el porcentaje de similitud semántica, manteniendo las respuestas locales predefinidas como mecanismo de respaldo ante desconexiones.</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4.5 Ciberseguridad, Gestión de Credenciales y Telemetría - WBS 1.3.5</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La seguridad perimetral constituyó una prioridad técnica. El estudiante Joaquín Ulises García Álvarez elaboró los manuales para la administración segura de credenciales, desarrollando scripts de diagnóstico de latencia y el catálogo de modelos compatibles en la rama API. Joaquín diseñó también un script de auditoría preventiva para revisar el código antes de subir cambios a Git.</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estudiante Ángel Israel De La Cruz Martínez desarrolló y validó el módulo DT-10 de Seguridad y Telemetría. Ángel aseguró la carga protegida de parámetros confidenciales mediante variables de entorno en archivos excluidos del repositorio central, registrando una latencia de conexión de 2.1 segundos hacia los servicios de inferencia.</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Para responder al requerimiento de generar reportes contables y métricas de consumo independientes por servicio, el sistema se actualizó estableciendo una segregación estricta de cuatro claves de acceso a nivel de infraestructura, garantizando que el gasto de vectorización no se combine con las consultas del chat ni con las pruebas de modelos avanzados.</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4.2: Matriz de claves de API segregadas y asignación por servicio.</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80"/>
        <w:gridCol w:w="2280"/>
        <w:gridCol w:w="2280"/>
        <w:gridCol w:w="2280"/>
      </w:tblGrid>
      <w:tr>
        <w:tc>
          <w:tcPr>
            <w:tcW w:type="dxa" w:w="3024"/>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Identificador de Variable</w:t>
            </w:r>
          </w:p>
        </w:tc>
        <w:tc>
          <w:tcPr>
            <w:tcW w:type="dxa" w:w="3168"/>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Propósito Operativo</w:t>
            </w:r>
          </w:p>
        </w:tc>
        <w:tc>
          <w:tcPr>
            <w:tcW w:type="dxa" w:w="2016"/>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Modelo Vinculado</w:t>
            </w:r>
          </w:p>
        </w:tc>
        <w:tc>
          <w:tcPr>
            <w:tcW w:type="dxa" w:w="187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Aislamiento Contable</w:t>
            </w:r>
          </w:p>
        </w:tc>
      </w:tr>
      <w:tr>
        <w:tc>
          <w:tcPr>
            <w:tcW w:type="dxa" w:w="302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OPENAI_API_KEY_EMBEDDINGS</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Vectorización del acervo y consultas</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text-embedding-3-small</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Factura únicamente generación de vectores densos.</w:t>
            </w:r>
          </w:p>
        </w:tc>
      </w:tr>
      <w:tr>
        <w:tc>
          <w:tcPr>
            <w:tcW w:type="dxa" w:w="302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OPENAI_API_KEY_CHAT_4O_MINI</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Inferencia y respuestas en producción</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gpt-4o-mini</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Registra consumo de tokens de entrada y salida del chat.</w:t>
            </w:r>
          </w:p>
        </w:tc>
      </w:tr>
      <w:tr>
        <w:tc>
          <w:tcPr>
            <w:tcW w:type="dxa" w:w="302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OPENAI_API_KEY_GPT6_LUNA</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Experimentación y pruebas avanzadas</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Nexus FI GPT 6 Luna</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Aísla pruebas de rendimiento en modelos avanzados.</w:t>
            </w:r>
          </w:p>
        </w:tc>
      </w:tr>
      <w:tr>
        <w:tc>
          <w:tcPr>
            <w:tcW w:type="dxa" w:w="302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OPENAI_API_KEY_GPT5_6_LUNA</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Evaluación comparativa de razonamiento</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Nexus FI GPT 5.6 Luna</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Monitorea costo de evaluaciones de alta complejidad.</w:t>
            </w:r>
          </w:p>
        </w:tc>
      </w:tr>
    </w:tbl>
    <w:p>
      <w:pPr>
        <w:spacing w:after="80"/>
      </w:pP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5. CALIDAD, AUDITORÍA Y AUTOMATIZACIÓN - WBS 1.4</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5.1 Pruebas de Recuperación Semántica - WBS 1.4.1</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Se ejecutaron pruebas directas en terminal para evaluar la certeza de recuperación ante preguntas comunes de los alumnos. Las evaluaciones confirmaron que las consultas sobre servicio social y titulación localizan los artículos adecuados con una similitud coseno superior al 62%, completando la búsqueda en menos de setecientos milisegundos.</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5.1: Resultados de pruebas de similitud semántica y control de alucinaciones.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824"/>
        <w:gridCol w:w="1824"/>
        <w:gridCol w:w="1824"/>
        <w:gridCol w:w="1824"/>
        <w:gridCol w:w="1824"/>
      </w:tblGrid>
      <w:tr>
        <w:tc>
          <w:tcPr>
            <w:tcW w:type="dxa" w:w="2880"/>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Consulta de Prueba Evaluada</w:t>
            </w:r>
          </w:p>
        </w:tc>
        <w:tc>
          <w:tcPr>
            <w:tcW w:type="dxa" w:w="3168"/>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Documento Oficial Recuperado</w:t>
            </w:r>
          </w:p>
        </w:tc>
        <w:tc>
          <w:tcPr>
            <w:tcW w:type="dxa" w:w="1584"/>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Similitud Coseno</w:t>
            </w:r>
          </w:p>
        </w:tc>
        <w:tc>
          <w:tcPr>
            <w:tcW w:type="dxa" w:w="1296"/>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Tiempo de Búsqueda</w:t>
            </w:r>
          </w:p>
        </w:tc>
        <w:tc>
          <w:tcPr>
            <w:tcW w:type="dxa" w:w="115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Dictamen RF13</w:t>
            </w:r>
          </w:p>
        </w:tc>
      </w:tr>
      <w:tr>
        <w:tc>
          <w:tcPr>
            <w:tcW w:type="dxa" w:w="288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¿Requisitos para iniciar servicio social?</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Reglamento del Servicio Social de la UAEMéx</w:t>
            </w:r>
          </w:p>
        </w:tc>
        <w:tc>
          <w:tcPr>
            <w:tcW w:type="dxa" w:w="158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0.6466 (64.7%)</w:t>
            </w:r>
          </w:p>
        </w:tc>
        <w:tc>
          <w:tcPr>
            <w:tcW w:type="dxa" w:w="12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653 ms</w:t>
            </w:r>
          </w:p>
        </w:tc>
        <w:tc>
          <w:tcPr>
            <w:tcW w:type="dxa" w:w="115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Aprobado mayor a 0.52</w:t>
            </w:r>
          </w:p>
        </w:tc>
      </w:tr>
      <w:tr>
        <w:tc>
          <w:tcPr>
            <w:tcW w:type="dxa" w:w="288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¿Cuáles son las opciones de titulación en ICO?</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Reglamento de Estudios Profesionales</w:t>
            </w:r>
          </w:p>
        </w:tc>
        <w:tc>
          <w:tcPr>
            <w:tcW w:type="dxa" w:w="158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0.6297 (63.0%)</w:t>
            </w:r>
          </w:p>
        </w:tc>
        <w:tc>
          <w:tcPr>
            <w:tcW w:type="dxa" w:w="12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558 ms</w:t>
            </w:r>
          </w:p>
        </w:tc>
        <w:tc>
          <w:tcPr>
            <w:tcW w:type="dxa" w:w="115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Aprobado mayor a 0.52</w:t>
            </w:r>
          </w:p>
        </w:tc>
      </w:tr>
      <w:tr>
        <w:tc>
          <w:tcPr>
            <w:tcW w:type="dxa" w:w="288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¿Procedimiento de revalidación de estudios?</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Reglamento de Estudios Profesionales</w:t>
            </w:r>
          </w:p>
        </w:tc>
        <w:tc>
          <w:tcPr>
            <w:tcW w:type="dxa" w:w="158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0.5835 (58.4%)</w:t>
            </w:r>
          </w:p>
        </w:tc>
        <w:tc>
          <w:tcPr>
            <w:tcW w:type="dxa" w:w="12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480 ms</w:t>
            </w:r>
          </w:p>
        </w:tc>
        <w:tc>
          <w:tcPr>
            <w:tcW w:type="dxa" w:w="115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Aprobado mayor a 0.52</w:t>
            </w:r>
          </w:p>
        </w:tc>
      </w:tr>
      <w:tr>
        <w:tc>
          <w:tcPr>
            <w:tcW w:type="dxa" w:w="288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¿Venta de boletos de avión en cafetería?</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Ninguno superó el umbral institucional</w:t>
            </w:r>
          </w:p>
        </w:tc>
        <w:tc>
          <w:tcPr>
            <w:tcW w:type="dxa" w:w="158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Menor a 0.35</w:t>
            </w:r>
          </w:p>
        </w:tc>
        <w:tc>
          <w:tcPr>
            <w:tcW w:type="dxa" w:w="12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120 ms</w:t>
            </w:r>
          </w:p>
        </w:tc>
        <w:tc>
          <w:tcPr>
            <w:tcW w:type="dxa" w:w="115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Rechazado previene alucinación</w:t>
            </w:r>
          </w:p>
        </w:tc>
      </w:tr>
    </w:tbl>
    <w:p>
      <w:pPr>
        <w:spacing w:after="80"/>
      </w:pP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5.2 Auditoría de Seguridad y Repositorio - WBS 1.4.2</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Previo a la publicación definitiva de código en GitHub, se corrió la herramienta de auditoría automatizada incluida en el comando python main.py --audit. La revisión certificó la ausencia de credenciales en el código fuente, la protección del archivo local de variables confidenciales y la existencia de una plantilla pública de configuración para los integrantes del equipo.</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5.3 Automatización del Despliegue en Estaciones de Trabajo - WBS 1.4.3</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Con el objetivo de facilitar la ejecución del sistema en cualquier equipo de cómputo sin configuraciones manuales complejas, se crearon scripts de automatización. El instalador setup.bat detecta la presencia de Python, crea el entorno virtual, descarga las dependencias necesarias, inicializa la plantilla de configuración y valida la base vectorial. Para el uso cotidiano, el lanzador start.bat levanta el servidor web y abre automáticamente el navegador, complementado por su versión en script de shell para Linux y servidores cloud.</w:t>
      </w: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6. MATRIZ INTEGRAL DE RESPONSABILIDADES Y CONTRIBUCIONES</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La tabla siguiente detalla la correspondencia entre los estudiantes del Equipo 404, sus funciones en el proyecto y los paquetes de trabajo del WBS cubiertos satisfactoriamente en este primer corte de ejecución.</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6.1: Matriz integral de responsabilidades y entregables por integrante del Equipo 404.</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80"/>
        <w:gridCol w:w="2280"/>
        <w:gridCol w:w="2280"/>
        <w:gridCol w:w="2280"/>
      </w:tblGrid>
      <w:tr>
        <w:tc>
          <w:tcPr>
            <w:tcW w:type="dxa" w:w="2160"/>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Integrante</w:t>
            </w:r>
          </w:p>
        </w:tc>
        <w:tc>
          <w:tcPr>
            <w:tcW w:type="dxa" w:w="2304"/>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Rol Asignado en Equipo 404</w:t>
            </w:r>
          </w:p>
        </w:tc>
        <w:tc>
          <w:tcPr>
            <w:tcW w:type="dxa" w:w="187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Paquetes WBS Cubiertos</w:t>
            </w:r>
          </w:p>
        </w:tc>
        <w:tc>
          <w:tcPr>
            <w:tcW w:type="dxa" w:w="3744"/>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Entregables Concretos Verificados</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Fernando Azuara Ibarra</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Project Manager e Integración</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1.1.4, 1.2.2, 1.3.1, 1.3.3, 1.4.3</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Gobernanza general, pipeline OCR local, base LanceDB, backend FastAPI y scripts setup.</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Santiago Cuevas Sánchez</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Ingeniería de Datos y Redes</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1.2.1, 1.2.2</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Pipeline Apify con base SQLite y OCR Tesseract para publicaciones oficiales de redes sociales.</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Aarón Nevid Domínguez Fuentes</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Curaduría Normativa y Mallas</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1.2.1</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Recopilación de 45 reglamentos universitarios y planes curriculares de la carrera.</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Joaquín Ulises García Álvarez</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Seguridad de API y Trámites</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1.2.1, 1.3.5, 1.4.2</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Guías de gestión segura de API, herramientas de diagnóstico, catálogo de modelos y trámites.</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Daniel Aguilar Sánchez</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Desarrollo Frontend e Interfaz</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1.3.4</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Plantillas visuales responsivas del chatbot y panel de control con soporte PWA institucional.</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Azuleica Betsabel De La Cruz González</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Servicios Escolares y Convenios</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1.2.1</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Curaduría documental de Control Escolar, Laboratorio Digital, Biblioteca y Convenios.</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Ángel Israel De La Cruz Martínez</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Operaciones, Deportes y DT-10</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1.2.1, 1.3.5</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Módulo DT-10 de Seguridad y Telemetría, aislamiento de claves y recolección deportiva.</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Joan Alexis Ocaña Martínez</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Curaduría de Movilidad</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1.2.1</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Compilación de lineamientos y convocatorias de movilidad estudiantil en diversos niveles.</w:t>
            </w:r>
          </w:p>
        </w:tc>
      </w:tr>
    </w:tbl>
    <w:p>
      <w:pPr>
        <w:spacing w:after="80"/>
      </w:pP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7. CONCLUSIONES Y PRÓXIMOS PASOS</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7.1 Síntesis de Resultados Alcanzados</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primer corte de ejecución técnica concluye con avances sustanciales. Se consolidó un acervo canónico estructurado en 3,977 fragmentos vectorizados, respaldado por un umbral estricto que previene alucinaciones. Asimismo, se unificó la arquitectura en una plataforma que vincula una interfaz accesible para los alumnos con un servidor de inferencia confiable y seguro.</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7.2 Hoja de Ruta para las Siguientes Fases</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Hacia la culminación de la Fase 2 y el inicio de la Fase 3 del cronograma maestro, el equipo atenderá los siguientes compromisos técnicos principales:</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1. Despliegue en Infraestructura de Nube conforme al paquete WBS 1.5.3: Empaquetar el sistema en contenedores Docker y trasladar la arquitectura a los servicios elásticos de Amazon Web Services, sincronizando el almacén vectorial mediante cubos S3.</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2. Formalización del Enlace de Redes Sociales conforme al paquete WBS 1.2.1: Tramitar ante las autoridades de la Facultad el acceso formal a la Meta Graph API institucional siguiendo las conclusiones del informe técnico correspondiente.</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3. Pruebas de Aceptación de Usuario conforme al paquete WBS 1.4.4: Conducir las sesiones de prueba UAT con estudiantes de Ingeniería en Computación para evaluar la utilidad práctica del asistente y recopilar sugerencias directas de mejora.</w:t>
      </w:r>
    </w:p>
    <w:sectPr w:rsidR="00E074F5" w:rsidSect="007D0BA1">
      <w:headerReference w:type="default" r:id="rId14"/>
      <w:footerReference w:type="default" r:id="rId15"/>
      <w:pgSz w:w="12240" w:h="15840" w:code="1"/>
      <w:pgMar w:top="1700" w:right="1420" w:bottom="1420" w:left="17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2C983" w14:textId="77777777" w:rsidR="00D61292" w:rsidRDefault="00D61292" w:rsidP="0085363D">
      <w:r>
        <w:separator/>
      </w:r>
    </w:p>
  </w:endnote>
  <w:endnote w:type="continuationSeparator" w:id="0">
    <w:p w14:paraId="74F40485" w14:textId="77777777" w:rsidR="00D61292" w:rsidRDefault="00D61292" w:rsidP="00853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0962C" w14:textId="47FC224A" w:rsidR="0085363D" w:rsidRDefault="00776D80" w:rsidP="00776D80">
    <w:pPr>
      <w:pStyle w:val="Piedepgina"/>
      <w:tabs>
        <w:tab w:val="clear" w:pos="4419"/>
        <w:tab w:val="clear" w:pos="8838"/>
        <w:tab w:val="left" w:pos="990"/>
      </w:tabs>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Times New Roman" w:hAnsi="Times New Roman"/>
        <w:b w:val="0"/>
        <w:i w:val="0"/>
        <w:color w:val="000000"/>
        <w:sz w:val="19"/>
        <w:rFonts w:ascii="Times New Roman" w:hAnsi="Times New Roman" w:cs="Times New Roman" w:eastAsia="Times New Roman"/>
      </w:rPr>
      <w:t xml:space="preserve">Página </w:t>
    </w:r>
    <w:r>
      <w:fldChar w:fldCharType="begin"/>
    </w:r>
    <w:r>
      <w:instrText xml:space="preserve"> PAGE </w:instrText>
    </w:r>
    <w:r>
      <w:fldChar w:fldCharType="separate"/>
    </w:r>
    <w:r>
      <w:rPr>
        <w:rFonts w:ascii="Times New Roman" w:hAnsi="Times New Roman"/>
        <w:b w:val="0"/>
        <w:i w:val="0"/>
        <w:color w:val="000000"/>
        <w:sz w:val="19"/>
        <w:rFonts w:ascii="Times New Roman" w:hAnsi="Times New Roman" w:cs="Times New Roman" w:eastAsia="Times New Roman"/>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55F15" w14:textId="77777777" w:rsidR="00D61292" w:rsidRDefault="00D61292" w:rsidP="0085363D">
      <w:r>
        <w:separator/>
      </w:r>
    </w:p>
  </w:footnote>
  <w:footnote w:type="continuationSeparator" w:id="0">
    <w:p w14:paraId="04F0C4E3" w14:textId="77777777" w:rsidR="00D61292" w:rsidRDefault="00D61292" w:rsidP="008536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4BA95" w14:textId="5E190ADA" w:rsidR="0085363D" w:rsidRDefault="0085363D">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
      <w:rPr>
        <w:rFonts w:ascii="Times New Roman" w:hAnsi="Times New Roman"/>
        <w:b w:val="0"/>
        <w:i/>
        <w:color w:val="646464"/>
        <w:sz w:val="18"/>
        <w:rFonts w:ascii="Times New Roman" w:hAnsi="Times New Roman" w:cs="Times New Roman" w:eastAsia="Times New Roman"/>
      </w:rPr>
      <w:t>Facultad de Ingeniería – UAEMéx | Nexus FI: Fase de Ejecución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503"/>
    <w:multiLevelType w:val="hybridMultilevel"/>
    <w:tmpl w:val="64E2883E"/>
    <w:lvl w:ilvl="0" w:tplc="5BBE0788">
      <w:start w:val="1"/>
      <w:numFmt w:val="upperRoman"/>
      <w:lvlText w:val="%1."/>
      <w:lvlJc w:val="left"/>
      <w:pPr>
        <w:ind w:left="1425" w:hanging="72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1" w15:restartNumberingAfterBreak="0">
    <w:nsid w:val="101532E6"/>
    <w:multiLevelType w:val="hybridMultilevel"/>
    <w:tmpl w:val="DC8A4F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498196B"/>
    <w:multiLevelType w:val="hybridMultilevel"/>
    <w:tmpl w:val="17BE17A0"/>
    <w:lvl w:ilvl="0" w:tplc="2AA8E5F8">
      <w:start w:val="1"/>
      <w:numFmt w:val="upperRoman"/>
      <w:lvlText w:val="%1."/>
      <w:lvlJc w:val="left"/>
      <w:pPr>
        <w:ind w:left="1425" w:hanging="72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3" w15:restartNumberingAfterBreak="0">
    <w:nsid w:val="6F7B13DA"/>
    <w:multiLevelType w:val="hybridMultilevel"/>
    <w:tmpl w:val="82F8E9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44946695">
    <w:abstractNumId w:val="3"/>
  </w:num>
  <w:num w:numId="2" w16cid:durableId="1072049051">
    <w:abstractNumId w:val="2"/>
  </w:num>
  <w:num w:numId="3" w16cid:durableId="2042855033">
    <w:abstractNumId w:val="0"/>
  </w:num>
  <w:num w:numId="4" w16cid:durableId="498345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3D"/>
    <w:rsid w:val="00013F96"/>
    <w:rsid w:val="000333BF"/>
    <w:rsid w:val="00062EBC"/>
    <w:rsid w:val="000C03A2"/>
    <w:rsid w:val="000C25F4"/>
    <w:rsid w:val="000D5AC2"/>
    <w:rsid w:val="000D72AF"/>
    <w:rsid w:val="000E5B7F"/>
    <w:rsid w:val="0011733D"/>
    <w:rsid w:val="00155D90"/>
    <w:rsid w:val="00171117"/>
    <w:rsid w:val="001B7D5B"/>
    <w:rsid w:val="00350DB1"/>
    <w:rsid w:val="0036017D"/>
    <w:rsid w:val="003B41D8"/>
    <w:rsid w:val="0041325E"/>
    <w:rsid w:val="004223E5"/>
    <w:rsid w:val="004E3DF0"/>
    <w:rsid w:val="00545656"/>
    <w:rsid w:val="0056524D"/>
    <w:rsid w:val="00613B67"/>
    <w:rsid w:val="00661762"/>
    <w:rsid w:val="00670E64"/>
    <w:rsid w:val="006E20E8"/>
    <w:rsid w:val="00776D80"/>
    <w:rsid w:val="0079435E"/>
    <w:rsid w:val="007A19D1"/>
    <w:rsid w:val="007C6AB3"/>
    <w:rsid w:val="007D0BA1"/>
    <w:rsid w:val="0085363D"/>
    <w:rsid w:val="00866462"/>
    <w:rsid w:val="008B233C"/>
    <w:rsid w:val="008C39F1"/>
    <w:rsid w:val="009167CE"/>
    <w:rsid w:val="00953AAC"/>
    <w:rsid w:val="00A72C34"/>
    <w:rsid w:val="00C0691C"/>
    <w:rsid w:val="00C46965"/>
    <w:rsid w:val="00C746D2"/>
    <w:rsid w:val="00D338FC"/>
    <w:rsid w:val="00D57531"/>
    <w:rsid w:val="00D61292"/>
    <w:rsid w:val="00E074F5"/>
    <w:rsid w:val="00E57816"/>
    <w:rsid w:val="00E97F65"/>
    <w:rsid w:val="00EB6935"/>
    <w:rsid w:val="00EE0B0C"/>
    <w:rsid w:val="00EE1194"/>
    <w:rsid w:val="00F73CD5"/>
    <w:rsid w:val="00FD430D"/>
    <w:rsid w:val="00FE5A36"/>
    <w:rsid w:val="00FF75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47BCC"/>
  <w15:chartTrackingRefBased/>
  <w15:docId w15:val="{D23E4172-2128-4193-AE4C-FE98821DB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63D"/>
    <w:pPr>
      <w:spacing w:after="0" w:line="240" w:lineRule="auto"/>
    </w:pPr>
    <w:rPr>
      <w:rFonts w:eastAsiaTheme="minorEastAsia"/>
      <w:kern w:val="0"/>
      <w:sz w:val="24"/>
      <w:szCs w:val="24"/>
      <w:lang w:val="es-ES_tradnl" w:eastAsia="es-ES"/>
      <w14:ligatures w14:val="none"/>
    </w:rPr>
  </w:style>
  <w:style w:type="paragraph" w:styleId="Ttulo1">
    <w:name w:val="heading 1"/>
    <w:basedOn w:val="Normal"/>
    <w:next w:val="Normal"/>
    <w:link w:val="Ttulo1Car"/>
    <w:uiPriority w:val="9"/>
    <w:qFormat/>
    <w:rsid w:val="0085363D"/>
    <w:pPr>
      <w:keepNext/>
      <w:keepLines/>
      <w:spacing w:before="360" w:after="80" w:line="259" w:lineRule="auto"/>
      <w:outlineLvl w:val="0"/>
    </w:pPr>
    <w:rPr>
      <w:rFonts w:asciiTheme="majorHAnsi" w:eastAsiaTheme="majorEastAsia" w:hAnsiTheme="majorHAnsi" w:cstheme="majorBidi"/>
      <w:b/>
      <w:color w:val="000000"/>
      <w:kern w:val="2"/>
      <w:sz w:val="40"/>
      <w:szCs w:val="40"/>
      <w:lang w:val="es-MX" w:eastAsia="en-US"/>
      <w14:ligatures w14:val="standardContextual"/>
    </w:rPr>
  </w:style>
  <w:style w:type="paragraph" w:styleId="Ttulo2">
    <w:name w:val="heading 2"/>
    <w:basedOn w:val="Normal"/>
    <w:next w:val="Normal"/>
    <w:link w:val="Ttulo2Car"/>
    <w:uiPriority w:val="9"/>
    <w:unhideWhenUsed/>
    <w:qFormat/>
    <w:rsid w:val="0085363D"/>
    <w:pPr>
      <w:keepNext/>
      <w:keepLines/>
      <w:spacing w:before="160" w:after="80" w:line="259" w:lineRule="auto"/>
      <w:outlineLvl w:val="1"/>
    </w:pPr>
    <w:rPr>
      <w:rFonts w:asciiTheme="majorHAnsi" w:eastAsiaTheme="majorEastAsia" w:hAnsiTheme="majorHAnsi" w:cstheme="majorBidi"/>
      <w:b/>
      <w:color w:val="000000"/>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85363D"/>
    <w:pPr>
      <w:keepNext/>
      <w:keepLines/>
      <w:spacing w:before="160" w:after="80" w:line="259" w:lineRule="auto"/>
      <w:outlineLvl w:val="2"/>
    </w:pPr>
    <w:rPr>
      <w:rFonts w:ascii="Times New Roman" w:eastAsiaTheme="majorEastAsia" w:hAnsi="Times New Roman" w:cstheme="majorBidi"/>
      <w:b/>
      <w:color w:val="000000"/>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85363D"/>
    <w:pPr>
      <w:keepNext/>
      <w:keepLines/>
      <w:spacing w:before="80" w:after="40" w:line="259" w:lineRule="auto"/>
      <w:outlineLvl w:val="3"/>
    </w:pPr>
    <w:rPr>
      <w:rFonts w:eastAsiaTheme="majorEastAsia" w:cstheme="majorBidi"/>
      <w:i/>
      <w:iCs/>
      <w:color w:val="0F4761" w:themeColor="accent1" w:themeShade="BF"/>
      <w:kern w:val="2"/>
      <w:sz w:val="22"/>
      <w:szCs w:val="22"/>
      <w:lang w:val="es-MX" w:eastAsia="en-US"/>
      <w14:ligatures w14:val="standardContextual"/>
    </w:rPr>
  </w:style>
  <w:style w:type="paragraph" w:styleId="Ttulo5">
    <w:name w:val="heading 5"/>
    <w:basedOn w:val="Normal"/>
    <w:next w:val="Normal"/>
    <w:link w:val="Ttulo5Car"/>
    <w:uiPriority w:val="9"/>
    <w:semiHidden/>
    <w:unhideWhenUsed/>
    <w:qFormat/>
    <w:rsid w:val="0085363D"/>
    <w:pPr>
      <w:keepNext/>
      <w:keepLines/>
      <w:spacing w:before="80" w:after="40" w:line="259" w:lineRule="auto"/>
      <w:outlineLvl w:val="4"/>
    </w:pPr>
    <w:rPr>
      <w:rFonts w:eastAsiaTheme="majorEastAsia" w:cstheme="majorBidi"/>
      <w:color w:val="0F4761" w:themeColor="accent1" w:themeShade="BF"/>
      <w:kern w:val="2"/>
      <w:sz w:val="22"/>
      <w:szCs w:val="22"/>
      <w:lang w:val="es-MX" w:eastAsia="en-US"/>
      <w14:ligatures w14:val="standardContextual"/>
    </w:rPr>
  </w:style>
  <w:style w:type="paragraph" w:styleId="Ttulo6">
    <w:name w:val="heading 6"/>
    <w:basedOn w:val="Normal"/>
    <w:next w:val="Normal"/>
    <w:link w:val="Ttulo6Car"/>
    <w:uiPriority w:val="9"/>
    <w:semiHidden/>
    <w:unhideWhenUsed/>
    <w:qFormat/>
    <w:rsid w:val="0085363D"/>
    <w:pPr>
      <w:keepNext/>
      <w:keepLines/>
      <w:spacing w:before="40" w:line="259" w:lineRule="auto"/>
      <w:outlineLvl w:val="5"/>
    </w:pPr>
    <w:rPr>
      <w:rFonts w:eastAsiaTheme="majorEastAsia" w:cstheme="majorBidi"/>
      <w:i/>
      <w:iCs/>
      <w:color w:val="595959" w:themeColor="text1" w:themeTint="A6"/>
      <w:kern w:val="2"/>
      <w:sz w:val="22"/>
      <w:szCs w:val="22"/>
      <w:lang w:val="es-MX" w:eastAsia="en-US"/>
      <w14:ligatures w14:val="standardContextual"/>
    </w:rPr>
  </w:style>
  <w:style w:type="paragraph" w:styleId="Ttulo7">
    <w:name w:val="heading 7"/>
    <w:basedOn w:val="Normal"/>
    <w:next w:val="Normal"/>
    <w:link w:val="Ttulo7Car"/>
    <w:uiPriority w:val="9"/>
    <w:semiHidden/>
    <w:unhideWhenUsed/>
    <w:qFormat/>
    <w:rsid w:val="0085363D"/>
    <w:pPr>
      <w:keepNext/>
      <w:keepLines/>
      <w:spacing w:before="40" w:line="259" w:lineRule="auto"/>
      <w:outlineLvl w:val="6"/>
    </w:pPr>
    <w:rPr>
      <w:rFonts w:eastAsiaTheme="majorEastAsia" w:cstheme="majorBidi"/>
      <w:color w:val="595959" w:themeColor="text1" w:themeTint="A6"/>
      <w:kern w:val="2"/>
      <w:sz w:val="22"/>
      <w:szCs w:val="22"/>
      <w:lang w:val="es-MX" w:eastAsia="en-US"/>
      <w14:ligatures w14:val="standardContextual"/>
    </w:rPr>
  </w:style>
  <w:style w:type="paragraph" w:styleId="Ttulo8">
    <w:name w:val="heading 8"/>
    <w:basedOn w:val="Normal"/>
    <w:next w:val="Normal"/>
    <w:link w:val="Ttulo8Car"/>
    <w:uiPriority w:val="9"/>
    <w:semiHidden/>
    <w:unhideWhenUsed/>
    <w:qFormat/>
    <w:rsid w:val="0085363D"/>
    <w:pPr>
      <w:keepNext/>
      <w:keepLines/>
      <w:spacing w:line="259" w:lineRule="auto"/>
      <w:outlineLvl w:val="7"/>
    </w:pPr>
    <w:rPr>
      <w:rFonts w:eastAsiaTheme="majorEastAsia" w:cstheme="majorBidi"/>
      <w:i/>
      <w:iCs/>
      <w:color w:val="272727" w:themeColor="text1" w:themeTint="D8"/>
      <w:kern w:val="2"/>
      <w:sz w:val="22"/>
      <w:szCs w:val="22"/>
      <w:lang w:val="es-MX" w:eastAsia="en-US"/>
      <w14:ligatures w14:val="standardContextual"/>
    </w:rPr>
  </w:style>
  <w:style w:type="paragraph" w:styleId="Ttulo9">
    <w:name w:val="heading 9"/>
    <w:basedOn w:val="Normal"/>
    <w:next w:val="Normal"/>
    <w:link w:val="Ttulo9Car"/>
    <w:uiPriority w:val="9"/>
    <w:semiHidden/>
    <w:unhideWhenUsed/>
    <w:qFormat/>
    <w:rsid w:val="0085363D"/>
    <w:pPr>
      <w:keepNext/>
      <w:keepLines/>
      <w:spacing w:line="259" w:lineRule="auto"/>
      <w:outlineLvl w:val="8"/>
    </w:pPr>
    <w:rPr>
      <w:rFonts w:eastAsiaTheme="majorEastAsia" w:cstheme="majorBidi"/>
      <w:color w:val="272727" w:themeColor="text1" w:themeTint="D8"/>
      <w:kern w:val="2"/>
      <w:sz w:val="22"/>
      <w:szCs w:val="2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36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536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36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36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36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36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36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36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363D"/>
    <w:rPr>
      <w:rFonts w:eastAsiaTheme="majorEastAsia" w:cstheme="majorBidi"/>
      <w:color w:val="272727" w:themeColor="text1" w:themeTint="D8"/>
    </w:rPr>
  </w:style>
  <w:style w:type="paragraph" w:styleId="Ttulo">
    <w:name w:val="Title"/>
    <w:basedOn w:val="Normal"/>
    <w:next w:val="Normal"/>
    <w:link w:val="TtuloCar"/>
    <w:uiPriority w:val="10"/>
    <w:qFormat/>
    <w:rsid w:val="0085363D"/>
    <w:pPr>
      <w:spacing w:after="80"/>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8536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363D"/>
    <w:pPr>
      <w:numPr>
        <w:ilvl w:val="1"/>
      </w:numPr>
      <w:spacing w:after="160" w:line="259"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8536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363D"/>
    <w:pPr>
      <w:spacing w:before="160" w:after="160" w:line="259" w:lineRule="auto"/>
      <w:jc w:val="center"/>
    </w:pPr>
    <w:rPr>
      <w:rFonts w:eastAsiaTheme="minorHAnsi"/>
      <w:i/>
      <w:iCs/>
      <w:color w:val="404040" w:themeColor="text1" w:themeTint="BF"/>
      <w:kern w:val="2"/>
      <w:sz w:val="22"/>
      <w:szCs w:val="22"/>
      <w:lang w:val="es-MX" w:eastAsia="en-US"/>
      <w14:ligatures w14:val="standardContextual"/>
    </w:rPr>
  </w:style>
  <w:style w:type="character" w:customStyle="1" w:styleId="CitaCar">
    <w:name w:val="Cita Car"/>
    <w:basedOn w:val="Fuentedeprrafopredeter"/>
    <w:link w:val="Cita"/>
    <w:uiPriority w:val="29"/>
    <w:rsid w:val="0085363D"/>
    <w:rPr>
      <w:i/>
      <w:iCs/>
      <w:color w:val="404040" w:themeColor="text1" w:themeTint="BF"/>
    </w:rPr>
  </w:style>
  <w:style w:type="paragraph" w:styleId="Prrafodelista">
    <w:name w:val="List Paragraph"/>
    <w:basedOn w:val="Normal"/>
    <w:uiPriority w:val="34"/>
    <w:qFormat/>
    <w:rsid w:val="0085363D"/>
    <w:pPr>
      <w:spacing w:after="160" w:line="259" w:lineRule="auto"/>
      <w:ind w:left="720"/>
      <w:contextualSpacing/>
    </w:pPr>
    <w:rPr>
      <w:rFonts w:eastAsiaTheme="minorHAnsi"/>
      <w:kern w:val="2"/>
      <w:sz w:val="22"/>
      <w:szCs w:val="22"/>
      <w:lang w:val="es-MX" w:eastAsia="en-US"/>
      <w14:ligatures w14:val="standardContextual"/>
    </w:rPr>
  </w:style>
  <w:style w:type="character" w:styleId="nfasisintenso">
    <w:name w:val="Intense Emphasis"/>
    <w:basedOn w:val="Fuentedeprrafopredeter"/>
    <w:uiPriority w:val="21"/>
    <w:qFormat/>
    <w:rsid w:val="0085363D"/>
    <w:rPr>
      <w:i/>
      <w:iCs/>
      <w:color w:val="0F4761" w:themeColor="accent1" w:themeShade="BF"/>
    </w:rPr>
  </w:style>
  <w:style w:type="paragraph" w:styleId="Citadestacada">
    <w:name w:val="Intense Quote"/>
    <w:basedOn w:val="Normal"/>
    <w:next w:val="Normal"/>
    <w:link w:val="CitadestacadaCar"/>
    <w:uiPriority w:val="30"/>
    <w:qFormat/>
    <w:rsid w:val="0085363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sz w:val="22"/>
      <w:szCs w:val="22"/>
      <w:lang w:val="es-MX" w:eastAsia="en-US"/>
      <w14:ligatures w14:val="standardContextual"/>
    </w:rPr>
  </w:style>
  <w:style w:type="character" w:customStyle="1" w:styleId="CitadestacadaCar">
    <w:name w:val="Cita destacada Car"/>
    <w:basedOn w:val="Fuentedeprrafopredeter"/>
    <w:link w:val="Citadestacada"/>
    <w:uiPriority w:val="30"/>
    <w:rsid w:val="0085363D"/>
    <w:rPr>
      <w:i/>
      <w:iCs/>
      <w:color w:val="0F4761" w:themeColor="accent1" w:themeShade="BF"/>
    </w:rPr>
  </w:style>
  <w:style w:type="character" w:styleId="Referenciaintensa">
    <w:name w:val="Intense Reference"/>
    <w:basedOn w:val="Fuentedeprrafopredeter"/>
    <w:uiPriority w:val="32"/>
    <w:qFormat/>
    <w:rsid w:val="0085363D"/>
    <w:rPr>
      <w:b/>
      <w:bCs/>
      <w:smallCaps/>
      <w:color w:val="0F4761" w:themeColor="accent1" w:themeShade="BF"/>
      <w:spacing w:val="5"/>
    </w:rPr>
  </w:style>
  <w:style w:type="paragraph" w:styleId="Encabezado">
    <w:name w:val="header"/>
    <w:basedOn w:val="Normal"/>
    <w:link w:val="EncabezadoCar"/>
    <w:uiPriority w:val="99"/>
    <w:unhideWhenUsed/>
    <w:rsid w:val="0085363D"/>
    <w:pPr>
      <w:tabs>
        <w:tab w:val="center" w:pos="4419"/>
        <w:tab w:val="right" w:pos="8838"/>
      </w:tabs>
    </w:pPr>
  </w:style>
  <w:style w:type="character" w:customStyle="1" w:styleId="EncabezadoCar">
    <w:name w:val="Encabezado Car"/>
    <w:basedOn w:val="Fuentedeprrafopredeter"/>
    <w:link w:val="Encabezado"/>
    <w:uiPriority w:val="99"/>
    <w:rsid w:val="0085363D"/>
    <w:rPr>
      <w:rFonts w:eastAsiaTheme="minorEastAsia"/>
      <w:kern w:val="0"/>
      <w:sz w:val="24"/>
      <w:szCs w:val="24"/>
      <w:lang w:val="es-ES_tradnl" w:eastAsia="es-ES"/>
      <w14:ligatures w14:val="none"/>
    </w:rPr>
  </w:style>
  <w:style w:type="paragraph" w:styleId="Piedepgina">
    <w:name w:val="footer"/>
    <w:basedOn w:val="Normal"/>
    <w:link w:val="PiedepginaCar"/>
    <w:uiPriority w:val="99"/>
    <w:unhideWhenUsed/>
    <w:rsid w:val="0085363D"/>
    <w:pPr>
      <w:tabs>
        <w:tab w:val="center" w:pos="4419"/>
        <w:tab w:val="right" w:pos="8838"/>
      </w:tabs>
    </w:pPr>
  </w:style>
  <w:style w:type="character" w:customStyle="1" w:styleId="PiedepginaCar">
    <w:name w:val="Pie de página Car"/>
    <w:basedOn w:val="Fuentedeprrafopredeter"/>
    <w:link w:val="Piedepgina"/>
    <w:uiPriority w:val="99"/>
    <w:rsid w:val="0085363D"/>
    <w:rPr>
      <w:rFonts w:eastAsiaTheme="minorEastAsia"/>
      <w:kern w:val="0"/>
      <w:sz w:val="24"/>
      <w:szCs w:val="24"/>
      <w:lang w:val="es-ES_tradnl" w:eastAsia="es-ES"/>
      <w14:ligatures w14:val="none"/>
    </w:rPr>
  </w:style>
  <w:style w:type="character" w:styleId="Hipervnculo">
    <w:name w:val="Hyperlink"/>
    <w:basedOn w:val="Fuentedeprrafopredeter"/>
    <w:uiPriority w:val="99"/>
    <w:unhideWhenUsed/>
    <w:rsid w:val="00E074F5"/>
    <w:rPr>
      <w:color w:val="467886" w:themeColor="hyperlink"/>
      <w:u w:val="single"/>
    </w:rPr>
  </w:style>
  <w:style w:type="character" w:styleId="Mencinsinresolver">
    <w:name w:val="Unresolved Mention"/>
    <w:basedOn w:val="Fuentedeprrafopredeter"/>
    <w:uiPriority w:val="99"/>
    <w:semiHidden/>
    <w:unhideWhenUsed/>
    <w:rsid w:val="00E074F5"/>
    <w:rPr>
      <w:color w:val="605E5C"/>
      <w:shd w:val="clear" w:color="auto" w:fill="E1DFDD"/>
    </w:rPr>
  </w:style>
  <w:style w:type="character" w:styleId="Hipervnculovisitado">
    <w:name w:val="FollowedHyperlink"/>
    <w:basedOn w:val="Fuentedeprrafopredeter"/>
    <w:uiPriority w:val="99"/>
    <w:semiHidden/>
    <w:unhideWhenUsed/>
    <w:rsid w:val="00E074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9E96CB255F2E4FBB03C8E2E582A9B3" ma:contentTypeVersion="12" ma:contentTypeDescription="Crear nuevo documento." ma:contentTypeScope="" ma:versionID="098132956dc429493640ab41877d748a">
  <xsd:schema xmlns:xsd="http://www.w3.org/2001/XMLSchema" xmlns:xs="http://www.w3.org/2001/XMLSchema" xmlns:p="http://schemas.microsoft.com/office/2006/metadata/properties" xmlns:ns2="c2bfa199-0d04-4f82-bc1e-9bcced7fd60d" xmlns:ns3="c99f8663-2a3d-4fb0-9738-2dc7c0d74547" targetNamespace="http://schemas.microsoft.com/office/2006/metadata/properties" ma:root="true" ma:fieldsID="354b0c1e10e78d24c915b2c4173dbe6c" ns2:_="" ns3:_="">
    <xsd:import namespace="c2bfa199-0d04-4f82-bc1e-9bcced7fd60d"/>
    <xsd:import namespace="c99f8663-2a3d-4fb0-9738-2dc7c0d745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bfa199-0d04-4f82-bc1e-9bcced7fd60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b653b1c0-f410-437d-8ee7-1cf68b209f5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9f8663-2a3d-4fb0-9738-2dc7c0d7454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178d057-715c-4376-8fa4-ae5b1a565fa1}" ma:internalName="TaxCatchAll" ma:showField="CatchAllData" ma:web="c99f8663-2a3d-4fb0-9738-2dc7c0d745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99f8663-2a3d-4fb0-9738-2dc7c0d74547" xsi:nil="true"/>
    <ReferenceId xmlns="c2bfa199-0d04-4f82-bc1e-9bcced7fd60d" xsi:nil="true"/>
    <lcf76f155ced4ddcb4097134ff3c332f xmlns="c2bfa199-0d04-4f82-bc1e-9bcced7fd60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EAF84E-0E3D-45D3-B176-FBF7AA743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bfa199-0d04-4f82-bc1e-9bcced7fd60d"/>
    <ds:schemaRef ds:uri="c99f8663-2a3d-4fb0-9738-2dc7c0d745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8512B2-802D-461B-A48D-5EBD060C999F}">
  <ds:schemaRefs>
    <ds:schemaRef ds:uri="http://schemas.microsoft.com/office/2006/metadata/properties"/>
    <ds:schemaRef ds:uri="http://schemas.microsoft.com/office/infopath/2007/PartnerControls"/>
    <ds:schemaRef ds:uri="c99f8663-2a3d-4fb0-9738-2dc7c0d74547"/>
    <ds:schemaRef ds:uri="c2bfa199-0d04-4f82-bc1e-9bcced7fd60d"/>
  </ds:schemaRefs>
</ds:datastoreItem>
</file>

<file path=customXml/itemProps3.xml><?xml version="1.0" encoding="utf-8"?>
<ds:datastoreItem xmlns:ds="http://schemas.openxmlformats.org/officeDocument/2006/customXml" ds:itemID="{7471205E-2600-401D-AFF3-E065642724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85</Words>
  <Characters>471</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Antonio Flores Fuentes</dc:creator>
  <cp:keywords/>
  <dc:description/>
  <cp:lastModifiedBy>FERNANDO AZUARA IBARRA</cp:lastModifiedBy>
  <cp:revision>18</cp:revision>
  <dcterms:created xsi:type="dcterms:W3CDTF">2025-08-20T05:28:00Z</dcterms:created>
  <dcterms:modified xsi:type="dcterms:W3CDTF">2026-10-22T10:35:00Z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0x010100E69E96CB255F2E4FBB03C8E2E582A9B3</vt:lpwstr>
  </property>
</Properties>
</file>