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65373" w14:textId="4AC28860" w:rsidR="008B233C" w:rsidRPr="00350DB1" w:rsidRDefault="000D72AF" w:rsidP="007D0BA1">
      <w:pPr>
        <w:jc w:val="center"/>
        <w:rPr>
          <w:rFonts w:ascii="Times New Roman" w:hAnsi="Times New Roman" w:cs="Times New Roman"/>
          <w:b/>
          <w:bCs/>
          <w:sz w:val="32"/>
          <w:szCs w:val="32"/>
          <w:lang w:val="es-MX"/>
        </w:rPr>
      </w:pPr>
      <w:r>
        <w:rPr>
          <w:rFonts w:ascii="Times New Roman" w:hAnsi="Times New Roman" w:cs="Times New Roman"/>
          <w:b/>
          <w:bCs/>
          <w:sz w:val="32"/>
          <w:szCs w:val="32"/>
          <w:lang w:val="es-MX"/>
        </w:rPr>
        <w:t>FACULTAD DE INGENIERÍA</w:t>
      </w:r>
    </w:p>
    <w:p w14:paraId="1F6B73DD" w14:textId="77777777" w:rsidR="00350DB1" w:rsidRPr="00350DB1" w:rsidRDefault="00350DB1" w:rsidP="00350DB1">
      <w:pPr>
        <w:jc w:val="center"/>
        <w:rPr>
          <w:rFonts w:ascii="Times New Roman" w:hAnsi="Times New Roman" w:cs="Times New Roman"/>
          <w:b/>
          <w:bCs/>
          <w:sz w:val="32"/>
          <w:szCs w:val="32"/>
          <w:lang w:val="es-MX"/>
        </w:rPr>
      </w:pPr>
    </w:p>
    <w:p w14:paraId="357A073E" w14:textId="77777777" w:rsidR="00350DB1" w:rsidRDefault="00350DB1" w:rsidP="00350DB1">
      <w:pPr>
        <w:jc w:val="center"/>
        <w:rPr>
          <w:rFonts w:ascii="Times New Roman" w:hAnsi="Times New Roman" w:cs="Times New Roman"/>
          <w:b/>
          <w:bCs/>
          <w:sz w:val="36"/>
          <w:szCs w:val="36"/>
          <w:lang w:val="es-MX"/>
        </w:rPr>
      </w:pPr>
    </w:p>
    <w:p w14:paraId="0F021117" w14:textId="29ED9D65" w:rsidR="00350DB1" w:rsidRDefault="00350DB1" w:rsidP="00350DB1">
      <w:pPr>
        <w:jc w:val="center"/>
        <w:rPr>
          <w:rFonts w:ascii="Times New Roman" w:hAnsi="Times New Roman" w:cs="Times New Roman"/>
          <w:b/>
          <w:bCs/>
          <w:sz w:val="32"/>
          <w:szCs w:val="32"/>
          <w:lang w:val="es-MX"/>
        </w:rPr>
      </w:pPr>
      <w:r>
        <w:rPr>
          <w:rFonts w:ascii="Times New Roman" w:hAnsi="Times New Roman" w:cs="Times New Roman"/>
          <w:b/>
          <w:bCs/>
          <w:sz w:val="32"/>
          <w:szCs w:val="32"/>
          <w:lang w:val="es-MX"/>
        </w:rPr>
        <w:t>PLAN DE ESTUDIOS:</w:t>
      </w:r>
    </w:p>
    <w:p w14:paraId="18C22CD8" w14:textId="297B990E" w:rsidR="00350DB1" w:rsidRPr="00E97F65" w:rsidRDefault="00350DB1" w:rsidP="00E97F65">
      <w:pPr>
        <w:jc w:val="center"/>
        <w:rPr>
          <w:rFonts w:ascii="Times New Roman" w:hAnsi="Times New Roman" w:cs="Times New Roman"/>
          <w:sz w:val="32"/>
          <w:szCs w:val="32"/>
          <w:lang w:val="es-MX"/>
        </w:rPr>
      </w:pPr>
      <w:r w:rsidRPr="00350DB1">
        <w:rPr>
          <w:rFonts w:ascii="Times New Roman" w:hAnsi="Times New Roman" w:cs="Times New Roman"/>
          <w:sz w:val="32"/>
          <w:szCs w:val="32"/>
          <w:lang w:val="es-MX"/>
        </w:rPr>
        <w:t>Licenciatura de Ingeniería en Computación</w:t>
      </w:r>
    </w:p>
    <w:p w14:paraId="653C7FC6" w14:textId="77777777" w:rsidR="00350DB1" w:rsidRDefault="00350DB1" w:rsidP="00350DB1">
      <w:pPr>
        <w:jc w:val="center"/>
        <w:rPr>
          <w:rFonts w:ascii="Times New Roman" w:hAnsi="Times New Roman" w:cs="Times New Roman"/>
          <w:b/>
          <w:bCs/>
          <w:sz w:val="36"/>
          <w:szCs w:val="36"/>
          <w:lang w:val="es-MX"/>
        </w:rPr>
      </w:pPr>
    </w:p>
    <w:p w14:paraId="12B79946" w14:textId="68B43AB1" w:rsidR="00350DB1" w:rsidRPr="00350DB1" w:rsidRDefault="00350DB1" w:rsidP="00350DB1">
      <w:pPr>
        <w:jc w:val="center"/>
        <w:rPr>
          <w:rFonts w:ascii="Times New Roman" w:hAnsi="Times New Roman" w:cs="Times New Roman"/>
          <w:b/>
          <w:bCs/>
          <w:sz w:val="36"/>
          <w:szCs w:val="36"/>
          <w:lang w:val="es-MX"/>
        </w:rPr>
      </w:pPr>
      <w:r w:rsidRPr="00350DB1">
        <w:rPr>
          <w:rFonts w:ascii="Times New Roman" w:hAnsi="Times New Roman" w:cs="Times New Roman"/>
          <w:b/>
          <w:bCs/>
          <w:sz w:val="36"/>
          <w:szCs w:val="36"/>
          <w:lang w:val="es-MX"/>
        </w:rPr>
        <w:t>UNIDAD DE APRENDIZAJE:</w:t>
      </w:r>
    </w:p>
    <w:p w14:paraId="4EE7B616" w14:textId="040B7324" w:rsidR="00350DB1" w:rsidRDefault="00C46965" w:rsidP="00350DB1">
      <w:pPr>
        <w:jc w:val="center"/>
        <w:rPr>
          <w:rFonts w:ascii="Times New Roman" w:hAnsi="Times New Roman" w:cs="Times New Roman"/>
          <w:sz w:val="36"/>
          <w:szCs w:val="36"/>
          <w:lang w:val="es-MX"/>
        </w:rPr>
      </w:pPr>
      <w:r>
        <w:rPr>
          <w:rFonts w:ascii="Times New Roman" w:hAnsi="Times New Roman" w:cs="Times New Roman"/>
          <w:sz w:val="36"/>
          <w:szCs w:val="36"/>
          <w:lang w:val="es-MX"/>
        </w:rPr>
        <w:t>Administración de Proyectos Informáticos</w:t>
      </w:r>
    </w:p>
    <w:p w14:paraId="4C62736D" w14:textId="77777777" w:rsidR="00350DB1" w:rsidRPr="00350DB1" w:rsidRDefault="00350DB1" w:rsidP="00350DB1">
      <w:pPr>
        <w:jc w:val="center"/>
        <w:rPr>
          <w:rFonts w:ascii="Times New Roman" w:hAnsi="Times New Roman" w:cs="Times New Roman"/>
          <w:sz w:val="36"/>
          <w:szCs w:val="36"/>
          <w:lang w:val="es-MX"/>
        </w:rPr>
      </w:pPr>
    </w:p>
    <w:p w14:paraId="415D5BE8" w14:textId="24377195" w:rsidR="00350DB1" w:rsidRPr="00670E64" w:rsidRDefault="007C6AB3" w:rsidP="00670E64">
      <w:pPr>
        <w:jc w:val="center"/>
        <w:rPr>
          <w:rFonts w:ascii="Times New Roman" w:hAnsi="Times New Roman" w:cs="Times New Roman"/>
          <w:b/>
          <w:bCs/>
          <w:lang w:val="es-MX"/>
        </w:rPr>
      </w:pPr>
      <w:r>
        <w:rPr>
          <w:rFonts w:ascii="Times New Roman" w:hAnsi="Times New Roman" w:cs="Times New Roman"/>
          <w:b/>
          <w:bCs/>
          <w:sz w:val="48"/>
          <w:szCs w:val="48"/>
          <w:lang w:val="es-MX"/>
        </w:rPr>
        <w:t>Avance 1: Grupos de Procesos de Ejecución.</w:t>
      </w:r>
    </w:p>
    <w:p w14:paraId="325E3824" w14:textId="77777777" w:rsidR="00350DB1" w:rsidRDefault="00350DB1" w:rsidP="00350DB1">
      <w:pPr>
        <w:jc w:val="center"/>
        <w:rPr>
          <w:rFonts w:ascii="Times New Roman" w:hAnsi="Times New Roman" w:cs="Times New Roman"/>
          <w:b/>
          <w:bCs/>
          <w:sz w:val="36"/>
          <w:szCs w:val="36"/>
          <w:lang w:val="es-MX"/>
        </w:rPr>
      </w:pPr>
    </w:p>
    <w:p w14:paraId="1853F081" w14:textId="24398C34" w:rsidR="00350DB1" w:rsidRPr="00350DB1" w:rsidRDefault="00C46965" w:rsidP="00350DB1">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Integrantes del Equipo 404</w:t>
      </w:r>
      <w:r w:rsidR="00350DB1" w:rsidRPr="00350DB1">
        <w:rPr>
          <w:rFonts w:ascii="Times New Roman" w:hAnsi="Times New Roman" w:cs="Times New Roman"/>
          <w:b/>
          <w:bCs/>
          <w:sz w:val="36"/>
          <w:szCs w:val="36"/>
          <w:lang w:val="es-MX"/>
        </w:rPr>
        <w:t>:</w:t>
      </w:r>
    </w:p>
    <w:p w14:paraId="04E3E77B"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Fernando Azuara Ibarra</w:t>
      </w:r>
    </w:p>
    <w:p w14:paraId="3634006C"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 xml:space="preserve">Santiago Cuevas Sánchez </w:t>
      </w:r>
    </w:p>
    <w:p w14:paraId="0401058E"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 xml:space="preserve">Aarón Nevid Domínguez Fuentes </w:t>
      </w:r>
    </w:p>
    <w:p w14:paraId="363ED5A7"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Joaquín Ulises García Álvarez</w:t>
      </w:r>
    </w:p>
    <w:p w14:paraId="239742EF"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Daniel Aguilar Sánchez</w:t>
      </w:r>
    </w:p>
    <w:p w14:paraId="7CEF8770"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Zuleica Betsabel de la Cruz González</w:t>
      </w:r>
    </w:p>
    <w:p w14:paraId="0C2BD1DF" w14:textId="77777777" w:rsidR="00C46965"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Ángel Israel de la Cruz Martínez</w:t>
      </w:r>
    </w:p>
    <w:p w14:paraId="6530157D" w14:textId="4D617AB8" w:rsidR="00350DB1" w:rsidRPr="00C46965" w:rsidRDefault="00C46965" w:rsidP="00C46965">
      <w:pPr>
        <w:pStyle w:val="Prrafodelista"/>
        <w:numPr>
          <w:ilvl w:val="0"/>
          <w:numId w:val="4"/>
        </w:numPr>
        <w:jc w:val="center"/>
        <w:rPr>
          <w:rFonts w:ascii="Times New Roman" w:hAnsi="Times New Roman" w:cs="Times New Roman"/>
          <w:sz w:val="24"/>
          <w:szCs w:val="24"/>
        </w:rPr>
      </w:pPr>
      <w:r w:rsidRPr="00C46965">
        <w:rPr>
          <w:rFonts w:ascii="Times New Roman" w:hAnsi="Times New Roman" w:cs="Times New Roman"/>
          <w:sz w:val="24"/>
          <w:szCs w:val="24"/>
        </w:rPr>
        <w:t>Joan Alexis Ocaña Martínez</w:t>
      </w:r>
    </w:p>
    <w:p w14:paraId="43E63BCD" w14:textId="77777777" w:rsidR="00350DB1" w:rsidRDefault="00350DB1" w:rsidP="00350DB1">
      <w:pPr>
        <w:jc w:val="center"/>
        <w:rPr>
          <w:rFonts w:ascii="Times New Roman" w:hAnsi="Times New Roman" w:cs="Times New Roman"/>
          <w:b/>
          <w:bCs/>
          <w:sz w:val="36"/>
          <w:szCs w:val="36"/>
          <w:lang w:val="es-MX"/>
        </w:rPr>
      </w:pPr>
    </w:p>
    <w:p w14:paraId="67041567" w14:textId="354A05D6" w:rsidR="00350DB1" w:rsidRPr="00C46965" w:rsidRDefault="00350DB1" w:rsidP="00C46965">
      <w:pPr>
        <w:jc w:val="center"/>
        <w:rPr>
          <w:rFonts w:ascii="Times New Roman" w:hAnsi="Times New Roman" w:cs="Times New Roman"/>
          <w:b/>
          <w:bCs/>
          <w:sz w:val="36"/>
          <w:szCs w:val="36"/>
          <w:lang w:val="es-MX"/>
        </w:rPr>
      </w:pPr>
      <w:r w:rsidRPr="00350DB1">
        <w:rPr>
          <w:rFonts w:ascii="Times New Roman" w:hAnsi="Times New Roman" w:cs="Times New Roman"/>
          <w:b/>
          <w:bCs/>
          <w:sz w:val="36"/>
          <w:szCs w:val="36"/>
          <w:lang w:val="es-MX"/>
        </w:rPr>
        <w:t>GRUPO:</w:t>
      </w:r>
      <w:r w:rsidR="00C46965">
        <w:rPr>
          <w:rFonts w:ascii="Times New Roman" w:hAnsi="Times New Roman" w:cs="Times New Roman"/>
          <w:b/>
          <w:bCs/>
          <w:sz w:val="36"/>
          <w:szCs w:val="36"/>
          <w:lang w:val="es-MX"/>
        </w:rPr>
        <w:t xml:space="preserve"> </w:t>
      </w:r>
      <w:r w:rsidR="00C46965" w:rsidRPr="00C46965">
        <w:rPr>
          <w:rFonts w:ascii="Times New Roman" w:hAnsi="Times New Roman" w:cs="Times New Roman"/>
          <w:sz w:val="36"/>
          <w:szCs w:val="36"/>
          <w:lang w:val="es-MX"/>
        </w:rPr>
        <w:t>O2</w:t>
      </w:r>
    </w:p>
    <w:p w14:paraId="3E7C47C1" w14:textId="77777777" w:rsidR="00350DB1" w:rsidRDefault="00350DB1" w:rsidP="00350DB1">
      <w:pPr>
        <w:jc w:val="center"/>
        <w:rPr>
          <w:rFonts w:ascii="Times New Roman" w:hAnsi="Times New Roman" w:cs="Times New Roman"/>
          <w:b/>
          <w:bCs/>
          <w:sz w:val="36"/>
          <w:szCs w:val="36"/>
          <w:lang w:val="es-MX"/>
        </w:rPr>
      </w:pPr>
    </w:p>
    <w:p w14:paraId="5DDDC74B" w14:textId="7290F7B8" w:rsidR="00350DB1" w:rsidRPr="00350DB1" w:rsidRDefault="00350DB1" w:rsidP="00350DB1">
      <w:pPr>
        <w:jc w:val="center"/>
        <w:rPr>
          <w:rFonts w:ascii="Times New Roman" w:hAnsi="Times New Roman" w:cs="Times New Roman"/>
          <w:b/>
          <w:bCs/>
          <w:sz w:val="36"/>
          <w:szCs w:val="36"/>
          <w:lang w:val="es-MX"/>
        </w:rPr>
      </w:pPr>
      <w:r w:rsidRPr="00350DB1">
        <w:rPr>
          <w:rFonts w:ascii="Times New Roman" w:hAnsi="Times New Roman" w:cs="Times New Roman"/>
          <w:b/>
          <w:bCs/>
          <w:sz w:val="36"/>
          <w:szCs w:val="36"/>
          <w:lang w:val="es-MX"/>
        </w:rPr>
        <w:t>DOCENTE:</w:t>
      </w:r>
    </w:p>
    <w:p w14:paraId="06EA44B4" w14:textId="1053E3DE" w:rsidR="004E3DF0" w:rsidRDefault="00953AAC" w:rsidP="004E3DF0">
      <w:pPr>
        <w:jc w:val="center"/>
        <w:rPr>
          <w:rFonts w:ascii="Times New Roman" w:hAnsi="Times New Roman" w:cs="Times New Roman"/>
          <w:sz w:val="36"/>
          <w:szCs w:val="36"/>
          <w:lang w:val="es-MX"/>
        </w:rPr>
      </w:pPr>
      <w:r w:rsidRPr="00953AAC">
        <w:rPr>
          <w:rFonts w:ascii="Times New Roman" w:hAnsi="Times New Roman" w:cs="Times New Roman"/>
          <w:sz w:val="36"/>
          <w:szCs w:val="36"/>
          <w:lang w:val="es-MX"/>
        </w:rPr>
        <w:tab/>
      </w:r>
      <w:r w:rsidR="00C46965" w:rsidRPr="00C46965">
        <w:rPr>
          <w:rFonts w:ascii="Times New Roman" w:hAnsi="Times New Roman" w:cs="Times New Roman"/>
          <w:sz w:val="36"/>
          <w:szCs w:val="36"/>
          <w:lang w:val="es-MX"/>
        </w:rPr>
        <w:t>I. EN C. CÍNTIA GONZÁLEZ MIRELES</w:t>
      </w:r>
    </w:p>
    <w:p w14:paraId="6DFFCE27" w14:textId="77777777" w:rsidR="00C46965" w:rsidRPr="00953AAC" w:rsidRDefault="00C46965" w:rsidP="004E3DF0">
      <w:pPr>
        <w:jc w:val="center"/>
        <w:rPr>
          <w:rFonts w:ascii="Times New Roman" w:hAnsi="Times New Roman" w:cs="Times New Roman"/>
          <w:sz w:val="36"/>
          <w:szCs w:val="36"/>
          <w:lang w:val="es-MX"/>
        </w:rPr>
      </w:pPr>
    </w:p>
    <w:p w14:paraId="5296AFFE" w14:textId="158C2774" w:rsidR="00E074F5" w:rsidRDefault="00776D80" w:rsidP="00FF7584">
      <w:pPr>
        <w:jc w:val="center"/>
        <w:rPr>
          <w:rFonts w:ascii="Times New Roman" w:hAnsi="Times New Roman" w:cs="Times New Roman"/>
          <w:b/>
          <w:bCs/>
          <w:sz w:val="36"/>
          <w:szCs w:val="36"/>
          <w:lang w:val="es-MX"/>
        </w:rPr>
      </w:pPr>
      <w:r>
        <w:rPr>
          <w:rFonts w:ascii="Times New Roman" w:hAnsi="Times New Roman" w:cs="Times New Roman"/>
          <w:b/>
          <w:bCs/>
          <w:sz w:val="36"/>
          <w:szCs w:val="36"/>
          <w:lang w:val="es-MX"/>
        </w:rPr>
        <w:t>Toluca</w:t>
      </w:r>
      <w:r w:rsidR="00350DB1" w:rsidRPr="00350DB1">
        <w:rPr>
          <w:rFonts w:ascii="Times New Roman" w:hAnsi="Times New Roman" w:cs="Times New Roman"/>
          <w:b/>
          <w:bCs/>
          <w:sz w:val="36"/>
          <w:szCs w:val="36"/>
          <w:lang w:val="es-MX"/>
        </w:rPr>
        <w:t xml:space="preserve">, Estado de México, </w:t>
      </w:r>
      <w:r w:rsidR="009167CE" w:rsidRPr="009167CE">
        <w:rPr>
          <w:rFonts w:ascii="Times New Roman" w:hAnsi="Times New Roman" w:cs="Times New Roman"/>
          <w:b/>
          <w:bCs/>
          <w:sz w:val="36"/>
          <w:szCs w:val="36"/>
          <w:u w:val="single"/>
          <w:lang w:val="es-MX"/>
        </w:rPr>
        <w:t>2</w:t>
      </w:r>
      <w:r w:rsidR="00EE0B0C" w:rsidRPr="009167CE">
        <w:rPr>
          <w:rFonts w:ascii="Times New Roman" w:hAnsi="Times New Roman" w:cs="Times New Roman"/>
          <w:b/>
          <w:bCs/>
          <w:sz w:val="36"/>
          <w:szCs w:val="36"/>
          <w:u w:val="single"/>
          <w:lang w:val="es-MX"/>
        </w:rPr>
        <w:t>2</w:t>
      </w:r>
      <w:r w:rsidR="00C46965">
        <w:rPr>
          <w:rFonts w:ascii="Times New Roman" w:hAnsi="Times New Roman" w:cs="Times New Roman"/>
          <w:b/>
          <w:bCs/>
          <w:sz w:val="36"/>
          <w:szCs w:val="36"/>
          <w:lang w:val="es-MX"/>
        </w:rPr>
        <w:t xml:space="preserve"> de octubre de 2026</w:t>
      </w:r>
    </w:p>
    <w:p>
      <w:r>
        <w:br w:type="page"/>
      </w:r>
    </w:p>
    <w:p>
      <w:pPr>
        <w:pStyle w:val="Ttulo1"/>
        <w:jc w:val="left"/>
      </w:pPr>
      <w:r>
        <w:t>ÍNDICE DE CONTENIDO</w:t>
      </w:r>
    </w:p>
    <w:p>
      <w:pPr>
        <w:spacing w:line="264" w:lineRule="auto" w:after="80"/>
        <w:jc w:val="both"/>
      </w:pPr>
      <w:r>
        <w:rPr>
          <w:rFonts w:ascii="Times New Roman" w:hAnsi="Times New Roman"/>
          <w:b w:val="0"/>
          <w:color w:val="000000"/>
          <w:sz w:val="22"/>
        </w:rPr>
        <w:t>[Espacio reservado para la inserción automática del Índice de Contenido mediante la herramienta oficial de Microsoft Word: Pestaña 'Referencias' -&gt; 'Tabla de contenido'. Los títulos de este documento han sido configurados en los niveles nativos Título 1, Título 2 y Título 3 para su compilación inmediata].</w:t>
      </w:r>
    </w:p>
    <w:p>
      <w:r>
        <w:br w:type="page"/>
      </w:r>
    </w:p>
    <w:p>
      <w:pPr>
        <w:pStyle w:val="Ttulo1"/>
        <w:jc w:val="left"/>
      </w:pPr>
      <w:r>
        <w:t>1. INTRODUCCIÓN Y CONTEXTUALIZACIÓN INSTITUCIONAL</w:t>
      </w:r>
    </w:p>
    <w:p>
      <w:pPr>
        <w:pStyle w:val="Ttulo2"/>
        <w:jc w:val="left"/>
      </w:pPr>
      <w:r>
        <w:t>1.1 Propósito y Alcance del Informe de Avance</w:t>
      </w:r>
    </w:p>
    <w:p>
      <w:pPr>
        <w:spacing w:line="264" w:lineRule="auto" w:after="80"/>
        <w:jc w:val="both"/>
      </w:pPr>
      <w:r>
        <w:rPr>
          <w:rFonts w:ascii="Times New Roman" w:hAnsi="Times New Roman"/>
          <w:b w:val="0"/>
          <w:color w:val="000000"/>
          <w:sz w:val="22"/>
        </w:rPr>
        <w:t>El presente informe técnico y administrativo documenta el primer corte de ejecución técnica correspondiente al proyecto Nexus FI, desarrollado para la Facultad de Ingeniería de la Universidad Autónoma del Estado de México. El objetivo medular de la iniciativa consiste en proporcionar un asistente virtual inteligente basado en la arquitectura de Generación Aumentada por Recuperación, orientado a resolver las consultas de la comunidad estudiantil de la Licenciatura en Ingeniería en Computación respecto a trámites escolares, opciones de titulación, servicio social, becas y legislación universitaria.</w:t>
      </w:r>
    </w:p>
    <w:p>
      <w:pPr>
        <w:spacing w:line="264" w:lineRule="auto" w:after="80"/>
        <w:jc w:val="both"/>
      </w:pPr>
      <w:r>
        <w:rPr>
          <w:rFonts w:ascii="Times New Roman" w:hAnsi="Times New Roman"/>
          <w:b w:val="0"/>
          <w:color w:val="000000"/>
          <w:sz w:val="22"/>
        </w:rPr>
        <w:t>A diferencia de soluciones comerciales genéricas, Nexus FI opera sobre un corpus institucional cerrado, garantizando que cada orientación ofrecida se sustente en reglamentos vigentes y cite de manera formal sus fuentes oficiales, evitando cualquier conjetura o alucinación de contenido.</w:t>
      </w:r>
    </w:p>
    <w:p>
      <w:pPr>
        <w:pStyle w:val="Ttulo2"/>
        <w:jc w:val="left"/>
      </w:pPr>
      <w:r>
        <w:t>1.2 Marco Metodológico y Alineación con la Estructura de Desglose del Trabajo</w:t>
      </w:r>
    </w:p>
    <w:p>
      <w:pPr>
        <w:spacing w:line="264" w:lineRule="auto" w:after="80"/>
        <w:jc w:val="both"/>
      </w:pPr>
      <w:r>
        <w:rPr>
          <w:rFonts w:ascii="Times New Roman" w:hAnsi="Times New Roman"/>
          <w:b w:val="0"/>
          <w:color w:val="000000"/>
          <w:sz w:val="22"/>
        </w:rPr>
        <w:t>La ejecución del proyecto se rige por los principios del estándar internacional PMBOK y se encuentra plenamente alineada con el Plan de Gestión del Alcance establecido en el Capítulo 4 del documento maestro del proyecto. Cada tarea reportada en este corte se vincula de manera biunívoca con los paquetes de trabajo de la Estructura de Desglose del Trabajo, permitiendo un seguimiento riguroso de entregables, asignaciones de responsabilidad y consumo de recursos.</w:t>
      </w:r>
    </w:p>
    <w:p>
      <w:pPr>
        <w:pStyle w:val="Ttulo2"/>
        <w:jc w:val="left"/>
      </w:pPr>
      <w:r>
        <w:t>1.3 Balance General de Ejecución y Desempeño Financiero</w:t>
      </w:r>
    </w:p>
    <w:p>
      <w:pPr>
        <w:spacing w:line="264" w:lineRule="auto" w:after="80"/>
        <w:jc w:val="both"/>
      </w:pPr>
      <w:r>
        <w:rPr>
          <w:rFonts w:ascii="Times New Roman" w:hAnsi="Times New Roman"/>
          <w:b w:val="0"/>
          <w:color w:val="000000"/>
          <w:sz w:val="22"/>
        </w:rPr>
        <w:t>Durante el periodo cubierto por este primer corte, el equipo completó de manera satisfactoria las actividades de curaduría documental, depuración, digitalización óptica local y estructuración de fragmentos vectoriales, alcanzando asimismo la unificación del código fuente en el repositorio central. En el ámbito presupuestario, el proyecto mantiene una eficiencia financiera sobresaliente, registrando cero pesos en compras de activos fijos para la institución y un gasto devengado en nube de tan solo cuarenta y ocho centavos de dólar para la vectorización densa de todo el acervo.</w:t>
      </w:r>
    </w:p>
    <w:p>
      <w:pPr>
        <w:spacing w:line="264" w:lineRule="auto" w:before="160" w:after="40"/>
        <w:jc w:val="left"/>
      </w:pPr>
      <w:r>
        <w:rPr>
          <w:rFonts w:ascii="Times New Roman" w:hAnsi="Times New Roman"/>
          <w:b/>
          <w:color w:val="000000"/>
          <w:sz w:val="22"/>
        </w:rPr>
        <w:t>Tabla 1.1: Resumen ejecutivo de avance físico y financiero por fase del proyecto.</w:t>
      </w:r>
    </w:p>
    <w:tbl>
      <w:tblPr>
        <w:tblW w:type="auto" w:w="0"/>
        <w:jc w:val="center"/>
        <w:tblLook w:firstColumn="1" w:firstRow="1" w:lastColumn="0" w:lastRow="0" w:noHBand="0" w:noVBand="1" w:val="04A0"/>
      </w:tblPr>
      <w:tblGrid>
        <w:gridCol w:w="2209"/>
        <w:gridCol w:w="2209"/>
        <w:gridCol w:w="2209"/>
        <w:gridCol w:w="2209"/>
      </w:tblGrid>
      <w:tr>
        <w:tc>
          <w:tcPr>
            <w:tcW w:type="dxa" w:w="2160"/>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Fase WBS</w:t>
            </w:r>
          </w:p>
        </w:tc>
        <w:tc>
          <w:tcPr>
            <w:tcW w:type="dxa" w:w="331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Alcance Programado</w:t>
            </w:r>
          </w:p>
        </w:tc>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Estado Técnico</w:t>
            </w:r>
          </w:p>
        </w:tc>
        <w:tc>
          <w:tcPr>
            <w:tcW w:type="dxa" w:w="2016"/>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Presupuesto Devengado</w:t>
            </w:r>
          </w:p>
        </w:tc>
      </w:tr>
      <w:tr>
        <w:tc>
          <w:tcPr>
            <w:tcW w:type="dxa" w:w="216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1.1 Gestión del Proyecto</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Líneas base, gobernanza y repositorio Git</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100% Completado en primer corte</w:t>
            </w:r>
          </w:p>
        </w:tc>
        <w:tc>
          <w:tcPr>
            <w:tcW w:type="dxa" w:w="201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$0.00 MXN</w:t>
            </w:r>
          </w:p>
        </w:tc>
      </w:tr>
      <w:tr>
        <w:tc>
          <w:tcPr>
            <w:tcW w:type="dxa" w:w="216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 Análisis y Curaduría</w:t>
            </w:r>
          </w:p>
        </w:tc>
        <w:tc>
          <w:tcPr>
            <w:tcW w:type="dxa" w:w="331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Curaduría documental, OCR y segmentación RF08</w:t>
            </w:r>
          </w:p>
        </w:tc>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100% Acervo base procesado</w:t>
            </w:r>
          </w:p>
        </w:tc>
        <w:tc>
          <w:tcPr>
            <w:tcW w:type="dxa" w:w="201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$0.00 MXN (OCR local)</w:t>
            </w:r>
          </w:p>
        </w:tc>
      </w:tr>
      <w:tr>
        <w:tc>
          <w:tcPr>
            <w:tcW w:type="dxa" w:w="216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1.3 Desarrollo Núcleo RAG</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Base LanceDB, API REST FastAPI y PWA</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100% Operativo e integrado</w:t>
            </w:r>
          </w:p>
        </w:tc>
        <w:tc>
          <w:tcPr>
            <w:tcW w:type="dxa" w:w="201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$0.0485 USD (OpenAI API)</w:t>
            </w:r>
          </w:p>
        </w:tc>
      </w:tr>
      <w:tr>
        <w:tc>
          <w:tcPr>
            <w:tcW w:type="dxa" w:w="216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1.4 Calidad y Telemetría</w:t>
            </w:r>
          </w:p>
        </w:tc>
        <w:tc>
          <w:tcPr>
            <w:tcW w:type="dxa" w:w="331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Pruebas CLI, auditoría de claves y setup</w:t>
            </w:r>
          </w:p>
        </w:tc>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100% Validado sin filtraciones</w:t>
            </w:r>
          </w:p>
        </w:tc>
        <w:tc>
          <w:tcPr>
            <w:tcW w:type="dxa" w:w="201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$0.00 MXN</w:t>
            </w:r>
          </w:p>
        </w:tc>
      </w:tr>
      <w:tr>
        <w:tc>
          <w:tcPr>
            <w:tcW w:type="dxa" w:w="216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1.5 Despliegue Cloud</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Contenedores Docker y nube AWS S3/ECS</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Programado para siguiente fase</w:t>
            </w:r>
          </w:p>
        </w:tc>
        <w:tc>
          <w:tcPr>
            <w:tcW w:type="dxa" w:w="201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Asignado a Fase 2/3</w:t>
            </w:r>
          </w:p>
        </w:tc>
      </w:tr>
    </w:tbl>
    <w:p>
      <w:pPr>
        <w:spacing w:after="80"/>
      </w:pPr>
    </w:p>
    <w:p>
      <w:pPr>
        <w:pStyle w:val="Ttulo1"/>
        <w:jc w:val="left"/>
      </w:pPr>
      <w:r>
        <w:t>2. GESTIÓN DEL PROYECTO Y GOBERNANZA - WBS 1.1</w:t>
      </w:r>
    </w:p>
    <w:p>
      <w:pPr>
        <w:pStyle w:val="Ttulo2"/>
        <w:jc w:val="left"/>
      </w:pPr>
      <w:r>
        <w:t>2.1 Dirección, Monitoreo y Control Integrado - WBS 1.1.4</w:t>
      </w:r>
    </w:p>
    <w:p>
      <w:pPr>
        <w:spacing w:line="264" w:lineRule="auto" w:after="80"/>
        <w:jc w:val="both"/>
      </w:pPr>
      <w:r>
        <w:rPr>
          <w:rFonts w:ascii="Times New Roman" w:hAnsi="Times New Roman"/>
          <w:b w:val="0"/>
          <w:color w:val="000000"/>
          <w:sz w:val="22"/>
        </w:rPr>
        <w:t>Bajo la dirección del estudiante Fernando Azuara Ibarra en su rol de Project Manager, el Equipo 404 implementó una estrategia de coordinación descentralizada para la recopilación masiva de datos institucionales, estableciendo puntos de verificación periódicos y resolviendo desviaciones operativas de forma oportuna. El Project Manager gestionó la mitigación de inconsistencias en los formatos de archivo originales y dirigió la consolidación técnica del código disperso en múltiples ramas de trabajo.</w:t>
      </w:r>
    </w:p>
    <w:p>
      <w:pPr>
        <w:spacing w:line="264" w:lineRule="auto" w:after="80"/>
        <w:jc w:val="both"/>
      </w:pPr>
      <w:r>
        <w:rPr>
          <w:rFonts w:ascii="Times New Roman" w:hAnsi="Times New Roman"/>
          <w:b w:val="0"/>
          <w:color w:val="000000"/>
          <w:sz w:val="22"/>
        </w:rPr>
        <w:t>En el ámbito de control de configuración, se supervisó el repositorio oficial en GitHub, orquestando la sincronización y fusión limpia de las contribuciones de los integrantes hacia las ramas principales de integración y producción sin colisiones ni pérdidas de versiones previas.</w:t>
      </w:r>
    </w:p>
    <w:p>
      <w:pPr>
        <w:spacing w:line="264" w:lineRule="auto" w:before="160" w:after="40"/>
        <w:jc w:val="left"/>
      </w:pPr>
      <w:r>
        <w:rPr>
          <w:rFonts w:ascii="Times New Roman" w:hAnsi="Times New Roman"/>
          <w:b/>
          <w:color w:val="000000"/>
          <w:sz w:val="22"/>
        </w:rPr>
        <w:t>Tabla 2.1: Registro de control de ramas, integración y versiones consolidadas.</w:t>
      </w:r>
    </w:p>
    <w:tbl>
      <w:tblPr>
        <w:tblW w:type="auto" w:w="0"/>
        <w:jc w:val="center"/>
        <w:tblLook w:firstColumn="1" w:firstRow="1" w:lastColumn="0" w:lastRow="0" w:noHBand="0" w:noVBand="1" w:val="04A0"/>
      </w:tblPr>
      <w:tblGrid>
        <w:gridCol w:w="2209"/>
        <w:gridCol w:w="2209"/>
        <w:gridCol w:w="2209"/>
        <w:gridCol w:w="2209"/>
      </w:tblGrid>
      <w:tr>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Rama de Origen</w:t>
            </w:r>
          </w:p>
        </w:tc>
        <w:tc>
          <w:tcPr>
            <w:tcW w:type="dxa" w:w="331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Componente Aportado</w:t>
            </w:r>
          </w:p>
        </w:tc>
        <w:tc>
          <w:tcPr>
            <w:tcW w:type="dxa" w:w="2448"/>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Responsable Técnico</w:t>
            </w:r>
          </w:p>
        </w:tc>
        <w:tc>
          <w:tcPr>
            <w:tcW w:type="dxa" w:w="2016"/>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Integración en Main</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feature/daniel-nexusfi-ui</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Frontend PWA, estilos verde oro y dashboard</w:t>
            </w:r>
          </w:p>
        </w:tc>
        <w:tc>
          <w:tcPr>
            <w:tcW w:type="dxa" w:w="244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Daniel Aguilar Sánchez</w:t>
            </w:r>
          </w:p>
        </w:tc>
        <w:tc>
          <w:tcPr>
            <w:tcW w:type="dxa" w:w="201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Directorio frontend/</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API</w:t>
            </w:r>
          </w:p>
        </w:tc>
        <w:tc>
          <w:tcPr>
            <w:tcW w:type="dxa" w:w="331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Diagnósticos de API, guías y auditor de seguridad</w:t>
            </w:r>
          </w:p>
        </w:tc>
        <w:tc>
          <w:tcPr>
            <w:tcW w:type="dxa" w:w="244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Joaquín Ulises García Álvarez</w:t>
            </w:r>
          </w:p>
        </w:tc>
        <w:tc>
          <w:tcPr>
            <w:tcW w:type="dxa" w:w="201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Directorio backend/config_api/</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BaseVectorial</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Pipeline de ingesta, 3,977 chunks y LanceDB</w:t>
            </w:r>
          </w:p>
        </w:tc>
        <w:tc>
          <w:tcPr>
            <w:tcW w:type="dxa" w:w="244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Equipo 404 / Fernando Azuara</w:t>
            </w:r>
          </w:p>
        </w:tc>
        <w:tc>
          <w:tcPr>
            <w:tcW w:type="dxa" w:w="201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nexus_ingestion/ y Procesados/</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main (base)</w:t>
            </w:r>
          </w:p>
        </w:tc>
        <w:tc>
          <w:tcPr>
            <w:tcW w:type="dxa" w:w="331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Telemetría DT-10 y verificación de credenciales</w:t>
            </w:r>
          </w:p>
        </w:tc>
        <w:tc>
          <w:tcPr>
            <w:tcW w:type="dxa" w:w="244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Ángel Israel De La Cruz Martínez</w:t>
            </w:r>
          </w:p>
        </w:tc>
        <w:tc>
          <w:tcPr>
            <w:tcW w:type="dxa" w:w="201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main.py y /api/health</w:t>
            </w:r>
          </w:p>
        </w:tc>
      </w:tr>
    </w:tbl>
    <w:p>
      <w:pPr>
        <w:spacing w:after="80"/>
      </w:pPr>
    </w:p>
    <w:p>
      <w:pPr>
        <w:pStyle w:val="Ttulo1"/>
        <w:jc w:val="left"/>
      </w:pPr>
      <w:r>
        <w:t>3. ANÁLISIS, CURADURÍA Y ESPECIFICACIÓN DEL ACERVO - WBS 1.2</w:t>
      </w:r>
    </w:p>
    <w:p>
      <w:pPr>
        <w:pStyle w:val="Ttulo2"/>
        <w:jc w:val="left"/>
      </w:pPr>
      <w:r>
        <w:t>3.1 Curaduría del Acervo Documental Institucional - WBS 1.2.1</w:t>
      </w:r>
    </w:p>
    <w:p>
      <w:pPr>
        <w:spacing w:line="264" w:lineRule="auto" w:after="80"/>
        <w:jc w:val="both"/>
      </w:pPr>
      <w:r>
        <w:rPr>
          <w:rFonts w:ascii="Times New Roman" w:hAnsi="Times New Roman"/>
          <w:b w:val="0"/>
          <w:color w:val="000000"/>
          <w:sz w:val="22"/>
        </w:rPr>
        <w:t>Para garantizar una cobertura integral de las necesidades de información del alumnado, el equipo llevó a cabo una campaña de recolección documental descentralizada documentada en la bitácora formal del proyecto. Cada área temática fue asignada a un responsable encargado de compilar reglamentos, acuerdos, convocatorias y guías administrativas vigentes en las distintas dependencias universitarias.</w:t>
      </w:r>
    </w:p>
    <w:p>
      <w:pPr>
        <w:spacing w:line="264" w:lineRule="auto" w:before="160" w:after="40"/>
        <w:jc w:val="left"/>
      </w:pPr>
      <w:r>
        <w:rPr>
          <w:rFonts w:ascii="Times New Roman" w:hAnsi="Times New Roman"/>
          <w:b/>
          <w:color w:val="000000"/>
          <w:sz w:val="22"/>
        </w:rPr>
        <w:t>Tabla 3.1: Matriz de recolección de acervo documental por área y responsable.</w:t>
      </w:r>
    </w:p>
    <w:tbl>
      <w:tblPr>
        <w:tblW w:type="auto" w:w="0"/>
        <w:jc w:val="center"/>
        <w:tblLook w:firstColumn="1" w:firstRow="1" w:lastColumn="0" w:lastRow="0" w:noHBand="0" w:noVBand="1" w:val="04A0"/>
      </w:tblPr>
      <w:tblGrid>
        <w:gridCol w:w="2946"/>
        <w:gridCol w:w="2946"/>
        <w:gridCol w:w="2946"/>
      </w:tblGrid>
      <w:tr>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Responsable</w:t>
            </w:r>
          </w:p>
        </w:tc>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Área Asignada</w:t>
            </w:r>
          </w:p>
        </w:tc>
        <w:tc>
          <w:tcPr>
            <w:tcW w:type="dxa" w:w="4896"/>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Documentos y Trámites Recolectados</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Aarón Nevid Domínguez Fuentes</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Legislación y Planes de Estudio</w:t>
            </w:r>
          </w:p>
        </w:tc>
        <w:tc>
          <w:tcPr>
            <w:tcW w:type="dxa" w:w="489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45 reglamentos de legislación universitaria, mapas curriculares y planes de estudio de la carrera.</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Azuleica Betsabel De La Cruz González</w:t>
            </w:r>
          </w:p>
        </w:tc>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Servicios Escolares e Instalaciones</w:t>
            </w:r>
          </w:p>
        </w:tc>
        <w:tc>
          <w:tcPr>
            <w:tcW w:type="dxa" w:w="489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Guías de Control Escolar, Laboratorio Digital de Idiomas, Sistema Bibliotecario y convenios institucionales.</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Joan Alexis Ocaña Martínez</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Movilidad Estudiantil</w:t>
            </w:r>
          </w:p>
        </w:tc>
        <w:tc>
          <w:tcPr>
            <w:tcW w:type="dxa" w:w="489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Lineamientos generales de movilidad, convocatorias intrainstitucionales, nacionales e internacionales.</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Joaquín Ulises García Álvarez</w:t>
            </w:r>
          </w:p>
        </w:tc>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Becas y Trámites Centrales</w:t>
            </w:r>
          </w:p>
        </w:tc>
        <w:tc>
          <w:tcPr>
            <w:tcW w:type="dxa" w:w="489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Convocatorias de becas UAEMéx, actividades culturales, derechos universitarios y trámites en Rectoría.</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Ángel Israel De La Cruz Martínez</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Actividades Deportivas</w:t>
            </w:r>
          </w:p>
        </w:tc>
        <w:tc>
          <w:tcPr>
            <w:tcW w:type="dxa" w:w="489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Convocatorias de promoción deportiva, torneos internos de bienvenida y activaciones físicas universitarias.</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Fernando Azuara Ibarra</w:t>
            </w:r>
          </w:p>
        </w:tc>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Coordinación y Gobernanza</w:t>
            </w:r>
          </w:p>
        </w:tc>
        <w:tc>
          <w:tcPr>
            <w:tcW w:type="dxa" w:w="489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Gestión integral de recolección, plantilla estandarizada de trámites y validación de autenticidad documental.</w:t>
            </w:r>
          </w:p>
        </w:tc>
      </w:tr>
    </w:tbl>
    <w:p>
      <w:pPr>
        <w:spacing w:after="80"/>
      </w:pPr>
    </w:p>
    <w:p>
      <w:pPr>
        <w:pStyle w:val="Ttulo2"/>
        <w:jc w:val="left"/>
      </w:pPr>
      <w:r>
        <w:t>3.2 Ingesta y Procesamiento de Contenido de Redes Sociales - WBS 1.2.1</w:t>
      </w:r>
    </w:p>
    <w:p>
      <w:pPr>
        <w:spacing w:line="264" w:lineRule="auto" w:after="80"/>
        <w:jc w:val="both"/>
      </w:pPr>
      <w:r>
        <w:rPr>
          <w:rFonts w:ascii="Times New Roman" w:hAnsi="Times New Roman"/>
          <w:b w:val="0"/>
          <w:color w:val="000000"/>
          <w:sz w:val="22"/>
        </w:rPr>
        <w:t>El estudiante Santiago Cuevas Sánchez asumió la tarea de diseñar e implementar una herramienta especializada para capturar la información dinámica que la Facultad de Ingeniería publica en sus canales oficiales de redes sociales, particularmente Facebook e Instagram. Su informe técnico documenta que un intento inicial de extracción directa mediante automatización de navegadores web enfrentó severas restricciones impuestas por las plataformas de Meta, incluyendo pantallas de bloqueo por falta de inicio de sesión y el riesgo inminente de suspensión de cuentas por sistemas antibot.</w:t>
      </w:r>
    </w:p>
    <w:p>
      <w:pPr>
        <w:spacing w:line="264" w:lineRule="auto" w:after="80"/>
        <w:jc w:val="both"/>
      </w:pPr>
      <w:r>
        <w:rPr>
          <w:rFonts w:ascii="Times New Roman" w:hAnsi="Times New Roman"/>
          <w:b w:val="0"/>
          <w:color w:val="000000"/>
          <w:sz w:val="22"/>
        </w:rPr>
        <w:t>Ante este reto, Santiago desarrolló una arquitectura desacoplada y robusta que combinó el uso de extractores en la nube a través de la plataforma Apify con un pipeline local en Python denominado procesar_posts.py. Dicho sistema descarga de forma idempotente el material gráfico institucional, evitando duplicidades y omitiendo datos de usuarios privados para preservar la privacidad. La herramienta integró el motor Tesseract OCR en idioma español, logrando transcribir con éxito textos densos contenidos en carteles de conferencias y avisos urgentes de trámites escolares.</w:t>
      </w:r>
    </w:p>
    <w:p>
      <w:pPr>
        <w:spacing w:line="264" w:lineRule="auto" w:before="160" w:after="40"/>
        <w:jc w:val="left"/>
      </w:pPr>
      <w:r>
        <w:rPr>
          <w:rFonts w:ascii="Times New Roman" w:hAnsi="Times New Roman"/>
          <w:b/>
          <w:color w:val="000000"/>
          <w:sz w:val="22"/>
        </w:rPr>
        <w:t>Tabla 3.2: Métricas de procesamiento de contenido de redes sociales oficiales.</w:t>
      </w:r>
    </w:p>
    <w:tbl>
      <w:tblPr>
        <w:tblW w:type="auto" w:w="0"/>
        <w:jc w:val="center"/>
        <w:tblLook w:firstColumn="1" w:firstRow="1" w:lastColumn="0" w:lastRow="0" w:noHBand="0" w:noVBand="1" w:val="04A0"/>
      </w:tblPr>
      <w:tblGrid>
        <w:gridCol w:w="1473"/>
        <w:gridCol w:w="1473"/>
        <w:gridCol w:w="1473"/>
        <w:gridCol w:w="1473"/>
        <w:gridCol w:w="1473"/>
        <w:gridCol w:w="1473"/>
      </w:tblGrid>
      <w:tr>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Canal Oficial</w:t>
            </w:r>
          </w:p>
        </w:tc>
        <w:tc>
          <w:tcPr>
            <w:tcW w:type="dxa" w:w="1440"/>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Posts Analizados</w:t>
            </w:r>
          </w:p>
        </w:tc>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Tipología de Contenido</w:t>
            </w:r>
          </w:p>
        </w:tc>
        <w:tc>
          <w:tcPr>
            <w:tcW w:type="dxa" w:w="1584"/>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Portadas Descargadas</w:t>
            </w:r>
          </w:p>
        </w:tc>
        <w:tc>
          <w:tcPr>
            <w:tcW w:type="dxa" w:w="115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Textos OCR</w:t>
            </w:r>
          </w:p>
        </w:tc>
        <w:tc>
          <w:tcPr>
            <w:tcW w:type="dxa" w:w="720"/>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Fallas</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Facebook (FIUAEM)</w:t>
            </w:r>
          </w:p>
        </w:tc>
        <w:tc>
          <w:tcPr>
            <w:tcW w:type="dxa" w:w="144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5</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Directas, compartidas y video</w:t>
            </w:r>
          </w:p>
        </w:tc>
        <w:tc>
          <w:tcPr>
            <w:tcW w:type="dxa" w:w="158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20</w:t>
            </w:r>
          </w:p>
        </w:tc>
        <w:tc>
          <w:tcPr>
            <w:tcW w:type="dxa" w:w="115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6</w:t>
            </w:r>
          </w:p>
        </w:tc>
        <w:tc>
          <w:tcPr>
            <w:tcW w:type="dxa" w:w="72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Instagram (@ingenieriauaemex)</w:t>
            </w:r>
          </w:p>
        </w:tc>
        <w:tc>
          <w:tcPr>
            <w:tcW w:type="dxa" w:w="144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5</w:t>
            </w:r>
          </w:p>
        </w:tc>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Carruseles, video y avisos</w:t>
            </w:r>
          </w:p>
        </w:tc>
        <w:tc>
          <w:tcPr>
            <w:tcW w:type="dxa" w:w="158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5</w:t>
            </w:r>
          </w:p>
        </w:tc>
        <w:tc>
          <w:tcPr>
            <w:tcW w:type="dxa" w:w="115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3</w:t>
            </w:r>
          </w:p>
        </w:tc>
        <w:tc>
          <w:tcPr>
            <w:tcW w:type="dxa" w:w="72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Total Evaluado</w:t>
            </w:r>
          </w:p>
        </w:tc>
        <w:tc>
          <w:tcPr>
            <w:tcW w:type="dxa" w:w="144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10</w:t>
            </w:r>
          </w:p>
        </w:tc>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Convocatorias e infografías</w:t>
            </w:r>
          </w:p>
        </w:tc>
        <w:tc>
          <w:tcPr>
            <w:tcW w:type="dxa" w:w="158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25</w:t>
            </w:r>
          </w:p>
        </w:tc>
        <w:tc>
          <w:tcPr>
            <w:tcW w:type="dxa" w:w="115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9</w:t>
            </w:r>
          </w:p>
        </w:tc>
        <w:tc>
          <w:tcPr>
            <w:tcW w:type="dxa" w:w="72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w:t>
            </w:r>
          </w:p>
        </w:tc>
      </w:tr>
    </w:tbl>
    <w:p>
      <w:pPr>
        <w:spacing w:after="80"/>
      </w:pPr>
    </w:p>
    <w:p>
      <w:pPr>
        <w:spacing w:line="264" w:lineRule="auto" w:after="80"/>
        <w:jc w:val="both"/>
      </w:pPr>
      <w:r>
        <w:rPr>
          <w:rFonts w:ascii="Times New Roman" w:hAnsi="Times New Roman"/>
          <w:b w:val="0"/>
          <w:color w:val="000000"/>
          <w:sz w:val="22"/>
        </w:rPr>
        <w:t>Como recomendación técnica fundamental para la sostenibilidad de esta fuente, Santiago destacó la conveniencia de gestionar formalmente ante la Unidad de Comunicación de la Facultad el acceso a la Meta Graph API oficial, o en su defecto, coordinar un repositorio compartido donde los diseñadores institucionales depositen los materiales gráficos al momento de su publicación.</w:t>
      </w:r>
    </w:p>
    <w:p>
      <w:pPr>
        <w:pStyle w:val="Ttulo2"/>
        <w:jc w:val="left"/>
      </w:pPr>
      <w:r>
        <w:t>3.3 Normalización, Extracción Híbrida y Segmentación - WBS 1.2.2</w:t>
      </w:r>
    </w:p>
    <w:p>
      <w:pPr>
        <w:spacing w:line="264" w:lineRule="auto" w:after="80"/>
        <w:jc w:val="both"/>
      </w:pPr>
      <w:r>
        <w:rPr>
          <w:rFonts w:ascii="Times New Roman" w:hAnsi="Times New Roman"/>
          <w:b w:val="0"/>
          <w:color w:val="000000"/>
          <w:sz w:val="22"/>
        </w:rPr>
        <w:t>La consolidación del acervo exigió una fase rigurosa de saneamiento técnico. En primer término, se eliminaron ochenta y tres archivos residuales, descargas truncadas y elementos multimedia sin validez normativa. Posteriormente, se construyó un pipeline de extracción híbrido capaz de procesar documentos digitales nativos y ejecutar reconocimiento óptico de caracteres local para cuarenta y siete expedientes escaneados equivalentes a seiscientas cincuenta páginas. Este proceso empleó la biblioteca RapidOCR sobre ONNX Runtime, aprovechando procesamiento multihilo local con costo nulo.</w:t>
      </w:r>
    </w:p>
    <w:p>
      <w:pPr>
        <w:spacing w:line="264" w:lineRule="auto" w:after="80"/>
        <w:jc w:val="both"/>
      </w:pPr>
      <w:r>
        <w:rPr>
          <w:rFonts w:ascii="Times New Roman" w:hAnsi="Times New Roman"/>
          <w:b w:val="0"/>
          <w:color w:val="000000"/>
          <w:sz w:val="22"/>
        </w:rPr>
        <w:t>El acervo depurado quedó estructurado en doscientos once documentos canónicos resguardados en seis directorios temáticos. Para satisfacer el requisito funcional RF08, se aplicó un algoritmo de segmentación estructural que dividió los textos en unidades semánticas coherentes respetando artículos, títulos y párrafos, garantizando un tamaño de entre 132 y 674 tokens con un solapamiento del 15% entre fragmentos consecutivos para conservar el contexto jurídico.</w:t>
      </w:r>
    </w:p>
    <w:p>
      <w:pPr>
        <w:spacing w:line="264" w:lineRule="auto" w:before="160" w:after="40"/>
        <w:jc w:val="left"/>
      </w:pPr>
      <w:r>
        <w:rPr>
          <w:rFonts w:ascii="Times New Roman" w:hAnsi="Times New Roman"/>
          <w:b/>
          <w:color w:val="000000"/>
          <w:sz w:val="22"/>
        </w:rPr>
        <w:t>Tabla 3.3: Distribución del acervo documental por categoría temática procesada.</w:t>
      </w:r>
    </w:p>
    <w:tbl>
      <w:tblPr>
        <w:tblW w:type="auto" w:w="0"/>
        <w:jc w:val="center"/>
        <w:tblLook w:firstColumn="1" w:firstRow="1" w:lastColumn="0" w:lastRow="0" w:noHBand="0" w:noVBand="1" w:val="04A0"/>
      </w:tblPr>
      <w:tblGrid>
        <w:gridCol w:w="2209"/>
        <w:gridCol w:w="2209"/>
        <w:gridCol w:w="2209"/>
        <w:gridCol w:w="2209"/>
      </w:tblGrid>
      <w:tr>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Código de Categoría</w:t>
            </w:r>
          </w:p>
        </w:tc>
        <w:tc>
          <w:tcPr>
            <w:tcW w:type="dxa" w:w="3888"/>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Descripción Temática Institucional</w:t>
            </w:r>
          </w:p>
        </w:tc>
        <w:tc>
          <w:tcPr>
            <w:tcW w:type="dxa" w:w="1728"/>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Documentos Canónicos</w:t>
            </w:r>
          </w:p>
        </w:tc>
        <w:tc>
          <w:tcPr>
            <w:tcW w:type="dxa" w:w="187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Total Fragmentos RF08</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01_Normativa_Universitaria</w:t>
            </w:r>
          </w:p>
        </w:tc>
        <w:tc>
          <w:tcPr>
            <w:tcW w:type="dxa" w:w="388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Estatutos, reglamentos generales y acuerdos de Consejo</w:t>
            </w:r>
          </w:p>
        </w:tc>
        <w:tc>
          <w:tcPr>
            <w:tcW w:type="dxa" w:w="172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45</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1,842</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02_Planes_de_Estudio_ICO</w:t>
            </w:r>
          </w:p>
        </w:tc>
        <w:tc>
          <w:tcPr>
            <w:tcW w:type="dxa" w:w="388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Mapas curriculares, unidades de aprendizaje y créditos</w:t>
            </w:r>
          </w:p>
        </w:tc>
        <w:tc>
          <w:tcPr>
            <w:tcW w:type="dxa" w:w="172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58</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890</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03_Becas_y_Apoyos</w:t>
            </w:r>
          </w:p>
        </w:tc>
        <w:tc>
          <w:tcPr>
            <w:tcW w:type="dxa" w:w="388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Convocatorias de becas institucionales y estímulos</w:t>
            </w:r>
          </w:p>
        </w:tc>
        <w:tc>
          <w:tcPr>
            <w:tcW w:type="dxa" w:w="172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38</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415</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04_Tramites_y_Servicios</w:t>
            </w:r>
          </w:p>
        </w:tc>
        <w:tc>
          <w:tcPr>
            <w:tcW w:type="dxa" w:w="388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Guías de titulación, servicio social y reinscripción</w:t>
            </w:r>
          </w:p>
        </w:tc>
        <w:tc>
          <w:tcPr>
            <w:tcW w:type="dxa" w:w="172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34</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380</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05_Instalaciones_y_Servicios</w:t>
            </w:r>
          </w:p>
        </w:tc>
        <w:tc>
          <w:tcPr>
            <w:tcW w:type="dxa" w:w="388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Reglamento bibliotecario, laboratorios y convenios</w:t>
            </w:r>
          </w:p>
        </w:tc>
        <w:tc>
          <w:tcPr>
            <w:tcW w:type="dxa" w:w="172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25</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312</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06_Coordinacion_ICO</w:t>
            </w:r>
          </w:p>
        </w:tc>
        <w:tc>
          <w:tcPr>
            <w:tcW w:type="dxa" w:w="388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Avisos de coordinación, contactos y directorios de área</w:t>
            </w:r>
          </w:p>
        </w:tc>
        <w:tc>
          <w:tcPr>
            <w:tcW w:type="dxa" w:w="172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11</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138</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Total Consolidado</w:t>
            </w:r>
          </w:p>
        </w:tc>
        <w:tc>
          <w:tcPr>
            <w:tcW w:type="dxa" w:w="388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Acervo Oficial Verificado de la Facultad de Ingeniería</w:t>
            </w:r>
          </w:p>
        </w:tc>
        <w:tc>
          <w:tcPr>
            <w:tcW w:type="dxa" w:w="172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211</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3,977</w:t>
            </w:r>
          </w:p>
        </w:tc>
      </w:tr>
    </w:tbl>
    <w:p>
      <w:pPr>
        <w:spacing w:after="80"/>
      </w:pPr>
    </w:p>
    <w:p>
      <w:pPr>
        <w:pStyle w:val="Ttulo2"/>
        <w:jc w:val="left"/>
      </w:pPr>
      <w:r>
        <w:t>3.4 Especificación y Calibración Anti-Alucinaciones - WBS 1.2.3</w:t>
      </w:r>
    </w:p>
    <w:p>
      <w:pPr>
        <w:spacing w:line="264" w:lineRule="auto" w:after="80"/>
        <w:jc w:val="both"/>
      </w:pPr>
      <w:r>
        <w:rPr>
          <w:rFonts w:ascii="Times New Roman" w:hAnsi="Times New Roman"/>
          <w:b w:val="0"/>
          <w:color w:val="000000"/>
          <w:sz w:val="22"/>
        </w:rPr>
        <w:t>En estricto apego al requisito funcional RF13, se calibró experimentalmente el umbral de similitud semántica de corte en un valor mínimo de 0.52 empleando la métrica de similitud coseno. Cualquier recuperación vectorial cuya relevancia no alcance este valor es rechazada automáticamente por el sistema, activando una respuesta preventiva que informa al alumno que la normativa no contiene certeza sobre la consulta y sugiriendo acudir a las oficinas presenciales.</w:t>
      </w:r>
    </w:p>
    <w:p>
      <w:pPr>
        <w:spacing w:line="264" w:lineRule="auto" w:after="80"/>
        <w:jc w:val="both"/>
      </w:pPr>
      <w:r>
        <w:rPr>
          <w:rFonts w:ascii="Times New Roman" w:hAnsi="Times New Roman"/>
          <w:b w:val="0"/>
          <w:color w:val="000000"/>
          <w:sz w:val="22"/>
        </w:rPr>
        <w:t>Asimismo, se cumplió cabalmente el requisito funcional RF09 relativo a la trazabilidad institucional. Cada respuesta generada incorpora obligatoriamente los metadatos de la fuente consultada, detallando el nombre formal del archivo, su clasificación temática, el artículo aplicable y el intervalo de páginas correspondiente.</w:t>
      </w:r>
    </w:p>
    <w:p>
      <w:pPr>
        <w:pStyle w:val="Ttulo1"/>
        <w:jc w:val="left"/>
      </w:pPr>
      <w:r>
        <w:t>4. DESARROLLO TÉCNICO DEL NÚCLEO RAG E INTERFACES - WBS 1.3</w:t>
      </w:r>
    </w:p>
    <w:p>
      <w:pPr>
        <w:pStyle w:val="Ttulo2"/>
        <w:jc w:val="left"/>
      </w:pPr>
      <w:r>
        <w:t>4.1 Provisión del Repositorio Vectorial - WBS 1.3.1</w:t>
      </w:r>
    </w:p>
    <w:p>
      <w:pPr>
        <w:spacing w:line="264" w:lineRule="auto" w:after="80"/>
        <w:jc w:val="both"/>
      </w:pPr>
      <w:r>
        <w:rPr>
          <w:rFonts w:ascii="Times New Roman" w:hAnsi="Times New Roman"/>
          <w:b w:val="0"/>
          <w:color w:val="000000"/>
          <w:sz w:val="22"/>
        </w:rPr>
        <w:t>Para el almacenamiento y consulta de alta velocidad de los vectores semánticos, el equipo descartó servicios externos administrados con costos recurrentes elevados y adoptó LanceDB. Esta tecnología serverless opera directamente sobre disco y memoria mediante el formato columnar de Apache Arrow, ofreciendo latencias de búsqueda inferiores a cincuenta milisegundos sin requerir infraestructura adicional.</w:t>
      </w:r>
    </w:p>
    <w:p>
      <w:pPr>
        <w:spacing w:line="264" w:lineRule="auto" w:after="80"/>
        <w:jc w:val="both"/>
      </w:pPr>
      <w:r>
        <w:rPr>
          <w:rFonts w:ascii="Times New Roman" w:hAnsi="Times New Roman"/>
          <w:b w:val="0"/>
          <w:color w:val="000000"/>
          <w:sz w:val="22"/>
        </w:rPr>
        <w:t>La tabla denominada nexus_documents fue poblada con la totalidad de los 3,977 fragmentos normalizados utilizando el modelo text-embedding-3-small de OpenAI en 1,536 dimensiones densas. La vectorización completa requirió setenta y cuatro segundos de cómputo y registró un costo total de 0.0485 dólares estadounidenses.</w:t>
      </w:r>
    </w:p>
    <w:p>
      <w:pPr>
        <w:pStyle w:val="Ttulo2"/>
        <w:jc w:val="left"/>
      </w:pPr>
      <w:r>
        <w:t>4.2 Pipeline Automatizado de Ingesta - WBS 1.3.2</w:t>
      </w:r>
    </w:p>
    <w:p>
      <w:pPr>
        <w:spacing w:line="264" w:lineRule="auto" w:after="80"/>
        <w:jc w:val="both"/>
      </w:pPr>
      <w:r>
        <w:rPr>
          <w:rFonts w:ascii="Times New Roman" w:hAnsi="Times New Roman"/>
          <w:b w:val="0"/>
          <w:color w:val="000000"/>
          <w:sz w:val="22"/>
        </w:rPr>
        <w:t>Se desarrolló el paquete interno nexus_ingestion, compuesto por módulos especializados e independientes. El extractor maneja de forma polimórfica archivos PDF y fuentes digitales; el módulo de limpieza estandariza la codificación de caracteres y saltos de línea; el segmentador aplica la lógica estructural de conteo por tokens; el generador de embeddings incorpora mecanismos de reintento exponencial ante saturación de servicios externos; y el gestor de base vectorial implementa inserciones idempotentes para prevenir duplicidades ante reindexaciones parciales.</w:t>
      </w:r>
    </w:p>
    <w:p>
      <w:pPr>
        <w:pStyle w:val="Ttulo2"/>
        <w:jc w:val="left"/>
      </w:pPr>
      <w:r>
        <w:t>4.3 Orquestador RAG y Servidor REST - WBS 1.3.3</w:t>
      </w:r>
    </w:p>
    <w:p>
      <w:pPr>
        <w:spacing w:line="264" w:lineRule="auto" w:after="80"/>
        <w:jc w:val="both"/>
      </w:pPr>
      <w:r>
        <w:rPr>
          <w:rFonts w:ascii="Times New Roman" w:hAnsi="Times New Roman"/>
          <w:b w:val="0"/>
          <w:color w:val="000000"/>
          <w:sz w:val="22"/>
        </w:rPr>
        <w:t>La lógica de negocio y los servicios de red se consolidaron mediante el framework asíncrono FastAPI en el backend del proyecto. El servidor expone el endpoint principal /api/chat, encargado de vectorizar la pregunta del alumno, filtrar el espacio vectorial bajo el umbral de 0.52, conformar el contexto documental estructurado y solicitar la síntesis al modelo de lenguaje. Adicionalmente, se integraron los endpoints de supervisión /api/health para verificar la conectividad de los componentes y /api/stats para publicar las estadísticas del acervo y tiempos de respuesta.</w:t>
      </w:r>
    </w:p>
    <w:p>
      <w:pPr>
        <w:pStyle w:val="Ttulo2"/>
        <w:jc w:val="left"/>
      </w:pPr>
      <w:r>
        <w:t>4.4 Interfaz Webchat y Tablero de Control PWA - WBS 1.3.4</w:t>
      </w:r>
    </w:p>
    <w:p>
      <w:pPr>
        <w:spacing w:line="264" w:lineRule="auto" w:after="80"/>
        <w:jc w:val="both"/>
      </w:pPr>
      <w:r>
        <w:rPr>
          <w:rFonts w:ascii="Times New Roman" w:hAnsi="Times New Roman"/>
          <w:b w:val="0"/>
          <w:color w:val="000000"/>
          <w:sz w:val="22"/>
        </w:rPr>
        <w:t>El estudiante Daniel Aguilar Sánchez lideró el diseño y desarrollo de las interfaces visuales del proyecto, reportando su labor en la documentación técnica de las plantillas web. Su trabajo abarcó dos entornos clave: una interfaz de interacción conversacional para el estudiante y un panel de métricas administrativas para la supervisión del sistema.</w:t>
      </w:r>
    </w:p>
    <w:p>
      <w:pPr>
        <w:spacing w:line="264" w:lineRule="auto" w:after="80"/>
        <w:jc w:val="both"/>
      </w:pPr>
      <w:r>
        <w:rPr>
          <w:rFonts w:ascii="Times New Roman" w:hAnsi="Times New Roman"/>
          <w:b w:val="0"/>
          <w:color w:val="000000"/>
          <w:sz w:val="22"/>
        </w:rPr>
        <w:t>El desarrollo adoptó una estricta separación de responsabilidades entre archivos de maquetación, hojas de estilo en cascada y código funcional de interacción. En términos visuales, la interfaz incorporó la identidad cromática de la UAEMéx dominada por verde oscuro y acentos dorados, complementada con un diseño adaptable a cualquier resolución de pantalla mediante puntos de ruptura bien definidos. Daniel sentó las bases para el funcionamiento como aplicación web progresiva mediante un archivo de manifiesto y un service worker destinado a la gestión de recursos en memoria local.</w:t>
      </w:r>
    </w:p>
    <w:p>
      <w:pPr>
        <w:spacing w:line="264" w:lineRule="auto" w:before="160" w:after="40"/>
        <w:jc w:val="left"/>
      </w:pPr>
      <w:r>
        <w:rPr>
          <w:rFonts w:ascii="Times New Roman" w:hAnsi="Times New Roman"/>
          <w:b/>
          <w:color w:val="000000"/>
          <w:sz w:val="22"/>
        </w:rPr>
        <w:t>Tabla 4.1: Componentes y responsabilidades de la interfaz de usuario PWA.</w:t>
      </w:r>
    </w:p>
    <w:tbl>
      <w:tblPr>
        <w:tblW w:type="auto" w:w="0"/>
        <w:jc w:val="center"/>
        <w:tblLook w:firstColumn="1" w:firstRow="1" w:lastColumn="0" w:lastRow="0" w:noHBand="0" w:noVBand="1" w:val="04A0"/>
      </w:tblPr>
      <w:tblGrid>
        <w:gridCol w:w="2946"/>
        <w:gridCol w:w="2946"/>
        <w:gridCol w:w="2946"/>
      </w:tblGrid>
      <w:tr>
        <w:tc>
          <w:tcPr>
            <w:tcW w:type="dxa" w:w="259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Recurso de Frontend</w:t>
            </w:r>
          </w:p>
        </w:tc>
        <w:tc>
          <w:tcPr>
            <w:tcW w:type="dxa" w:w="331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Propósito en la Arquitectura</w:t>
            </w:r>
          </w:p>
        </w:tc>
        <w:tc>
          <w:tcPr>
            <w:tcW w:type="dxa" w:w="4176"/>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Funcionalidad Integrada con Backend</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index.html</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Estructura principal del chat para alumnos</w:t>
            </w:r>
          </w:p>
        </w:tc>
        <w:tc>
          <w:tcPr>
            <w:tcW w:type="dxa" w:w="417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Feed de conversación, barra de mensajes, accesos rápidos a trámites.</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dashboard.html</w:t>
            </w:r>
          </w:p>
        </w:tc>
        <w:tc>
          <w:tcPr>
            <w:tcW w:type="dxa" w:w="331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Tablero de indicadores administrativos</w:t>
            </w:r>
          </w:p>
        </w:tc>
        <w:tc>
          <w:tcPr>
            <w:tcW w:type="dxa" w:w="417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Visualización de consultas, latencia, disponibilidad y distribución de temas.</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styles.css</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Sistema de diseño e identidad UAEMéx</w:t>
            </w:r>
          </w:p>
        </w:tc>
        <w:tc>
          <w:tcPr>
            <w:tcW w:type="dxa" w:w="417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Variables visuales verde-oro, tipografías y reglas de diseño responsivo.</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app.js</w:t>
            </w:r>
          </w:p>
        </w:tc>
        <w:tc>
          <w:tcPr>
            <w:tcW w:type="dxa" w:w="331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Lógica de cliente y comunicación asíncrona</w:t>
            </w:r>
          </w:p>
        </w:tc>
        <w:tc>
          <w:tcPr>
            <w:tcW w:type="dxa" w:w="417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Consumo dinámico de /api/chat, renderizado de citas RF09 y modo offline.</w:t>
            </w:r>
          </w:p>
        </w:tc>
      </w:tr>
      <w:tr>
        <w:tc>
          <w:tcPr>
            <w:tcW w:type="dxa" w:w="259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manifest.webmanifest</w:t>
            </w:r>
          </w:p>
        </w:tc>
        <w:tc>
          <w:tcPr>
            <w:tcW w:type="dxa" w:w="331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Metadatos de instalación móvil</w:t>
            </w:r>
          </w:p>
        </w:tc>
        <w:tc>
          <w:tcPr>
            <w:tcW w:type="dxa" w:w="417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Habilita la instalación como aplicación nativa en teléfonos y tabletas.</w:t>
            </w:r>
          </w:p>
        </w:tc>
      </w:tr>
      <w:tr>
        <w:tc>
          <w:tcPr>
            <w:tcW w:type="dxa" w:w="259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service-worker.js</w:t>
            </w:r>
          </w:p>
        </w:tc>
        <w:tc>
          <w:tcPr>
            <w:tcW w:type="dxa" w:w="331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Estrategia de caché y disponibilidad</w:t>
            </w:r>
          </w:p>
        </w:tc>
        <w:tc>
          <w:tcPr>
            <w:tcW w:type="dxa" w:w="417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Almacenamiento local de recursos estáticos para acelerar la carga.</w:t>
            </w:r>
          </w:p>
        </w:tc>
      </w:tr>
    </w:tbl>
    <w:p>
      <w:pPr>
        <w:spacing w:after="80"/>
      </w:pPr>
    </w:p>
    <w:p>
      <w:pPr>
        <w:spacing w:line="264" w:lineRule="auto" w:after="80"/>
        <w:jc w:val="both"/>
      </w:pPr>
      <w:r>
        <w:rPr>
          <w:rFonts w:ascii="Times New Roman" w:hAnsi="Times New Roman"/>
          <w:b w:val="0"/>
          <w:color w:val="000000"/>
          <w:sz w:val="22"/>
        </w:rPr>
        <w:t>Durante la fase de integración, el equipo enriqueció el archivo app.js, conectando las interacciones del chat con el servidor real a través de peticiones asíncronas. Cuando el servidor devuelve la orientación oficial, la interfaz despliega dinámicamente un bloque de fuentes verificadas que indica el documento de origen y el porcentaje de relevancia, reteniendo las respuestas simuladas como un mecanismo de respaldo ante eventuales fallas de red.</w:t>
      </w:r>
    </w:p>
    <w:p>
      <w:pPr>
        <w:pStyle w:val="Ttulo2"/>
        <w:jc w:val="left"/>
      </w:pPr>
      <w:r>
        <w:t>4.5 Ciberseguridad, Gestión de Credenciales y Telemetría - WBS 1.3.5</w:t>
      </w:r>
    </w:p>
    <w:p>
      <w:pPr>
        <w:spacing w:line="264" w:lineRule="auto" w:after="80"/>
        <w:jc w:val="both"/>
      </w:pPr>
      <w:r>
        <w:rPr>
          <w:rFonts w:ascii="Times New Roman" w:hAnsi="Times New Roman"/>
          <w:b w:val="0"/>
          <w:color w:val="000000"/>
          <w:sz w:val="22"/>
        </w:rPr>
        <w:t>La seguridad perimetral y la gestión de accesos representan un eje prioritario en el sistema. El estudiante Joaquín Ulises García Álvarez elaboró las instrucciones y procedimientos para el resguardo de credenciales, desarrollando scripts de diagnóstico de latencia y el catálogo de modelos compatibles disponible en la rama API. Joaquín también implementó un script de auditoría preventiva encargado de inspeccionar archivos antes de cualquier confirmación de código en Git.</w:t>
      </w:r>
    </w:p>
    <w:p>
      <w:pPr>
        <w:spacing w:line="264" w:lineRule="auto" w:after="80"/>
        <w:jc w:val="both"/>
      </w:pPr>
      <w:r>
        <w:rPr>
          <w:rFonts w:ascii="Times New Roman" w:hAnsi="Times New Roman"/>
          <w:b w:val="0"/>
          <w:color w:val="000000"/>
          <w:sz w:val="22"/>
        </w:rPr>
        <w:t>Por su parte, el estudiante Ángel Israel De La Cruz Martínez desarrolló y validó el módulo DT-10 de Seguridad y Telemetría. Ángel estableció la carga segura de parámetros confidenciales mediante variables de entorno aisladas en archivos protegidos fuera del control de versiones, documentando una latencia de enlace de 2.1 segundos hacia los servidores de inferencia.</w:t>
      </w:r>
    </w:p>
    <w:p>
      <w:pPr>
        <w:spacing w:line="264" w:lineRule="auto" w:after="80"/>
        <w:jc w:val="both"/>
      </w:pPr>
      <w:r>
        <w:rPr>
          <w:rFonts w:ascii="Times New Roman" w:hAnsi="Times New Roman"/>
          <w:b w:val="0"/>
          <w:color w:val="000000"/>
          <w:sz w:val="22"/>
        </w:rPr>
        <w:t>Para responder a la necesidad de emitir reportes contables y métricas de consumo independientes por servicio, el sistema se actualizó estableciendo una segregación estricta de cuatro claves de acceso a nivel de infraestructura. Esto garantiza que el gasto derivado de la vectorización no se mezcle con el tráfico de consultas de los estudiantes ni con las pruebas de modelos avanzados.</w:t>
      </w:r>
    </w:p>
    <w:p>
      <w:pPr>
        <w:spacing w:line="264" w:lineRule="auto" w:before="160" w:after="40"/>
        <w:jc w:val="left"/>
      </w:pPr>
      <w:r>
        <w:rPr>
          <w:rFonts w:ascii="Times New Roman" w:hAnsi="Times New Roman"/>
          <w:b/>
          <w:color w:val="000000"/>
          <w:sz w:val="22"/>
        </w:rPr>
        <w:t>Tabla 4.2: Matriz de claves de API segregadas y asignación por servicio.</w:t>
      </w:r>
    </w:p>
    <w:tbl>
      <w:tblPr>
        <w:tblW w:type="auto" w:w="0"/>
        <w:jc w:val="center"/>
        <w:tblLook w:firstColumn="1" w:firstRow="1" w:lastColumn="0" w:lastRow="0" w:noHBand="0" w:noVBand="1" w:val="04A0"/>
      </w:tblPr>
      <w:tblGrid>
        <w:gridCol w:w="2209"/>
        <w:gridCol w:w="2209"/>
        <w:gridCol w:w="2209"/>
        <w:gridCol w:w="2209"/>
      </w:tblGrid>
      <w:tr>
        <w:tc>
          <w:tcPr>
            <w:tcW w:type="dxa" w:w="3024"/>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Identificador de Variable</w:t>
            </w:r>
          </w:p>
        </w:tc>
        <w:tc>
          <w:tcPr>
            <w:tcW w:type="dxa" w:w="3168"/>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Propósito Operativo</w:t>
            </w:r>
          </w:p>
        </w:tc>
        <w:tc>
          <w:tcPr>
            <w:tcW w:type="dxa" w:w="2016"/>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Modelo Vinculado</w:t>
            </w:r>
          </w:p>
        </w:tc>
        <w:tc>
          <w:tcPr>
            <w:tcW w:type="dxa" w:w="187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Aislamiento Contable</w:t>
            </w:r>
          </w:p>
        </w:tc>
      </w:tr>
      <w:tr>
        <w:tc>
          <w:tcPr>
            <w:tcW w:type="dxa" w:w="302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OPENAI_API_KEY_EMBEDDINGS</w:t>
            </w:r>
          </w:p>
        </w:tc>
        <w:tc>
          <w:tcPr>
            <w:tcW w:type="dxa" w:w="316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Vectorización del acervo y consultas</w:t>
            </w:r>
          </w:p>
        </w:tc>
        <w:tc>
          <w:tcPr>
            <w:tcW w:type="dxa" w:w="201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text-embedding-3-small</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Factura únicamente generación de vectores densos.</w:t>
            </w:r>
          </w:p>
        </w:tc>
      </w:tr>
      <w:tr>
        <w:tc>
          <w:tcPr>
            <w:tcW w:type="dxa" w:w="302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OPENAI_API_KEY_CHAT_4O_MINI</w:t>
            </w:r>
          </w:p>
        </w:tc>
        <w:tc>
          <w:tcPr>
            <w:tcW w:type="dxa" w:w="316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Inferencia y respuestas en producción</w:t>
            </w:r>
          </w:p>
        </w:tc>
        <w:tc>
          <w:tcPr>
            <w:tcW w:type="dxa" w:w="201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gpt-4o-mini</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Registra consumo de tokens de entrada y salida del chat.</w:t>
            </w:r>
          </w:p>
        </w:tc>
      </w:tr>
      <w:tr>
        <w:tc>
          <w:tcPr>
            <w:tcW w:type="dxa" w:w="302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OPENAI_API_KEY_GPT6_LUNA</w:t>
            </w:r>
          </w:p>
        </w:tc>
        <w:tc>
          <w:tcPr>
            <w:tcW w:type="dxa" w:w="316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Experimentación y pruebas avanzadas</w:t>
            </w:r>
          </w:p>
        </w:tc>
        <w:tc>
          <w:tcPr>
            <w:tcW w:type="dxa" w:w="201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Nexus FI GPT 6 Luna</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Aísla pruebas de rendimiento en modelos avanzados.</w:t>
            </w:r>
          </w:p>
        </w:tc>
      </w:tr>
      <w:tr>
        <w:tc>
          <w:tcPr>
            <w:tcW w:type="dxa" w:w="302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OPENAI_API_KEY_GPT5_6_LUNA</w:t>
            </w:r>
          </w:p>
        </w:tc>
        <w:tc>
          <w:tcPr>
            <w:tcW w:type="dxa" w:w="316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Evaluación comparativa de razonamiento</w:t>
            </w:r>
          </w:p>
        </w:tc>
        <w:tc>
          <w:tcPr>
            <w:tcW w:type="dxa" w:w="201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Nexus FI GPT 5.6 Luna</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Monitorea costo de evaluaciones de alta complejidad.</w:t>
            </w:r>
          </w:p>
        </w:tc>
      </w:tr>
    </w:tbl>
    <w:p>
      <w:pPr>
        <w:spacing w:after="80"/>
      </w:pPr>
    </w:p>
    <w:p>
      <w:pPr>
        <w:pStyle w:val="Ttulo1"/>
        <w:jc w:val="left"/>
      </w:pPr>
      <w:r>
        <w:t>5. CALIDAD, AUDITORÍA Y AUTOMATIZACIÓN - WBS 1.4</w:t>
      </w:r>
    </w:p>
    <w:p>
      <w:pPr>
        <w:pStyle w:val="Ttulo2"/>
        <w:jc w:val="left"/>
      </w:pPr>
      <w:r>
        <w:t>5.1 Pruebas de Recuperación Semántica - WBS 1.4.1</w:t>
      </w:r>
    </w:p>
    <w:p>
      <w:pPr>
        <w:spacing w:line="264" w:lineRule="auto" w:after="80"/>
        <w:jc w:val="both"/>
      </w:pPr>
      <w:r>
        <w:rPr>
          <w:rFonts w:ascii="Times New Roman" w:hAnsi="Times New Roman"/>
          <w:b w:val="0"/>
          <w:color w:val="000000"/>
          <w:sz w:val="22"/>
        </w:rPr>
        <w:t>Se ejecutaron pruebas empíricas directas desde la interfaz de consola del sistema para verificar la precisión de recuperación ante preguntas habituales de la vida universitaria. Las pruebas demostraron que las consultas sobre servicio social y titulación recuperan de manera consistente los fragmentos normativos idóneos con niveles de similitud coseno superiores al 62%, completando la búsqueda en menos de setecientos milisegundos.</w:t>
      </w:r>
    </w:p>
    <w:p>
      <w:pPr>
        <w:spacing w:line="264" w:lineRule="auto" w:before="160" w:after="40"/>
        <w:jc w:val="left"/>
      </w:pPr>
      <w:r>
        <w:rPr>
          <w:rFonts w:ascii="Times New Roman" w:hAnsi="Times New Roman"/>
          <w:b/>
          <w:color w:val="000000"/>
          <w:sz w:val="22"/>
        </w:rPr>
        <w:t>Tabla 5.1: Resultados de pruebas de similitud semántica y control de alucinaciones.</w:t>
      </w:r>
    </w:p>
    <w:tbl>
      <w:tblPr>
        <w:tblW w:type="auto" w:w="0"/>
        <w:jc w:val="center"/>
        <w:tblLook w:firstColumn="1" w:firstRow="1" w:lastColumn="0" w:lastRow="0" w:noHBand="0" w:noVBand="1" w:val="04A0"/>
      </w:tblPr>
      <w:tblGrid>
        <w:gridCol w:w="1768"/>
        <w:gridCol w:w="1768"/>
        <w:gridCol w:w="1768"/>
        <w:gridCol w:w="1768"/>
        <w:gridCol w:w="1768"/>
      </w:tblGrid>
      <w:tr>
        <w:tc>
          <w:tcPr>
            <w:tcW w:type="dxa" w:w="2880"/>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Consulta de Prueba Evaluada</w:t>
            </w:r>
          </w:p>
        </w:tc>
        <w:tc>
          <w:tcPr>
            <w:tcW w:type="dxa" w:w="3168"/>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Documento Oficial Recuperado</w:t>
            </w:r>
          </w:p>
        </w:tc>
        <w:tc>
          <w:tcPr>
            <w:tcW w:type="dxa" w:w="1584"/>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Similitud Coseno</w:t>
            </w:r>
          </w:p>
        </w:tc>
        <w:tc>
          <w:tcPr>
            <w:tcW w:type="dxa" w:w="1296"/>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Tiempo de Búsqueda</w:t>
            </w:r>
          </w:p>
        </w:tc>
        <w:tc>
          <w:tcPr>
            <w:tcW w:type="dxa" w:w="115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Dictamen RF13</w:t>
            </w:r>
          </w:p>
        </w:tc>
      </w:tr>
      <w:tr>
        <w:tc>
          <w:tcPr>
            <w:tcW w:type="dxa" w:w="288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¿Requisitos para iniciar servicio social?</w:t>
            </w:r>
          </w:p>
        </w:tc>
        <w:tc>
          <w:tcPr>
            <w:tcW w:type="dxa" w:w="316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Reglamento del Servicio Social de la UAEMéx</w:t>
            </w:r>
          </w:p>
        </w:tc>
        <w:tc>
          <w:tcPr>
            <w:tcW w:type="dxa" w:w="158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0.6466 (64.7%)</w:t>
            </w:r>
          </w:p>
        </w:tc>
        <w:tc>
          <w:tcPr>
            <w:tcW w:type="dxa" w:w="129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653 ms</w:t>
            </w:r>
          </w:p>
        </w:tc>
        <w:tc>
          <w:tcPr>
            <w:tcW w:type="dxa" w:w="115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Aprobado (&gt; 0.52)</w:t>
            </w:r>
          </w:p>
        </w:tc>
      </w:tr>
      <w:tr>
        <w:tc>
          <w:tcPr>
            <w:tcW w:type="dxa" w:w="288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¿Cuáles son las opciones de titulación en ICO?</w:t>
            </w:r>
          </w:p>
        </w:tc>
        <w:tc>
          <w:tcPr>
            <w:tcW w:type="dxa" w:w="316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Reglamento de Estudios Profesionales</w:t>
            </w:r>
          </w:p>
        </w:tc>
        <w:tc>
          <w:tcPr>
            <w:tcW w:type="dxa" w:w="158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0.6297 (63.0%)</w:t>
            </w:r>
          </w:p>
        </w:tc>
        <w:tc>
          <w:tcPr>
            <w:tcW w:type="dxa" w:w="129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558 ms</w:t>
            </w:r>
          </w:p>
        </w:tc>
        <w:tc>
          <w:tcPr>
            <w:tcW w:type="dxa" w:w="115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Aprobado (&gt; 0.52)</w:t>
            </w:r>
          </w:p>
        </w:tc>
      </w:tr>
      <w:tr>
        <w:tc>
          <w:tcPr>
            <w:tcW w:type="dxa" w:w="288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¿Procedimiento de revalidación de estudios?</w:t>
            </w:r>
          </w:p>
        </w:tc>
        <w:tc>
          <w:tcPr>
            <w:tcW w:type="dxa" w:w="3168"/>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Reglamento de Estudios Profesionales</w:t>
            </w:r>
          </w:p>
        </w:tc>
        <w:tc>
          <w:tcPr>
            <w:tcW w:type="dxa" w:w="158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0.5835 (58.4%)</w:t>
            </w:r>
          </w:p>
        </w:tc>
        <w:tc>
          <w:tcPr>
            <w:tcW w:type="dxa" w:w="1296"/>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480 ms</w:t>
            </w:r>
          </w:p>
        </w:tc>
        <w:tc>
          <w:tcPr>
            <w:tcW w:type="dxa" w:w="115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Aprobado (&gt; 0.52)</w:t>
            </w:r>
          </w:p>
        </w:tc>
      </w:tr>
      <w:tr>
        <w:tc>
          <w:tcPr>
            <w:tcW w:type="dxa" w:w="288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¿Venta de boletos de avión en cafetería?</w:t>
            </w:r>
          </w:p>
        </w:tc>
        <w:tc>
          <w:tcPr>
            <w:tcW w:type="dxa" w:w="3168"/>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Ninguno superó el umbral institucional</w:t>
            </w:r>
          </w:p>
        </w:tc>
        <w:tc>
          <w:tcPr>
            <w:tcW w:type="dxa" w:w="158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Menor a 0.35</w:t>
            </w:r>
          </w:p>
        </w:tc>
        <w:tc>
          <w:tcPr>
            <w:tcW w:type="dxa" w:w="1296"/>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120 ms</w:t>
            </w:r>
          </w:p>
        </w:tc>
        <w:tc>
          <w:tcPr>
            <w:tcW w:type="dxa" w:w="115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Rechazado (Previene alucinación)</w:t>
            </w:r>
          </w:p>
        </w:tc>
      </w:tr>
    </w:tbl>
    <w:p>
      <w:pPr>
        <w:spacing w:after="80"/>
      </w:pPr>
    </w:p>
    <w:p>
      <w:pPr>
        <w:pStyle w:val="Ttulo2"/>
        <w:jc w:val="left"/>
      </w:pPr>
      <w:r>
        <w:t>5.2 Auditoría de Seguridad y Repositorio - WBS 1.4.2</w:t>
      </w:r>
    </w:p>
    <w:p>
      <w:pPr>
        <w:spacing w:line="264" w:lineRule="auto" w:after="80"/>
        <w:jc w:val="both"/>
      </w:pPr>
      <w:r>
        <w:rPr>
          <w:rFonts w:ascii="Times New Roman" w:hAnsi="Times New Roman"/>
          <w:b w:val="0"/>
          <w:color w:val="000000"/>
          <w:sz w:val="22"/>
        </w:rPr>
        <w:t>Antes de autorizar la publicación de código en el repositorio central de GitHub, se ejecutó la herramienta de auditoría automatizada integrada en el comando python main.py --audit. La inspección analizó la totalidad de los archivos fuente de las ramas principales, certificando la ausencia total de credenciales quemadas, la correcta exclusión del archivo local de variables confidenciales y la disponibilidad de una plantilla pública de configuración para los desarrolladores.</w:t>
      </w:r>
    </w:p>
    <w:p>
      <w:pPr>
        <w:pStyle w:val="Ttulo2"/>
        <w:jc w:val="left"/>
      </w:pPr>
      <w:r>
        <w:t>5.3 Automatización del Despliegue en Estaciones de Trabajo - WBS 1.4.3</w:t>
      </w:r>
    </w:p>
    <w:p>
      <w:pPr>
        <w:spacing w:line="264" w:lineRule="auto" w:after="80"/>
        <w:jc w:val="both"/>
      </w:pPr>
      <w:r>
        <w:rPr>
          <w:rFonts w:ascii="Times New Roman" w:hAnsi="Times New Roman"/>
          <w:b w:val="0"/>
          <w:color w:val="000000"/>
          <w:sz w:val="22"/>
        </w:rPr>
        <w:t>Para garantizar que cualquier evaluador académico o integrante del equipo pueda ejecutar el sistema en otra computadora sin requerir configuraciones manuales complejas, se crearon scripts de automatización en un solo clic. El instalador setup.bat detecta la presencia de Python, crea el entorno virtual aislado, descarga las dependencias, inicializa la plantilla de configuración y verifica la base de datos vectorial. Para el uso cotidiano, el lanzador start.bat enciende el servidor web y abre automáticamente el navegador en la dirección local correspondiente, contando además con su equivalente en script de shell para entornos Linux o instancias de nube.</w:t>
      </w:r>
    </w:p>
    <w:p>
      <w:pPr>
        <w:pStyle w:val="Ttulo1"/>
        <w:jc w:val="left"/>
      </w:pPr>
      <w:r>
        <w:t>6. MATRIZ INTEGRAL DE RESPONSABILIDADES Y CONTRIBUCIONES</w:t>
      </w:r>
    </w:p>
    <w:p>
      <w:pPr>
        <w:spacing w:line="264" w:lineRule="auto" w:after="80"/>
        <w:jc w:val="both"/>
      </w:pPr>
      <w:r>
        <w:rPr>
          <w:rFonts w:ascii="Times New Roman" w:hAnsi="Times New Roman"/>
          <w:b w:val="0"/>
          <w:color w:val="000000"/>
          <w:sz w:val="22"/>
        </w:rPr>
        <w:t>La siguiente matriz sintetiza la correspondencia formal entre los integrantes del Equipo 404, sus roles funcionales en el proyecto y los paquetes de trabajo del WBS que han sido cubiertos y entregados satisfactoriamente durante este corte de ejecución.</w:t>
      </w:r>
    </w:p>
    <w:p>
      <w:pPr>
        <w:spacing w:line="264" w:lineRule="auto" w:before="160" w:after="40"/>
        <w:jc w:val="left"/>
      </w:pPr>
      <w:r>
        <w:rPr>
          <w:rFonts w:ascii="Times New Roman" w:hAnsi="Times New Roman"/>
          <w:b/>
          <w:color w:val="000000"/>
          <w:sz w:val="22"/>
        </w:rPr>
        <w:t>Tabla 6.1: Matriz integral de responsabilidades y entregables por integrante del Equipo 404.</w:t>
      </w:r>
    </w:p>
    <w:tbl>
      <w:tblPr>
        <w:tblW w:type="auto" w:w="0"/>
        <w:jc w:val="center"/>
        <w:tblLook w:firstColumn="1" w:firstRow="1" w:lastColumn="0" w:lastRow="0" w:noHBand="0" w:noVBand="1" w:val="04A0"/>
      </w:tblPr>
      <w:tblGrid>
        <w:gridCol w:w="2209"/>
        <w:gridCol w:w="2209"/>
        <w:gridCol w:w="2209"/>
        <w:gridCol w:w="2209"/>
      </w:tblGrid>
      <w:tr>
        <w:tc>
          <w:tcPr>
            <w:tcW w:type="dxa" w:w="2160"/>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Integrante</w:t>
            </w:r>
          </w:p>
        </w:tc>
        <w:tc>
          <w:tcPr>
            <w:tcW w:type="dxa" w:w="2304"/>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Rol Asignado en Equipo 404</w:t>
            </w:r>
          </w:p>
        </w:tc>
        <w:tc>
          <w:tcPr>
            <w:tcW w:type="dxa" w:w="1872"/>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Paquetes WBS Cubiertos</w:t>
            </w:r>
          </w:p>
        </w:tc>
        <w:tc>
          <w:tcPr>
            <w:tcW w:type="dxa" w:w="3744"/>
            <w:shd w:fill="EAF2ED"/>
            <w:tcBorders>
              <w:top w:val="single" w:sz="4" w:space="0" w:color="D0D7DE"/>
              <w:bottom w:val="single" w:sz="4" w:space="0" w:color="D0D7DE"/>
              <w:left w:val="none"/>
              <w:right w:val="none"/>
            </w:tcBorders>
          </w:tcPr>
          <w:p>
            <w:pPr>
              <w:spacing w:line="264" w:lineRule="auto" w:before="40" w:after="40"/>
              <w:jc w:val="center"/>
            </w:pPr>
            <w:r>
              <w:rPr>
                <w:rFonts w:ascii="Times New Roman" w:hAnsi="Times New Roman"/>
                <w:b/>
                <w:i w:val="0"/>
                <w:color w:val="000000"/>
                <w:sz w:val="20"/>
              </w:rPr>
              <w:t>Entregables Concretos Verificados</w:t>
            </w:r>
          </w:p>
        </w:tc>
      </w:tr>
      <w:tr>
        <w:tc>
          <w:tcPr>
            <w:tcW w:type="dxa" w:w="216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Fernando Azuara Ibarra</w:t>
            </w:r>
          </w:p>
        </w:tc>
        <w:tc>
          <w:tcPr>
            <w:tcW w:type="dxa" w:w="230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Project Manager e Integración</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1.1.4, 1.2.2, 1.3.1, 1.3.3, 1.4.3</w:t>
            </w:r>
          </w:p>
        </w:tc>
        <w:tc>
          <w:tcPr>
            <w:tcW w:type="dxa" w:w="374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Gobernanza general, pipeline OCR local, base LanceDB, backend FastAPI y scripts setup.</w:t>
            </w:r>
          </w:p>
        </w:tc>
      </w:tr>
      <w:tr>
        <w:tc>
          <w:tcPr>
            <w:tcW w:type="dxa" w:w="216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Santiago Cuevas Sánchez</w:t>
            </w:r>
          </w:p>
        </w:tc>
        <w:tc>
          <w:tcPr>
            <w:tcW w:type="dxa" w:w="230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Ingeniería de Datos y Redes</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1.2.1, 1.2.2</w:t>
            </w:r>
          </w:p>
        </w:tc>
        <w:tc>
          <w:tcPr>
            <w:tcW w:type="dxa" w:w="374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Pipeline Apify con base SQLite y OCR Tesseract para publicaciones oficiales de redes sociales.</w:t>
            </w:r>
          </w:p>
        </w:tc>
      </w:tr>
      <w:tr>
        <w:tc>
          <w:tcPr>
            <w:tcW w:type="dxa" w:w="216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Aarón Nevid Domínguez Fuentes</w:t>
            </w:r>
          </w:p>
        </w:tc>
        <w:tc>
          <w:tcPr>
            <w:tcW w:type="dxa" w:w="230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Curaduría Normativa y Mallas</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1.2.1</w:t>
            </w:r>
          </w:p>
        </w:tc>
        <w:tc>
          <w:tcPr>
            <w:tcW w:type="dxa" w:w="374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Recopilación de 45 reglamentos universitarios y planes curriculares de la carrera.</w:t>
            </w:r>
          </w:p>
        </w:tc>
      </w:tr>
      <w:tr>
        <w:tc>
          <w:tcPr>
            <w:tcW w:type="dxa" w:w="216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Joaquín Ulises García Álvarez</w:t>
            </w:r>
          </w:p>
        </w:tc>
        <w:tc>
          <w:tcPr>
            <w:tcW w:type="dxa" w:w="230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Seguridad de API y Trámites</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1.2.1, 1.3.5, 1.4.2</w:t>
            </w:r>
          </w:p>
        </w:tc>
        <w:tc>
          <w:tcPr>
            <w:tcW w:type="dxa" w:w="374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Guías de gestión segura de API, herramientas de diagnóstico, catálogo de modelos y trámites.</w:t>
            </w:r>
          </w:p>
        </w:tc>
      </w:tr>
      <w:tr>
        <w:tc>
          <w:tcPr>
            <w:tcW w:type="dxa" w:w="216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Daniel Aguilar Sánchez</w:t>
            </w:r>
          </w:p>
        </w:tc>
        <w:tc>
          <w:tcPr>
            <w:tcW w:type="dxa" w:w="230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Desarrollo Frontend e Interfaz</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1.3.4</w:t>
            </w:r>
          </w:p>
        </w:tc>
        <w:tc>
          <w:tcPr>
            <w:tcW w:type="dxa" w:w="374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Plantillas visuales responsivas del chatbot y panel de control con soporte PWA institucional.</w:t>
            </w:r>
          </w:p>
        </w:tc>
      </w:tr>
      <w:tr>
        <w:tc>
          <w:tcPr>
            <w:tcW w:type="dxa" w:w="216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Zuleica Betsabel De La Cruz González</w:t>
            </w:r>
          </w:p>
        </w:tc>
        <w:tc>
          <w:tcPr>
            <w:tcW w:type="dxa" w:w="230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Servicios Escolares y Convenios</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1.2.1</w:t>
            </w:r>
          </w:p>
        </w:tc>
        <w:tc>
          <w:tcPr>
            <w:tcW w:type="dxa" w:w="374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Curaduría documental de Control Escolar, Laboratorio Digital, Biblioteca y Convenios.</w:t>
            </w:r>
          </w:p>
        </w:tc>
      </w:tr>
      <w:tr>
        <w:tc>
          <w:tcPr>
            <w:tcW w:type="dxa" w:w="2160"/>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Ángel Israel De La Cruz Martínez</w:t>
            </w:r>
          </w:p>
        </w:tc>
        <w:tc>
          <w:tcPr>
            <w:tcW w:type="dxa" w:w="230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Operaciones, Deportes y DT-10</w:t>
            </w:r>
          </w:p>
        </w:tc>
        <w:tc>
          <w:tcPr>
            <w:tcW w:type="dxa" w:w="1872"/>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1.2.1, 1.3.5</w:t>
            </w:r>
          </w:p>
        </w:tc>
        <w:tc>
          <w:tcPr>
            <w:tcW w:type="dxa" w:w="3744"/>
            <w:shd w:fill="F9FBF9"/>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Módulo DT-10 de Seguridad y Telemetría, aislamiento de claves y recolección deportiva.</w:t>
            </w:r>
          </w:p>
        </w:tc>
      </w:tr>
      <w:tr>
        <w:tc>
          <w:tcPr>
            <w:tcW w:type="dxa" w:w="2160"/>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Joan Alexis Ocaña Martínez</w:t>
            </w:r>
          </w:p>
        </w:tc>
        <w:tc>
          <w:tcPr>
            <w:tcW w:type="dxa" w:w="230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Curaduría de Movilidad</w:t>
            </w:r>
          </w:p>
        </w:tc>
        <w:tc>
          <w:tcPr>
            <w:tcW w:type="dxa" w:w="1872"/>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1.2.1</w:t>
            </w:r>
          </w:p>
        </w:tc>
        <w:tc>
          <w:tcPr>
            <w:tcW w:type="dxa" w:w="3744"/>
            <w:shd w:fill="FFFFFF"/>
            <w:tcBorders>
              <w:top w:val="single" w:sz="4" w:space="0" w:color="D0D7DE"/>
              <w:bottom w:val="single" w:sz="4" w:space="0" w:color="D0D7DE"/>
              <w:left w:val="none"/>
              <w:right w:val="none"/>
            </w:tcBorders>
          </w:tcPr>
          <w:p>
            <w:pPr>
              <w:spacing w:line="264" w:lineRule="auto" w:before="40" w:after="40"/>
              <w:jc w:val="both"/>
            </w:pPr>
            <w:r>
              <w:rPr>
                <w:rFonts w:ascii="Times New Roman" w:hAnsi="Times New Roman"/>
                <w:b w:val="0"/>
                <w:i w:val="0"/>
                <w:color w:val="000000"/>
                <w:sz w:val="19"/>
              </w:rPr>
              <w:t>Compilación de lineamientos y convocatorias de movilidad estudiantil en diversos niveles.</w:t>
            </w:r>
          </w:p>
        </w:tc>
      </w:tr>
    </w:tbl>
    <w:p>
      <w:pPr>
        <w:spacing w:after="80"/>
      </w:pPr>
    </w:p>
    <w:p>
      <w:pPr>
        <w:pStyle w:val="Ttulo1"/>
        <w:jc w:val="left"/>
      </w:pPr>
      <w:r>
        <w:t>7. CONCLUSIONES Y PRÓXIMOS PASOS</w:t>
      </w:r>
    </w:p>
    <w:p>
      <w:pPr>
        <w:pStyle w:val="Ttulo2"/>
        <w:jc w:val="left"/>
      </w:pPr>
      <w:r>
        <w:t>7.1 Síntesis de Resultados Alcanzados</w:t>
      </w:r>
    </w:p>
    <w:p>
      <w:pPr>
        <w:spacing w:line="264" w:lineRule="auto" w:after="80"/>
        <w:jc w:val="both"/>
      </w:pPr>
      <w:r>
        <w:rPr>
          <w:rFonts w:ascii="Times New Roman" w:hAnsi="Times New Roman"/>
          <w:b w:val="0"/>
          <w:color w:val="000000"/>
          <w:sz w:val="22"/>
        </w:rPr>
        <w:t>El primer corte de ejecución técnica del proyecto Nexus FI concluye con resultados plenamente satisfactorios. Se logró transformar un conjunto heterogéneo y desestructurado de documentos institucionales en una base de conocimiento canónica de 3,977 fragmentos vectorizados, gobernada por un umbral estricto que elimina las alucinaciones. Asimismo, se unificó la arquitectura en una solución funcional que enlaza una interfaz moderna y accesible para los estudiantes con un servidor de inferencia robusto y seguro.</w:t>
      </w:r>
    </w:p>
    <w:p>
      <w:pPr>
        <w:pStyle w:val="Ttulo2"/>
        <w:jc w:val="left"/>
      </w:pPr>
      <w:r>
        <w:t>7.2 Hoja de Ruta para las Siguientes Fases</w:t>
      </w:r>
    </w:p>
    <w:p>
      <w:pPr>
        <w:spacing w:line="264" w:lineRule="auto" w:after="80"/>
        <w:jc w:val="both"/>
      </w:pPr>
      <w:r>
        <w:rPr>
          <w:rFonts w:ascii="Times New Roman" w:hAnsi="Times New Roman"/>
          <w:b w:val="0"/>
          <w:color w:val="000000"/>
          <w:sz w:val="22"/>
        </w:rPr>
        <w:t>De cara a la conclusión de la Fase 2 y el desarrollo de la Fase 3 del cronograma maestro, el equipo concentrará sus esfuerzos en los siguientes paquetes de trabajo prioritarios:</w:t>
      </w:r>
    </w:p>
    <w:p>
      <w:pPr>
        <w:spacing w:line="264" w:lineRule="auto" w:after="80"/>
        <w:jc w:val="both"/>
      </w:pPr>
      <w:r>
        <w:rPr>
          <w:rFonts w:ascii="Times New Roman" w:hAnsi="Times New Roman"/>
          <w:b w:val="0"/>
          <w:color w:val="000000"/>
          <w:sz w:val="22"/>
        </w:rPr>
        <w:t>1. Despliegue en Infraestructura de Nube (WBS 1.5.3): Empaquetar la solución en contenedores Docker y desplegarla en los servicios de cómputo y almacenamiento elástico de Amazon Web Services, sincronizando el repositorio vectorial mediante cubos S3.</w:t>
      </w:r>
    </w:p>
    <w:p>
      <w:pPr>
        <w:spacing w:line="264" w:lineRule="auto" w:after="80"/>
        <w:jc w:val="both"/>
      </w:pPr>
      <w:r>
        <w:rPr>
          <w:rFonts w:ascii="Times New Roman" w:hAnsi="Times New Roman"/>
          <w:b w:val="0"/>
          <w:color w:val="000000"/>
          <w:sz w:val="22"/>
        </w:rPr>
        <w:t>2. Formalización del Acceso a Redes Sociales (WBS 1.2.1): Gestionar ante las autoridades de la Facultad el token institucional para la Meta Graph API conforme a las recomendaciones técnicas emitidas en el informe de redes sociales.</w:t>
      </w:r>
    </w:p>
    <w:p>
      <w:pPr>
        <w:spacing w:line="264" w:lineRule="auto" w:after="80"/>
        <w:jc w:val="both"/>
      </w:pPr>
      <w:r>
        <w:rPr>
          <w:rFonts w:ascii="Times New Roman" w:hAnsi="Times New Roman"/>
          <w:b w:val="0"/>
          <w:color w:val="000000"/>
          <w:sz w:val="22"/>
        </w:rPr>
        <w:t>3. Pruebas Piloto de Aceptación de Usuario (WBS 1.4.4): Aplicar los casos de prueba UAT con una muestra representativa de estudiantes de la Licenciatura en Ingeniería en Computación para evaluar la claridad de las orientaciones y recabar retroalimentación directa.</w:t>
      </w:r>
    </w:p>
    <w:sectPr w:rsidR="00E074F5" w:rsidSect="007D0BA1">
      <w:headerReference w:type="default" r:id="rId10"/>
      <w:footerReference w:type="default" r:id="rId11"/>
      <w:pgSz w:w="12240" w:h="15840" w:code="1"/>
      <w:pgMar w:top="2381"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2C983" w14:textId="77777777" w:rsidR="00D61292" w:rsidRDefault="00D61292" w:rsidP="0085363D">
      <w:r>
        <w:separator/>
      </w:r>
    </w:p>
  </w:endnote>
  <w:endnote w:type="continuationSeparator" w:id="0">
    <w:p w14:paraId="74F40485" w14:textId="77777777" w:rsidR="00D61292" w:rsidRDefault="00D61292" w:rsidP="008536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0962C" w14:textId="47FC224A" w:rsidR="0085363D" w:rsidRDefault="00776D80" w:rsidP="00776D80">
    <w:pPr>
      <w:pStyle w:val="Piedepgina"/>
      <w:tabs>
        <w:tab w:val="clear" w:pos="4419"/>
        <w:tab w:val="clear" w:pos="8838"/>
        <w:tab w:val="left" w:pos="9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55F15" w14:textId="77777777" w:rsidR="00D61292" w:rsidRDefault="00D61292" w:rsidP="0085363D">
      <w:r>
        <w:separator/>
      </w:r>
    </w:p>
  </w:footnote>
  <w:footnote w:type="continuationSeparator" w:id="0">
    <w:p w14:paraId="04F0C4E3" w14:textId="77777777" w:rsidR="00D61292" w:rsidRDefault="00D61292" w:rsidP="008536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4BA95" w14:textId="5E190ADA" w:rsidR="0085363D" w:rsidRDefault="0085363D">
    <w:pPr>
      <w:pStyle w:val="Encabezado"/>
    </w:pPr>
    <w:r>
      <w:rPr>
        <w:noProof/>
        <w:lang w:val="es-MX" w:eastAsia="es-MX"/>
      </w:rPr>
      <w:drawing>
        <wp:anchor distT="0" distB="0" distL="114300" distR="114300" simplePos="0" relativeHeight="251660288" behindDoc="1" locked="0" layoutInCell="1" allowOverlap="1" wp14:anchorId="350B7EA5" wp14:editId="34C094D3">
          <wp:simplePos x="0" y="0"/>
          <wp:positionH relativeFrom="margin">
            <wp:align>center</wp:align>
          </wp:positionH>
          <wp:positionV relativeFrom="paragraph">
            <wp:posOffset>-449580</wp:posOffset>
          </wp:positionV>
          <wp:extent cx="7553325" cy="10053320"/>
          <wp:effectExtent l="0" t="0" r="9525" b="5080"/>
          <wp:wrapNone/>
          <wp:docPr id="1779999485" name="Imagen 177999948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99485" name="Imagen 1779999485" descr="Text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3325" cy="1005332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503"/>
    <w:multiLevelType w:val="hybridMultilevel"/>
    <w:tmpl w:val="64E2883E"/>
    <w:lvl w:ilvl="0" w:tplc="5BBE0788">
      <w:start w:val="1"/>
      <w:numFmt w:val="upperRoman"/>
      <w:lvlText w:val="%1."/>
      <w:lvlJc w:val="left"/>
      <w:pPr>
        <w:ind w:left="1425" w:hanging="720"/>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1" w15:restartNumberingAfterBreak="0">
    <w:nsid w:val="101532E6"/>
    <w:multiLevelType w:val="hybridMultilevel"/>
    <w:tmpl w:val="DC8A4F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498196B"/>
    <w:multiLevelType w:val="hybridMultilevel"/>
    <w:tmpl w:val="17BE17A0"/>
    <w:lvl w:ilvl="0" w:tplc="2AA8E5F8">
      <w:start w:val="1"/>
      <w:numFmt w:val="upperRoman"/>
      <w:lvlText w:val="%1."/>
      <w:lvlJc w:val="left"/>
      <w:pPr>
        <w:ind w:left="1425" w:hanging="720"/>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3" w15:restartNumberingAfterBreak="0">
    <w:nsid w:val="6F7B13DA"/>
    <w:multiLevelType w:val="hybridMultilevel"/>
    <w:tmpl w:val="82F8E9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44946695">
    <w:abstractNumId w:val="3"/>
  </w:num>
  <w:num w:numId="2" w16cid:durableId="1072049051">
    <w:abstractNumId w:val="2"/>
  </w:num>
  <w:num w:numId="3" w16cid:durableId="2042855033">
    <w:abstractNumId w:val="0"/>
  </w:num>
  <w:num w:numId="4" w16cid:durableId="498345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63D"/>
    <w:rsid w:val="00013F96"/>
    <w:rsid w:val="000333BF"/>
    <w:rsid w:val="00062EBC"/>
    <w:rsid w:val="000C03A2"/>
    <w:rsid w:val="000C25F4"/>
    <w:rsid w:val="000D5AC2"/>
    <w:rsid w:val="000D72AF"/>
    <w:rsid w:val="000E5B7F"/>
    <w:rsid w:val="0011733D"/>
    <w:rsid w:val="00155D90"/>
    <w:rsid w:val="00171117"/>
    <w:rsid w:val="001B7D5B"/>
    <w:rsid w:val="00350DB1"/>
    <w:rsid w:val="0036017D"/>
    <w:rsid w:val="003B41D8"/>
    <w:rsid w:val="0041325E"/>
    <w:rsid w:val="004223E5"/>
    <w:rsid w:val="004E3DF0"/>
    <w:rsid w:val="00545656"/>
    <w:rsid w:val="0056524D"/>
    <w:rsid w:val="00613B67"/>
    <w:rsid w:val="00661762"/>
    <w:rsid w:val="00670E64"/>
    <w:rsid w:val="006E20E8"/>
    <w:rsid w:val="00776D80"/>
    <w:rsid w:val="0079435E"/>
    <w:rsid w:val="007A19D1"/>
    <w:rsid w:val="007C6AB3"/>
    <w:rsid w:val="007D0BA1"/>
    <w:rsid w:val="0085363D"/>
    <w:rsid w:val="00866462"/>
    <w:rsid w:val="008B233C"/>
    <w:rsid w:val="008C39F1"/>
    <w:rsid w:val="009167CE"/>
    <w:rsid w:val="00953AAC"/>
    <w:rsid w:val="00A72C34"/>
    <w:rsid w:val="00C0691C"/>
    <w:rsid w:val="00C46965"/>
    <w:rsid w:val="00C746D2"/>
    <w:rsid w:val="00D338FC"/>
    <w:rsid w:val="00D57531"/>
    <w:rsid w:val="00D61292"/>
    <w:rsid w:val="00E074F5"/>
    <w:rsid w:val="00E57816"/>
    <w:rsid w:val="00E97F65"/>
    <w:rsid w:val="00EB6935"/>
    <w:rsid w:val="00EE0B0C"/>
    <w:rsid w:val="00EE1194"/>
    <w:rsid w:val="00F73CD5"/>
    <w:rsid w:val="00FD430D"/>
    <w:rsid w:val="00FE5A36"/>
    <w:rsid w:val="00FF758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047BCC"/>
  <w15:chartTrackingRefBased/>
  <w15:docId w15:val="{D23E4172-2128-4193-AE4C-FE98821DB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363D"/>
    <w:pPr>
      <w:spacing w:after="80" w:line="264" w:lineRule="auto"/>
      <w:jc w:val="both"/>
    </w:pPr>
    <w:rPr>
      <w:rFonts w:eastAsiaTheme="minorEastAsia" w:ascii="Times New Roman" w:hAnsi="Times New Roman"/>
      <w:b w:val="0"/>
      <w:color w:val="000000"/>
      <w:kern w:val="0"/>
      <w:sz w:val="22"/>
      <w:szCs w:val="24"/>
      <w:lang w:val="es-ES_tradnl" w:eastAsia="es-ES"/>
      <w14:ligatures w14:val="none"/>
    </w:rPr>
  </w:style>
  <w:style w:type="paragraph" w:styleId="Ttulo1">
    <w:name w:val="heading 1"/>
    <w:basedOn w:val="Normal"/>
    <w:next w:val="Normal"/>
    <w:link w:val="Ttulo1Car"/>
    <w:uiPriority w:val="9"/>
    <w:qFormat/>
    <w:rsid w:val="0085363D"/>
    <w:pPr>
      <w:keepNext/>
      <w:keepLines/>
      <w:spacing w:before="280" w:after="120" w:line="264" w:lineRule="auto"/>
      <w:outlineLvl w:val="0"/>
    </w:pPr>
    <w:rPr>
      <w:rFonts w:asciiTheme="majorHAnsi" w:eastAsiaTheme="majorEastAsia" w:hAnsiTheme="majorHAnsi" w:cstheme="majorBidi" w:ascii="Times New Roman" w:hAnsi="Times New Roman"/>
      <w:b/>
      <w:color w:val="000000"/>
      <w:kern w:val="2"/>
      <w:sz w:val="32"/>
      <w:szCs w:val="40"/>
      <w:lang w:val="es-MX" w:eastAsia="en-US"/>
      <w14:ligatures w14:val="standardContextual"/>
    </w:rPr>
  </w:style>
  <w:style w:type="paragraph" w:styleId="Ttulo2">
    <w:name w:val="heading 2"/>
    <w:basedOn w:val="Normal"/>
    <w:next w:val="Normal"/>
    <w:link w:val="Ttulo2Car"/>
    <w:uiPriority w:val="9"/>
    <w:unhideWhenUsed/>
    <w:qFormat/>
    <w:rsid w:val="0085363D"/>
    <w:pPr>
      <w:keepNext/>
      <w:keepLines/>
      <w:spacing w:before="200" w:after="80" w:line="264" w:lineRule="auto"/>
      <w:outlineLvl w:val="1"/>
    </w:pPr>
    <w:rPr>
      <w:rFonts w:asciiTheme="majorHAnsi" w:eastAsiaTheme="majorEastAsia" w:hAnsiTheme="majorHAnsi" w:cstheme="majorBidi" w:ascii="Times New Roman" w:hAnsi="Times New Roman"/>
      <w:b/>
      <w:color w:val="000000"/>
      <w:kern w:val="2"/>
      <w:sz w:val="28"/>
      <w:szCs w:val="32"/>
      <w:lang w:val="es-MX" w:eastAsia="en-US"/>
      <w14:ligatures w14:val="standardContextual"/>
    </w:rPr>
  </w:style>
  <w:style w:type="paragraph" w:styleId="Ttulo3">
    <w:name w:val="heading 3"/>
    <w:basedOn w:val="Normal"/>
    <w:next w:val="Normal"/>
    <w:link w:val="Ttulo3Car"/>
    <w:uiPriority w:val="9"/>
    <w:semiHidden/>
    <w:unhideWhenUsed/>
    <w:qFormat/>
    <w:rsid w:val="0085363D"/>
    <w:pPr>
      <w:keepNext/>
      <w:keepLines/>
      <w:spacing w:before="160" w:after="60" w:line="264" w:lineRule="auto"/>
      <w:outlineLvl w:val="2"/>
    </w:pPr>
    <w:rPr>
      <w:rFonts w:ascii="Times New Roman" w:eastAsiaTheme="majorEastAsia" w:hAnsi="Times New Roman" w:cstheme="majorBidi"/>
      <w:b w:val="0"/>
      <w:color w:val="000000"/>
      <w:kern w:val="2"/>
      <w:sz w:val="26"/>
      <w:szCs w:val="28"/>
      <w:lang w:val="es-MX" w:eastAsia="en-US"/>
      <w14:ligatures w14:val="standardContextual"/>
    </w:rPr>
  </w:style>
  <w:style w:type="paragraph" w:styleId="Ttulo4">
    <w:name w:val="heading 4"/>
    <w:basedOn w:val="Normal"/>
    <w:next w:val="Normal"/>
    <w:link w:val="Ttulo4Car"/>
    <w:uiPriority w:val="9"/>
    <w:semiHidden/>
    <w:unhideWhenUsed/>
    <w:qFormat/>
    <w:rsid w:val="0085363D"/>
    <w:pPr>
      <w:keepNext/>
      <w:keepLines/>
      <w:spacing w:before="80" w:after="40" w:line="259" w:lineRule="auto"/>
      <w:outlineLvl w:val="3"/>
    </w:pPr>
    <w:rPr>
      <w:rFonts w:eastAsiaTheme="majorEastAsia" w:cstheme="majorBidi"/>
      <w:i/>
      <w:iCs/>
      <w:color w:val="0F4761" w:themeColor="accent1" w:themeShade="BF"/>
      <w:kern w:val="2"/>
      <w:sz w:val="22"/>
      <w:szCs w:val="22"/>
      <w:lang w:val="es-MX" w:eastAsia="en-US"/>
      <w14:ligatures w14:val="standardContextual"/>
    </w:rPr>
  </w:style>
  <w:style w:type="paragraph" w:styleId="Ttulo5">
    <w:name w:val="heading 5"/>
    <w:basedOn w:val="Normal"/>
    <w:next w:val="Normal"/>
    <w:link w:val="Ttulo5Car"/>
    <w:uiPriority w:val="9"/>
    <w:semiHidden/>
    <w:unhideWhenUsed/>
    <w:qFormat/>
    <w:rsid w:val="0085363D"/>
    <w:pPr>
      <w:keepNext/>
      <w:keepLines/>
      <w:spacing w:before="80" w:after="40" w:line="259" w:lineRule="auto"/>
      <w:outlineLvl w:val="4"/>
    </w:pPr>
    <w:rPr>
      <w:rFonts w:eastAsiaTheme="majorEastAsia" w:cstheme="majorBidi"/>
      <w:color w:val="0F4761" w:themeColor="accent1" w:themeShade="BF"/>
      <w:kern w:val="2"/>
      <w:sz w:val="22"/>
      <w:szCs w:val="22"/>
      <w:lang w:val="es-MX" w:eastAsia="en-US"/>
      <w14:ligatures w14:val="standardContextual"/>
    </w:rPr>
  </w:style>
  <w:style w:type="paragraph" w:styleId="Ttulo6">
    <w:name w:val="heading 6"/>
    <w:basedOn w:val="Normal"/>
    <w:next w:val="Normal"/>
    <w:link w:val="Ttulo6Car"/>
    <w:uiPriority w:val="9"/>
    <w:semiHidden/>
    <w:unhideWhenUsed/>
    <w:qFormat/>
    <w:rsid w:val="0085363D"/>
    <w:pPr>
      <w:keepNext/>
      <w:keepLines/>
      <w:spacing w:before="40" w:line="259" w:lineRule="auto"/>
      <w:outlineLvl w:val="5"/>
    </w:pPr>
    <w:rPr>
      <w:rFonts w:eastAsiaTheme="majorEastAsia" w:cstheme="majorBidi"/>
      <w:i/>
      <w:iCs/>
      <w:color w:val="595959" w:themeColor="text1" w:themeTint="A6"/>
      <w:kern w:val="2"/>
      <w:sz w:val="22"/>
      <w:szCs w:val="22"/>
      <w:lang w:val="es-MX" w:eastAsia="en-US"/>
      <w14:ligatures w14:val="standardContextual"/>
    </w:rPr>
  </w:style>
  <w:style w:type="paragraph" w:styleId="Ttulo7">
    <w:name w:val="heading 7"/>
    <w:basedOn w:val="Normal"/>
    <w:next w:val="Normal"/>
    <w:link w:val="Ttulo7Car"/>
    <w:uiPriority w:val="9"/>
    <w:semiHidden/>
    <w:unhideWhenUsed/>
    <w:qFormat/>
    <w:rsid w:val="0085363D"/>
    <w:pPr>
      <w:keepNext/>
      <w:keepLines/>
      <w:spacing w:before="40" w:line="259" w:lineRule="auto"/>
      <w:outlineLvl w:val="6"/>
    </w:pPr>
    <w:rPr>
      <w:rFonts w:eastAsiaTheme="majorEastAsia" w:cstheme="majorBidi"/>
      <w:color w:val="595959" w:themeColor="text1" w:themeTint="A6"/>
      <w:kern w:val="2"/>
      <w:sz w:val="22"/>
      <w:szCs w:val="22"/>
      <w:lang w:val="es-MX" w:eastAsia="en-US"/>
      <w14:ligatures w14:val="standardContextual"/>
    </w:rPr>
  </w:style>
  <w:style w:type="paragraph" w:styleId="Ttulo8">
    <w:name w:val="heading 8"/>
    <w:basedOn w:val="Normal"/>
    <w:next w:val="Normal"/>
    <w:link w:val="Ttulo8Car"/>
    <w:uiPriority w:val="9"/>
    <w:semiHidden/>
    <w:unhideWhenUsed/>
    <w:qFormat/>
    <w:rsid w:val="0085363D"/>
    <w:pPr>
      <w:keepNext/>
      <w:keepLines/>
      <w:spacing w:line="259" w:lineRule="auto"/>
      <w:outlineLvl w:val="7"/>
    </w:pPr>
    <w:rPr>
      <w:rFonts w:eastAsiaTheme="majorEastAsia" w:cstheme="majorBidi"/>
      <w:i/>
      <w:iCs/>
      <w:color w:val="272727" w:themeColor="text1" w:themeTint="D8"/>
      <w:kern w:val="2"/>
      <w:sz w:val="22"/>
      <w:szCs w:val="22"/>
      <w:lang w:val="es-MX" w:eastAsia="en-US"/>
      <w14:ligatures w14:val="standardContextual"/>
    </w:rPr>
  </w:style>
  <w:style w:type="paragraph" w:styleId="Ttulo9">
    <w:name w:val="heading 9"/>
    <w:basedOn w:val="Normal"/>
    <w:next w:val="Normal"/>
    <w:link w:val="Ttulo9Car"/>
    <w:uiPriority w:val="9"/>
    <w:semiHidden/>
    <w:unhideWhenUsed/>
    <w:qFormat/>
    <w:rsid w:val="0085363D"/>
    <w:pPr>
      <w:keepNext/>
      <w:keepLines/>
      <w:spacing w:line="259" w:lineRule="auto"/>
      <w:outlineLvl w:val="8"/>
    </w:pPr>
    <w:rPr>
      <w:rFonts w:eastAsiaTheme="majorEastAsia" w:cstheme="majorBidi"/>
      <w:color w:val="272727" w:themeColor="text1" w:themeTint="D8"/>
      <w:kern w:val="2"/>
      <w:sz w:val="22"/>
      <w:szCs w:val="22"/>
      <w:lang w:val="es-MX"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363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363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536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36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36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36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36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36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363D"/>
    <w:rPr>
      <w:rFonts w:eastAsiaTheme="majorEastAsia" w:cstheme="majorBidi"/>
      <w:color w:val="272727" w:themeColor="text1" w:themeTint="D8"/>
    </w:rPr>
  </w:style>
  <w:style w:type="paragraph" w:styleId="Ttulo">
    <w:name w:val="Title"/>
    <w:basedOn w:val="Normal"/>
    <w:next w:val="Normal"/>
    <w:link w:val="TtuloCar"/>
    <w:uiPriority w:val="10"/>
    <w:qFormat/>
    <w:rsid w:val="0085363D"/>
    <w:pPr>
      <w:spacing w:after="80"/>
      <w:contextualSpacing/>
    </w:pPr>
    <w:rPr>
      <w:rFonts w:asciiTheme="majorHAnsi" w:eastAsiaTheme="majorEastAsia" w:hAnsiTheme="majorHAnsi" w:cstheme="majorBidi"/>
      <w:spacing w:val="-10"/>
      <w:kern w:val="28"/>
      <w:sz w:val="56"/>
      <w:szCs w:val="56"/>
      <w:lang w:val="es-MX" w:eastAsia="en-US"/>
      <w14:ligatures w14:val="standardContextual"/>
    </w:rPr>
  </w:style>
  <w:style w:type="character" w:customStyle="1" w:styleId="TtuloCar">
    <w:name w:val="Título Car"/>
    <w:basedOn w:val="Fuentedeprrafopredeter"/>
    <w:link w:val="Ttulo"/>
    <w:uiPriority w:val="10"/>
    <w:rsid w:val="008536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363D"/>
    <w:pPr>
      <w:numPr>
        <w:ilvl w:val="1"/>
      </w:numPr>
      <w:spacing w:after="160" w:line="259" w:lineRule="auto"/>
    </w:pPr>
    <w:rPr>
      <w:rFonts w:eastAsiaTheme="majorEastAsia" w:cstheme="majorBidi"/>
      <w:color w:val="595959" w:themeColor="text1" w:themeTint="A6"/>
      <w:spacing w:val="15"/>
      <w:kern w:val="2"/>
      <w:sz w:val="28"/>
      <w:szCs w:val="28"/>
      <w:lang w:val="es-MX" w:eastAsia="en-US"/>
      <w14:ligatures w14:val="standardContextual"/>
    </w:rPr>
  </w:style>
  <w:style w:type="character" w:customStyle="1" w:styleId="SubttuloCar">
    <w:name w:val="Subtítulo Car"/>
    <w:basedOn w:val="Fuentedeprrafopredeter"/>
    <w:link w:val="Subttulo"/>
    <w:uiPriority w:val="11"/>
    <w:rsid w:val="008536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363D"/>
    <w:pPr>
      <w:spacing w:before="160" w:after="160" w:line="259" w:lineRule="auto"/>
      <w:jc w:val="center"/>
    </w:pPr>
    <w:rPr>
      <w:rFonts w:eastAsiaTheme="minorHAnsi"/>
      <w:i/>
      <w:iCs/>
      <w:color w:val="404040" w:themeColor="text1" w:themeTint="BF"/>
      <w:kern w:val="2"/>
      <w:sz w:val="22"/>
      <w:szCs w:val="22"/>
      <w:lang w:val="es-MX" w:eastAsia="en-US"/>
      <w14:ligatures w14:val="standardContextual"/>
    </w:rPr>
  </w:style>
  <w:style w:type="character" w:customStyle="1" w:styleId="CitaCar">
    <w:name w:val="Cita Car"/>
    <w:basedOn w:val="Fuentedeprrafopredeter"/>
    <w:link w:val="Cita"/>
    <w:uiPriority w:val="29"/>
    <w:rsid w:val="0085363D"/>
    <w:rPr>
      <w:i/>
      <w:iCs/>
      <w:color w:val="404040" w:themeColor="text1" w:themeTint="BF"/>
    </w:rPr>
  </w:style>
  <w:style w:type="paragraph" w:styleId="Prrafodelista">
    <w:name w:val="List Paragraph"/>
    <w:basedOn w:val="Normal"/>
    <w:uiPriority w:val="34"/>
    <w:qFormat/>
    <w:rsid w:val="0085363D"/>
    <w:pPr>
      <w:spacing w:after="160" w:line="259" w:lineRule="auto"/>
      <w:ind w:left="720"/>
      <w:contextualSpacing/>
    </w:pPr>
    <w:rPr>
      <w:rFonts w:eastAsiaTheme="minorHAnsi"/>
      <w:kern w:val="2"/>
      <w:sz w:val="22"/>
      <w:szCs w:val="22"/>
      <w:lang w:val="es-MX" w:eastAsia="en-US"/>
      <w14:ligatures w14:val="standardContextual"/>
    </w:rPr>
  </w:style>
  <w:style w:type="character" w:styleId="nfasisintenso">
    <w:name w:val="Intense Emphasis"/>
    <w:basedOn w:val="Fuentedeprrafopredeter"/>
    <w:uiPriority w:val="21"/>
    <w:qFormat/>
    <w:rsid w:val="0085363D"/>
    <w:rPr>
      <w:i/>
      <w:iCs/>
      <w:color w:val="0F4761" w:themeColor="accent1" w:themeShade="BF"/>
    </w:rPr>
  </w:style>
  <w:style w:type="paragraph" w:styleId="Citadestacada">
    <w:name w:val="Intense Quote"/>
    <w:basedOn w:val="Normal"/>
    <w:next w:val="Normal"/>
    <w:link w:val="CitadestacadaCar"/>
    <w:uiPriority w:val="30"/>
    <w:qFormat/>
    <w:rsid w:val="0085363D"/>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val="es-MX" w:eastAsia="en-US"/>
      <w14:ligatures w14:val="standardContextual"/>
    </w:rPr>
  </w:style>
  <w:style w:type="character" w:customStyle="1" w:styleId="CitadestacadaCar">
    <w:name w:val="Cita destacada Car"/>
    <w:basedOn w:val="Fuentedeprrafopredeter"/>
    <w:link w:val="Citadestacada"/>
    <w:uiPriority w:val="30"/>
    <w:rsid w:val="0085363D"/>
    <w:rPr>
      <w:i/>
      <w:iCs/>
      <w:color w:val="0F4761" w:themeColor="accent1" w:themeShade="BF"/>
    </w:rPr>
  </w:style>
  <w:style w:type="character" w:styleId="Referenciaintensa">
    <w:name w:val="Intense Reference"/>
    <w:basedOn w:val="Fuentedeprrafopredeter"/>
    <w:uiPriority w:val="32"/>
    <w:qFormat/>
    <w:rsid w:val="0085363D"/>
    <w:rPr>
      <w:b/>
      <w:bCs/>
      <w:smallCaps/>
      <w:color w:val="0F4761" w:themeColor="accent1" w:themeShade="BF"/>
      <w:spacing w:val="5"/>
    </w:rPr>
  </w:style>
  <w:style w:type="paragraph" w:styleId="Encabezado">
    <w:name w:val="header"/>
    <w:basedOn w:val="Normal"/>
    <w:link w:val="EncabezadoCar"/>
    <w:uiPriority w:val="99"/>
    <w:unhideWhenUsed/>
    <w:rsid w:val="0085363D"/>
    <w:pPr>
      <w:tabs>
        <w:tab w:val="center" w:pos="4419"/>
        <w:tab w:val="right" w:pos="8838"/>
      </w:tabs>
    </w:pPr>
  </w:style>
  <w:style w:type="character" w:customStyle="1" w:styleId="EncabezadoCar">
    <w:name w:val="Encabezado Car"/>
    <w:basedOn w:val="Fuentedeprrafopredeter"/>
    <w:link w:val="Encabezado"/>
    <w:uiPriority w:val="99"/>
    <w:rsid w:val="0085363D"/>
    <w:rPr>
      <w:rFonts w:eastAsiaTheme="minorEastAsia"/>
      <w:kern w:val="0"/>
      <w:sz w:val="24"/>
      <w:szCs w:val="24"/>
      <w:lang w:val="es-ES_tradnl" w:eastAsia="es-ES"/>
      <w14:ligatures w14:val="none"/>
    </w:rPr>
  </w:style>
  <w:style w:type="paragraph" w:styleId="Piedepgina">
    <w:name w:val="footer"/>
    <w:basedOn w:val="Normal"/>
    <w:link w:val="PiedepginaCar"/>
    <w:uiPriority w:val="99"/>
    <w:unhideWhenUsed/>
    <w:rsid w:val="0085363D"/>
    <w:pPr>
      <w:tabs>
        <w:tab w:val="center" w:pos="4419"/>
        <w:tab w:val="right" w:pos="8838"/>
      </w:tabs>
    </w:pPr>
  </w:style>
  <w:style w:type="character" w:customStyle="1" w:styleId="PiedepginaCar">
    <w:name w:val="Pie de página Car"/>
    <w:basedOn w:val="Fuentedeprrafopredeter"/>
    <w:link w:val="Piedepgina"/>
    <w:uiPriority w:val="99"/>
    <w:rsid w:val="0085363D"/>
    <w:rPr>
      <w:rFonts w:eastAsiaTheme="minorEastAsia"/>
      <w:kern w:val="0"/>
      <w:sz w:val="24"/>
      <w:szCs w:val="24"/>
      <w:lang w:val="es-ES_tradnl" w:eastAsia="es-ES"/>
      <w14:ligatures w14:val="none"/>
    </w:rPr>
  </w:style>
  <w:style w:type="character" w:styleId="Hipervnculo">
    <w:name w:val="Hyperlink"/>
    <w:basedOn w:val="Fuentedeprrafopredeter"/>
    <w:uiPriority w:val="99"/>
    <w:unhideWhenUsed/>
    <w:rsid w:val="00E074F5"/>
    <w:rPr>
      <w:color w:val="467886" w:themeColor="hyperlink"/>
      <w:u w:val="single"/>
    </w:rPr>
  </w:style>
  <w:style w:type="character" w:styleId="Mencinsinresolver">
    <w:name w:val="Unresolved Mention"/>
    <w:basedOn w:val="Fuentedeprrafopredeter"/>
    <w:uiPriority w:val="99"/>
    <w:semiHidden/>
    <w:unhideWhenUsed/>
    <w:rsid w:val="00E074F5"/>
    <w:rPr>
      <w:color w:val="605E5C"/>
      <w:shd w:val="clear" w:color="auto" w:fill="E1DFDD"/>
    </w:rPr>
  </w:style>
  <w:style w:type="character" w:styleId="Hipervnculovisitado">
    <w:name w:val="FollowedHyperlink"/>
    <w:basedOn w:val="Fuentedeprrafopredeter"/>
    <w:uiPriority w:val="99"/>
    <w:semiHidden/>
    <w:unhideWhenUsed/>
    <w:rsid w:val="00E074F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69E96CB255F2E4FBB03C8E2E582A9B3" ma:contentTypeVersion="12" ma:contentTypeDescription="Crear nuevo documento." ma:contentTypeScope="" ma:versionID="098132956dc429493640ab41877d748a">
  <xsd:schema xmlns:xsd="http://www.w3.org/2001/XMLSchema" xmlns:xs="http://www.w3.org/2001/XMLSchema" xmlns:p="http://schemas.microsoft.com/office/2006/metadata/properties" xmlns:ns2="c2bfa199-0d04-4f82-bc1e-9bcced7fd60d" xmlns:ns3="c99f8663-2a3d-4fb0-9738-2dc7c0d74547" targetNamespace="http://schemas.microsoft.com/office/2006/metadata/properties" ma:root="true" ma:fieldsID="354b0c1e10e78d24c915b2c4173dbe6c" ns2:_="" ns3:_="">
    <xsd:import namespace="c2bfa199-0d04-4f82-bc1e-9bcced7fd60d"/>
    <xsd:import namespace="c99f8663-2a3d-4fb0-9738-2dc7c0d7454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bfa199-0d04-4f82-bc1e-9bcced7fd60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b653b1c0-f410-437d-8ee7-1cf68b209f5d"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99f8663-2a3d-4fb0-9738-2dc7c0d7454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178d057-715c-4376-8fa4-ae5b1a565fa1}" ma:internalName="TaxCatchAll" ma:showField="CatchAllData" ma:web="c99f8663-2a3d-4fb0-9738-2dc7c0d7454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99f8663-2a3d-4fb0-9738-2dc7c0d74547" xsi:nil="true"/>
    <ReferenceId xmlns="c2bfa199-0d04-4f82-bc1e-9bcced7fd60d" xsi:nil="true"/>
    <lcf76f155ced4ddcb4097134ff3c332f xmlns="c2bfa199-0d04-4f82-bc1e-9bcced7fd60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EAF84E-0E3D-45D3-B176-FBF7AA7431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bfa199-0d04-4f82-bc1e-9bcced7fd60d"/>
    <ds:schemaRef ds:uri="c99f8663-2a3d-4fb0-9738-2dc7c0d745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D8512B2-802D-461B-A48D-5EBD060C999F}">
  <ds:schemaRefs>
    <ds:schemaRef ds:uri="http://schemas.microsoft.com/office/2006/metadata/properties"/>
    <ds:schemaRef ds:uri="http://schemas.microsoft.com/office/infopath/2007/PartnerControls"/>
    <ds:schemaRef ds:uri="c99f8663-2a3d-4fb0-9738-2dc7c0d74547"/>
    <ds:schemaRef ds:uri="c2bfa199-0d04-4f82-bc1e-9bcced7fd60d"/>
  </ds:schemaRefs>
</ds:datastoreItem>
</file>

<file path=customXml/itemProps3.xml><?xml version="1.0" encoding="utf-8"?>
<ds:datastoreItem xmlns:ds="http://schemas.openxmlformats.org/officeDocument/2006/customXml" ds:itemID="{7471205E-2600-401D-AFF3-E065642724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85</Words>
  <Characters>471</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Antonio Flores Fuentes</dc:creator>
  <cp:keywords/>
  <dc:description/>
  <cp:lastModifiedBy>FERNANDO AZUARA IBARRA</cp:lastModifiedBy>
  <cp:revision>18</cp:revision>
  <dcterms:created xsi:type="dcterms:W3CDTF">2025-08-20T05:28:00Z</dcterms:created>
  <dcterms:modified xsi:type="dcterms:W3CDTF">2026-10-22T10:35:00Z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0x010100E69E96CB255F2E4FBB03C8E2E582A9B3</vt:lpwstr>
  </property>
</Properties>
</file>