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65373" w14:textId="4AC28860" w:rsidR="008B233C" w:rsidRPr="00350DB1" w:rsidRDefault="000D72AF" w:rsidP="007D0BA1">
      <w:pPr>
        <w:spacing w:before="0" w:after="0" w:line="240" w:lineRule="auto"/>
        <w:jc w:val="center"/>
        <w:rPr>
          <w:rFonts w:ascii="Times New Roman" w:hAnsi="Times New Roman" w:cs="Times New Roman"/>
          <w:b/>
          <w:bCs/>
          <w:sz w:val="32"/>
          <w:szCs w:val="32"/>
          <w:lang w:val="es-MX"/>
        </w:rPr>
      </w:pPr>
      <w:r>
        <w:rPr>
          <w:rFonts w:ascii="Times New Roman" w:hAnsi="Times New Roman" w:cs="Times New Roman"/>
          <w:b/>
          <w:bCs/>
          <w:sz w:val="32"/>
          <w:szCs w:val="32"/>
          <w:lang w:val="es-MX"/>
        </w:rPr>
        <w:t>FACULTAD DE INGENIERÍA</w:t>
      </w:r>
    </w:p>
    <w:p w14:paraId="1F6B73DD" w14:textId="77777777" w:rsidR="00350DB1" w:rsidRPr="00350DB1" w:rsidRDefault="00350DB1" w:rsidP="00350DB1">
      <w:pPr>
        <w:spacing w:before="0" w:after="0" w:line="180" w:lineRule="exact"/>
        <w:jc w:val="center"/>
        <w:rPr>
          <w:rFonts w:ascii="Times New Roman" w:hAnsi="Times New Roman" w:cs="Times New Roman"/>
          <w:b/>
          <w:bCs/>
          <w:sz w:val="32"/>
          <w:szCs w:val="32"/>
          <w:lang w:val="es-MX"/>
        </w:rPr>
      </w:pPr>
    </w:p>
    <w:p w14:paraId="357A073E" w14:textId="77777777" w:rsidR="00350DB1" w:rsidRDefault="00350DB1" w:rsidP="00350DB1">
      <w:pPr>
        <w:spacing w:before="0" w:after="0" w:line="180" w:lineRule="exact"/>
        <w:jc w:val="center"/>
        <w:rPr>
          <w:rFonts w:ascii="Times New Roman" w:hAnsi="Times New Roman" w:cs="Times New Roman"/>
          <w:b/>
          <w:bCs/>
          <w:sz w:val="36"/>
          <w:szCs w:val="36"/>
          <w:lang w:val="es-MX"/>
        </w:rPr>
      </w:pPr>
    </w:p>
    <w:p w14:paraId="0F021117" w14:textId="29ED9D65" w:rsidR="00350DB1" w:rsidRDefault="00350DB1" w:rsidP="00350DB1">
      <w:pPr>
        <w:spacing w:before="0" w:after="0" w:line="240" w:lineRule="auto"/>
        <w:jc w:val="center"/>
        <w:rPr>
          <w:rFonts w:ascii="Times New Roman" w:hAnsi="Times New Roman" w:cs="Times New Roman"/>
          <w:b/>
          <w:bCs/>
          <w:sz w:val="32"/>
          <w:szCs w:val="32"/>
          <w:lang w:val="es-MX"/>
        </w:rPr>
      </w:pPr>
      <w:r>
        <w:rPr>
          <w:rFonts w:ascii="Times New Roman" w:hAnsi="Times New Roman" w:cs="Times New Roman"/>
          <w:b/>
          <w:bCs/>
          <w:sz w:val="32"/>
          <w:szCs w:val="32"/>
          <w:lang w:val="es-MX"/>
        </w:rPr>
        <w:t>PLAN DE ESTUDIOS:</w:t>
      </w:r>
    </w:p>
    <w:p w14:paraId="18C22CD8" w14:textId="297B990E" w:rsidR="00350DB1" w:rsidRPr="00E97F65" w:rsidRDefault="00350DB1" w:rsidP="00E97F65">
      <w:pPr>
        <w:spacing w:before="0" w:after="0" w:line="240" w:lineRule="auto"/>
        <w:jc w:val="center"/>
        <w:rPr>
          <w:rFonts w:ascii="Times New Roman" w:hAnsi="Times New Roman" w:cs="Times New Roman"/>
          <w:sz w:val="32"/>
          <w:szCs w:val="32"/>
          <w:lang w:val="es-MX"/>
        </w:rPr>
      </w:pPr>
      <w:r w:rsidRPr="00350DB1">
        <w:rPr>
          <w:rFonts w:ascii="Times New Roman" w:hAnsi="Times New Roman" w:cs="Times New Roman"/>
          <w:sz w:val="32"/>
          <w:szCs w:val="32"/>
          <w:lang w:val="es-MX"/>
        </w:rPr>
        <w:t>Licenciatura de Ingeniería en Computación</w:t>
      </w:r>
    </w:p>
    <w:p w14:paraId="653C7FC6" w14:textId="77777777" w:rsidR="00350DB1" w:rsidRDefault="00350DB1" w:rsidP="00350DB1">
      <w:pPr>
        <w:spacing w:before="0" w:after="0" w:line="180" w:lineRule="exact"/>
        <w:jc w:val="center"/>
        <w:rPr>
          <w:rFonts w:ascii="Times New Roman" w:hAnsi="Times New Roman" w:cs="Times New Roman"/>
          <w:b/>
          <w:bCs/>
          <w:sz w:val="36"/>
          <w:szCs w:val="36"/>
          <w:lang w:val="es-MX"/>
        </w:rPr>
      </w:pPr>
    </w:p>
    <w:p w14:paraId="12B79946" w14:textId="68B43AB1" w:rsidR="00350DB1" w:rsidRPr="00350DB1" w:rsidRDefault="00350DB1" w:rsidP="00350DB1">
      <w:pPr>
        <w:spacing w:before="0" w:after="0" w:line="240" w:lineRule="auto"/>
        <w:jc w:val="center"/>
        <w:rPr>
          <w:rFonts w:ascii="Times New Roman" w:hAnsi="Times New Roman" w:cs="Times New Roman"/>
          <w:b/>
          <w:bCs/>
          <w:sz w:val="36"/>
          <w:szCs w:val="36"/>
          <w:lang w:val="es-MX"/>
        </w:rPr>
      </w:pPr>
      <w:r w:rsidRPr="00350DB1">
        <w:rPr>
          <w:rFonts w:ascii="Times New Roman" w:hAnsi="Times New Roman" w:cs="Times New Roman"/>
          <w:b/>
          <w:bCs/>
          <w:sz w:val="36"/>
          <w:szCs w:val="36"/>
          <w:lang w:val="es-MX"/>
        </w:rPr>
        <w:t>UNIDAD DE APRENDIZAJE:</w:t>
      </w:r>
    </w:p>
    <w:p w14:paraId="4EE7B616" w14:textId="040B7324" w:rsidR="00350DB1" w:rsidRDefault="00C46965" w:rsidP="00350DB1">
      <w:pPr>
        <w:spacing w:before="0" w:after="0" w:line="240" w:lineRule="auto"/>
        <w:jc w:val="center"/>
        <w:rPr>
          <w:rFonts w:ascii="Times New Roman" w:hAnsi="Times New Roman" w:cs="Times New Roman"/>
          <w:sz w:val="36"/>
          <w:szCs w:val="36"/>
          <w:lang w:val="es-MX"/>
        </w:rPr>
      </w:pPr>
      <w:r>
        <w:rPr>
          <w:rFonts w:ascii="Times New Roman" w:hAnsi="Times New Roman" w:cs="Times New Roman"/>
          <w:sz w:val="36"/>
          <w:szCs w:val="36"/>
          <w:lang w:val="es-MX"/>
        </w:rPr>
        <w:t>Administración de Proyectos Informáticos</w:t>
      </w:r>
    </w:p>
    <w:p w14:paraId="4C62736D" w14:textId="77777777" w:rsidR="00350DB1" w:rsidRPr="00350DB1" w:rsidRDefault="00350DB1" w:rsidP="00350DB1">
      <w:pPr>
        <w:spacing w:before="0" w:after="0" w:line="180" w:lineRule="exact"/>
        <w:jc w:val="center"/>
        <w:rPr>
          <w:rFonts w:ascii="Times New Roman" w:hAnsi="Times New Roman" w:cs="Times New Roman"/>
          <w:sz w:val="36"/>
          <w:szCs w:val="36"/>
          <w:lang w:val="es-MX"/>
        </w:rPr>
      </w:pPr>
    </w:p>
    <w:p w14:paraId="415D5BE8" w14:textId="24377195" w:rsidR="00350DB1" w:rsidRPr="00670E64" w:rsidRDefault="007C6AB3" w:rsidP="00670E64">
      <w:pPr>
        <w:spacing w:before="0" w:after="0" w:line="240" w:lineRule="auto"/>
        <w:jc w:val="center"/>
        <w:rPr>
          <w:rFonts w:ascii="Times New Roman" w:hAnsi="Times New Roman" w:cs="Times New Roman"/>
          <w:b/>
          <w:bCs/>
          <w:lang w:val="es-MX"/>
        </w:rPr>
      </w:pPr>
      <w:r>
        <w:rPr>
          <w:rFonts w:ascii="Times New Roman" w:hAnsi="Times New Roman" w:cs="Times New Roman"/>
          <w:b/>
          <w:bCs/>
          <w:sz w:val="48"/>
          <w:szCs w:val="48"/>
          <w:lang w:val="es-MX"/>
        </w:rPr>
        <w:t>Avance 1: Grupos de Procesos de Ejecución.</w:t>
      </w:r>
    </w:p>
    <w:p w14:paraId="325E3824" w14:textId="77777777" w:rsidR="00350DB1" w:rsidRDefault="00350DB1" w:rsidP="00350DB1">
      <w:pPr>
        <w:spacing w:before="0" w:after="0" w:line="180" w:lineRule="exact"/>
        <w:jc w:val="center"/>
        <w:rPr>
          <w:rFonts w:ascii="Times New Roman" w:hAnsi="Times New Roman" w:cs="Times New Roman"/>
          <w:b/>
          <w:bCs/>
          <w:sz w:val="36"/>
          <w:szCs w:val="36"/>
          <w:lang w:val="es-MX"/>
        </w:rPr>
      </w:pPr>
    </w:p>
    <w:p w14:paraId="1853F081" w14:textId="24398C34" w:rsidR="00350DB1" w:rsidRPr="00350DB1" w:rsidRDefault="00C46965" w:rsidP="00350DB1">
      <w:pPr>
        <w:spacing w:before="0" w:after="0" w:line="240" w:lineRule="auto"/>
        <w:jc w:val="center"/>
        <w:rPr>
          <w:rFonts w:ascii="Times New Roman" w:hAnsi="Times New Roman" w:cs="Times New Roman"/>
          <w:b/>
          <w:bCs/>
          <w:sz w:val="36"/>
          <w:szCs w:val="36"/>
          <w:lang w:val="es-MX"/>
        </w:rPr>
      </w:pPr>
      <w:r>
        <w:rPr>
          <w:rFonts w:ascii="Times New Roman" w:hAnsi="Times New Roman" w:cs="Times New Roman"/>
          <w:b/>
          <w:bCs/>
          <w:sz w:val="36"/>
          <w:szCs w:val="36"/>
          <w:lang w:val="es-MX"/>
        </w:rPr>
        <w:t>Integrantes del Equipo 404</w:t>
      </w:r>
      <w:r w:rsidR="00350DB1" w:rsidRPr="00350DB1">
        <w:rPr>
          <w:rFonts w:ascii="Times New Roman" w:hAnsi="Times New Roman" w:cs="Times New Roman"/>
          <w:b/>
          <w:bCs/>
          <w:sz w:val="36"/>
          <w:szCs w:val="36"/>
          <w:lang w:val="es-MX"/>
        </w:rPr>
        <w:t>:</w:t>
      </w:r>
    </w:p>
    <w:p w14:paraId="04E3E77B" w14:textId="77777777" w:rsidR="00C46965" w:rsidRPr="00C46965" w:rsidRDefault="00C46965" w:rsidP="00C46965">
      <w:pPr>
        <w:pStyle w:val="Prrafodelista"/>
        <w:numPr>
          <w:ilvl w:val="0"/>
          <w:numId w:val="4"/>
        </w:numPr>
        <w:spacing w:before="0" w:after="0" w:line="240" w:lineRule="auto"/>
        <w:jc w:val="center"/>
        <w:rPr>
          <w:rFonts w:ascii="Times New Roman" w:hAnsi="Times New Roman" w:cs="Times New Roman"/>
          <w:sz w:val="24"/>
          <w:szCs w:val="24"/>
        </w:rPr>
      </w:pPr>
      <w:r w:rsidRPr="00C46965">
        <w:rPr>
          <w:rFonts w:ascii="Times New Roman" w:hAnsi="Times New Roman" w:cs="Times New Roman"/>
          <w:sz w:val="24"/>
          <w:szCs w:val="24"/>
        </w:rPr>
        <w:t>Fernando Azuara Ibarra</w:t>
      </w:r>
    </w:p>
    <w:p w14:paraId="3634006C" w14:textId="77777777" w:rsidR="00C46965" w:rsidRPr="00C46965" w:rsidRDefault="00C46965" w:rsidP="00C46965">
      <w:pPr>
        <w:pStyle w:val="Prrafodelista"/>
        <w:numPr>
          <w:ilvl w:val="0"/>
          <w:numId w:val="4"/>
        </w:numPr>
        <w:spacing w:before="0" w:after="0" w:line="240" w:lineRule="auto"/>
        <w:jc w:val="center"/>
        <w:rPr>
          <w:rFonts w:ascii="Times New Roman" w:hAnsi="Times New Roman" w:cs="Times New Roman"/>
          <w:sz w:val="24"/>
          <w:szCs w:val="24"/>
        </w:rPr>
      </w:pPr>
      <w:r w:rsidRPr="00C46965">
        <w:rPr>
          <w:rFonts w:ascii="Times New Roman" w:hAnsi="Times New Roman" w:cs="Times New Roman"/>
          <w:sz w:val="24"/>
          <w:szCs w:val="24"/>
        </w:rPr>
        <w:t xml:space="preserve">Santiago Cuevas Sánchez </w:t>
      </w:r>
    </w:p>
    <w:p w14:paraId="0401058E" w14:textId="77777777" w:rsidR="00C46965" w:rsidRPr="00C46965" w:rsidRDefault="00C46965" w:rsidP="00C46965">
      <w:pPr>
        <w:pStyle w:val="Prrafodelista"/>
        <w:numPr>
          <w:ilvl w:val="0"/>
          <w:numId w:val="4"/>
        </w:numPr>
        <w:spacing w:before="0" w:after="0" w:line="240" w:lineRule="auto"/>
        <w:jc w:val="center"/>
        <w:rPr>
          <w:rFonts w:ascii="Times New Roman" w:hAnsi="Times New Roman" w:cs="Times New Roman"/>
          <w:sz w:val="24"/>
          <w:szCs w:val="24"/>
        </w:rPr>
      </w:pPr>
      <w:r w:rsidRPr="00C46965">
        <w:rPr>
          <w:rFonts w:ascii="Times New Roman" w:hAnsi="Times New Roman" w:cs="Times New Roman"/>
          <w:sz w:val="24"/>
          <w:szCs w:val="24"/>
        </w:rPr>
        <w:t xml:space="preserve">Aarón Nevid Domínguez Fuentes </w:t>
      </w:r>
    </w:p>
    <w:p w14:paraId="363ED5A7" w14:textId="77777777" w:rsidR="00C46965" w:rsidRPr="00C46965" w:rsidRDefault="00C46965" w:rsidP="00C46965">
      <w:pPr>
        <w:pStyle w:val="Prrafodelista"/>
        <w:numPr>
          <w:ilvl w:val="0"/>
          <w:numId w:val="4"/>
        </w:numPr>
        <w:spacing w:before="0" w:after="0" w:line="240" w:lineRule="auto"/>
        <w:jc w:val="center"/>
        <w:rPr>
          <w:rFonts w:ascii="Times New Roman" w:hAnsi="Times New Roman" w:cs="Times New Roman"/>
          <w:sz w:val="24"/>
          <w:szCs w:val="24"/>
        </w:rPr>
      </w:pPr>
      <w:r w:rsidRPr="00C46965">
        <w:rPr>
          <w:rFonts w:ascii="Times New Roman" w:hAnsi="Times New Roman" w:cs="Times New Roman"/>
          <w:sz w:val="24"/>
          <w:szCs w:val="24"/>
        </w:rPr>
        <w:t>Joaquín Ulises García Álvarez</w:t>
      </w:r>
    </w:p>
    <w:p w14:paraId="239742EF" w14:textId="77777777" w:rsidR="00C46965" w:rsidRPr="00C46965" w:rsidRDefault="00C46965" w:rsidP="00C46965">
      <w:pPr>
        <w:pStyle w:val="Prrafodelista"/>
        <w:numPr>
          <w:ilvl w:val="0"/>
          <w:numId w:val="4"/>
        </w:numPr>
        <w:spacing w:before="0" w:after="0" w:line="240" w:lineRule="auto"/>
        <w:jc w:val="center"/>
        <w:rPr>
          <w:rFonts w:ascii="Times New Roman" w:hAnsi="Times New Roman" w:cs="Times New Roman"/>
          <w:sz w:val="24"/>
          <w:szCs w:val="24"/>
        </w:rPr>
      </w:pPr>
      <w:r w:rsidRPr="00C46965">
        <w:rPr>
          <w:rFonts w:ascii="Times New Roman" w:hAnsi="Times New Roman" w:cs="Times New Roman"/>
          <w:sz w:val="24"/>
          <w:szCs w:val="24"/>
        </w:rPr>
        <w:t>Daniel Aguilar Sánchez</w:t>
      </w:r>
    </w:p>
    <w:p w14:paraId="7CEF8770" w14:textId="77777777" w:rsidR="00C46965" w:rsidRPr="00C46965" w:rsidRDefault="00C46965" w:rsidP="00C46965">
      <w:pPr>
        <w:pStyle w:val="Prrafodelista"/>
        <w:numPr>
          <w:ilvl w:val="0"/>
          <w:numId w:val="4"/>
        </w:numPr>
        <w:spacing w:before="0" w:after="0" w:line="240" w:lineRule="auto"/>
        <w:jc w:val="center"/>
        <w:rPr>
          <w:rFonts w:ascii="Times New Roman" w:hAnsi="Times New Roman" w:cs="Times New Roman"/>
          <w:sz w:val="24"/>
          <w:szCs w:val="24"/>
        </w:rPr>
      </w:pPr>
      <w:r w:rsidRPr="00C46965">
        <w:rPr>
          <w:rFonts w:ascii="Times New Roman" w:hAnsi="Times New Roman" w:cs="Times New Roman"/>
          <w:sz w:val="24"/>
          <w:szCs w:val="24"/>
        </w:rPr>
        <w:t>Zuleica Betsabel de la Cruz González</w:t>
      </w:r>
    </w:p>
    <w:p w14:paraId="0C2BD1DF" w14:textId="77777777" w:rsidR="00C46965" w:rsidRPr="00C46965" w:rsidRDefault="00C46965" w:rsidP="00C46965">
      <w:pPr>
        <w:pStyle w:val="Prrafodelista"/>
        <w:numPr>
          <w:ilvl w:val="0"/>
          <w:numId w:val="4"/>
        </w:numPr>
        <w:spacing w:before="0" w:after="0" w:line="240" w:lineRule="auto"/>
        <w:jc w:val="center"/>
        <w:rPr>
          <w:rFonts w:ascii="Times New Roman" w:hAnsi="Times New Roman" w:cs="Times New Roman"/>
          <w:sz w:val="24"/>
          <w:szCs w:val="24"/>
        </w:rPr>
      </w:pPr>
      <w:r w:rsidRPr="00C46965">
        <w:rPr>
          <w:rFonts w:ascii="Times New Roman" w:hAnsi="Times New Roman" w:cs="Times New Roman"/>
          <w:sz w:val="24"/>
          <w:szCs w:val="24"/>
        </w:rPr>
        <w:t>Ángel Israel de la Cruz Martínez</w:t>
      </w:r>
    </w:p>
    <w:p w14:paraId="6530157D" w14:textId="4D617AB8" w:rsidR="00350DB1" w:rsidRPr="00C46965" w:rsidRDefault="00C46965" w:rsidP="00C46965">
      <w:pPr>
        <w:pStyle w:val="Prrafodelista"/>
        <w:numPr>
          <w:ilvl w:val="0"/>
          <w:numId w:val="4"/>
        </w:numPr>
        <w:spacing w:before="0" w:after="0" w:line="240" w:lineRule="auto"/>
        <w:jc w:val="center"/>
        <w:rPr>
          <w:rFonts w:ascii="Times New Roman" w:hAnsi="Times New Roman" w:cs="Times New Roman"/>
          <w:sz w:val="24"/>
          <w:szCs w:val="24"/>
        </w:rPr>
      </w:pPr>
      <w:r w:rsidRPr="00C46965">
        <w:rPr>
          <w:rFonts w:ascii="Times New Roman" w:hAnsi="Times New Roman" w:cs="Times New Roman"/>
          <w:sz w:val="24"/>
          <w:szCs w:val="24"/>
        </w:rPr>
        <w:t>Joan Alexis Ocaña Martínez</w:t>
      </w:r>
    </w:p>
    <w:p w14:paraId="43E63BCD" w14:textId="77777777" w:rsidR="00350DB1" w:rsidRDefault="00350DB1" w:rsidP="00350DB1">
      <w:pPr>
        <w:spacing w:before="0" w:after="0" w:line="180" w:lineRule="exact"/>
        <w:jc w:val="center"/>
        <w:rPr>
          <w:rFonts w:ascii="Times New Roman" w:hAnsi="Times New Roman" w:cs="Times New Roman"/>
          <w:b/>
          <w:bCs/>
          <w:sz w:val="36"/>
          <w:szCs w:val="36"/>
          <w:lang w:val="es-MX"/>
        </w:rPr>
      </w:pPr>
    </w:p>
    <w:p w14:paraId="67041567" w14:textId="354A05D6" w:rsidR="00350DB1" w:rsidRPr="00C46965" w:rsidRDefault="00350DB1" w:rsidP="00C46965">
      <w:pPr>
        <w:spacing w:before="0" w:after="0" w:line="240" w:lineRule="auto"/>
        <w:jc w:val="center"/>
        <w:rPr>
          <w:rFonts w:ascii="Times New Roman" w:hAnsi="Times New Roman" w:cs="Times New Roman"/>
          <w:b/>
          <w:bCs/>
          <w:sz w:val="36"/>
          <w:szCs w:val="36"/>
          <w:lang w:val="es-MX"/>
        </w:rPr>
      </w:pPr>
      <w:r w:rsidRPr="00350DB1">
        <w:rPr>
          <w:rFonts w:ascii="Times New Roman" w:hAnsi="Times New Roman" w:cs="Times New Roman"/>
          <w:b/>
          <w:bCs/>
          <w:sz w:val="36"/>
          <w:szCs w:val="36"/>
          <w:lang w:val="es-MX"/>
        </w:rPr>
        <w:t>GRUPO:</w:t>
      </w:r>
      <w:r w:rsidR="00C46965">
        <w:rPr>
          <w:rFonts w:ascii="Times New Roman" w:hAnsi="Times New Roman" w:cs="Times New Roman"/>
          <w:b/>
          <w:bCs/>
          <w:sz w:val="36"/>
          <w:szCs w:val="36"/>
          <w:lang w:val="es-MX"/>
        </w:rPr>
        <w:t xml:space="preserve"> </w:t>
      </w:r>
      <w:r w:rsidR="00C46965" w:rsidRPr="00C46965">
        <w:rPr>
          <w:rFonts w:ascii="Times New Roman" w:hAnsi="Times New Roman" w:cs="Times New Roman"/>
          <w:sz w:val="36"/>
          <w:szCs w:val="36"/>
          <w:lang w:val="es-MX"/>
        </w:rPr>
        <w:t>O2</w:t>
      </w:r>
    </w:p>
    <w:p w14:paraId="3E7C47C1" w14:textId="77777777" w:rsidR="00350DB1" w:rsidRDefault="00350DB1" w:rsidP="00350DB1">
      <w:pPr>
        <w:spacing w:before="0" w:after="0" w:line="180" w:lineRule="exact"/>
        <w:jc w:val="center"/>
        <w:rPr>
          <w:rFonts w:ascii="Times New Roman" w:hAnsi="Times New Roman" w:cs="Times New Roman"/>
          <w:b/>
          <w:bCs/>
          <w:sz w:val="36"/>
          <w:szCs w:val="36"/>
          <w:lang w:val="es-MX"/>
        </w:rPr>
      </w:pPr>
    </w:p>
    <w:p w14:paraId="5DDDC74B" w14:textId="7290F7B8" w:rsidR="00350DB1" w:rsidRPr="00350DB1" w:rsidRDefault="00350DB1" w:rsidP="00350DB1">
      <w:pPr>
        <w:spacing w:before="0" w:after="0" w:line="240" w:lineRule="auto"/>
        <w:jc w:val="center"/>
        <w:rPr>
          <w:rFonts w:ascii="Times New Roman" w:hAnsi="Times New Roman" w:cs="Times New Roman"/>
          <w:b/>
          <w:bCs/>
          <w:sz w:val="36"/>
          <w:szCs w:val="36"/>
          <w:lang w:val="es-MX"/>
        </w:rPr>
      </w:pPr>
      <w:r w:rsidRPr="00350DB1">
        <w:rPr>
          <w:rFonts w:ascii="Times New Roman" w:hAnsi="Times New Roman" w:cs="Times New Roman"/>
          <w:b/>
          <w:bCs/>
          <w:sz w:val="36"/>
          <w:szCs w:val="36"/>
          <w:lang w:val="es-MX"/>
        </w:rPr>
        <w:t>DOCENTE:</w:t>
      </w:r>
    </w:p>
    <w:p w14:paraId="06EA44B4" w14:textId="1053E3DE" w:rsidR="004E3DF0" w:rsidRDefault="00953AAC" w:rsidP="004E3DF0">
      <w:pPr>
        <w:spacing w:before="0" w:after="0" w:line="240" w:lineRule="auto"/>
        <w:jc w:val="center"/>
        <w:rPr>
          <w:rFonts w:ascii="Times New Roman" w:hAnsi="Times New Roman" w:cs="Times New Roman"/>
          <w:sz w:val="36"/>
          <w:szCs w:val="36"/>
          <w:lang w:val="es-MX"/>
        </w:rPr>
      </w:pPr>
      <w:r w:rsidRPr="00953AAC">
        <w:rPr>
          <w:rFonts w:ascii="Times New Roman" w:hAnsi="Times New Roman" w:cs="Times New Roman"/>
          <w:sz w:val="36"/>
          <w:szCs w:val="36"/>
          <w:lang w:val="es-MX"/>
        </w:rPr>
        <w:tab/>
      </w:r>
      <w:r w:rsidR="00C46965" w:rsidRPr="00C46965">
        <w:rPr>
          <w:rFonts w:ascii="Times New Roman" w:hAnsi="Times New Roman" w:cs="Times New Roman"/>
          <w:sz w:val="36"/>
          <w:szCs w:val="36"/>
          <w:lang w:val="es-MX"/>
        </w:rPr>
        <w:t>I. EN C. CÍNTIA GONZÁLEZ MIRELES</w:t>
      </w:r>
    </w:p>
    <w:p w14:paraId="6DFFCE27" w14:textId="77777777" w:rsidR="00C46965" w:rsidRPr="00953AAC" w:rsidRDefault="00C46965" w:rsidP="004E3DF0">
      <w:pPr>
        <w:spacing w:before="0" w:after="0" w:line="180" w:lineRule="exact"/>
        <w:jc w:val="center"/>
        <w:rPr>
          <w:rFonts w:ascii="Times New Roman" w:hAnsi="Times New Roman" w:cs="Times New Roman"/>
          <w:sz w:val="36"/>
          <w:szCs w:val="36"/>
          <w:lang w:val="es-MX"/>
        </w:rPr>
      </w:pPr>
    </w:p>
    <w:p w14:paraId="5296AFFE" w14:textId="158C2774" w:rsidR="00E074F5" w:rsidRDefault="00776D80" w:rsidP="00FF7584">
      <w:pPr>
        <w:spacing w:before="0" w:after="0" w:line="240" w:lineRule="auto"/>
        <w:jc w:val="center"/>
        <w:rPr>
          <w:rFonts w:ascii="Times New Roman" w:hAnsi="Times New Roman" w:cs="Times New Roman"/>
          <w:b/>
          <w:bCs/>
          <w:sz w:val="36"/>
          <w:szCs w:val="36"/>
          <w:lang w:val="es-MX"/>
        </w:rPr>
      </w:pPr>
      <w:r>
        <w:rPr>
          <w:rFonts w:ascii="Times New Roman" w:hAnsi="Times New Roman" w:cs="Times New Roman"/>
          <w:b/>
          <w:bCs/>
          <w:sz w:val="36"/>
          <w:szCs w:val="36"/>
          <w:lang w:val="es-MX"/>
        </w:rPr>
        <w:t>Toluca</w:t>
      </w:r>
      <w:r w:rsidR="00350DB1" w:rsidRPr="00350DB1">
        <w:rPr>
          <w:rFonts w:ascii="Times New Roman" w:hAnsi="Times New Roman" w:cs="Times New Roman"/>
          <w:b/>
          <w:bCs/>
          <w:sz w:val="36"/>
          <w:szCs w:val="36"/>
          <w:lang w:val="es-MX"/>
        </w:rPr>
        <w:t xml:space="preserve">, Estado de México, </w:t>
      </w:r>
      <w:r w:rsidR="009167CE" w:rsidRPr="009167CE">
        <w:rPr>
          <w:rFonts w:ascii="Times New Roman" w:hAnsi="Times New Roman" w:cs="Times New Roman"/>
          <w:b/>
          <w:bCs/>
          <w:sz w:val="36"/>
          <w:szCs w:val="36"/>
          <w:u w:val="single"/>
          <w:lang w:val="es-MX"/>
        </w:rPr>
        <w:t>2</w:t>
      </w:r>
      <w:r w:rsidR="00EE0B0C" w:rsidRPr="009167CE">
        <w:rPr>
          <w:rFonts w:ascii="Times New Roman" w:hAnsi="Times New Roman" w:cs="Times New Roman"/>
          <w:b/>
          <w:bCs/>
          <w:sz w:val="36"/>
          <w:szCs w:val="36"/>
          <w:u w:val="single"/>
          <w:lang w:val="es-MX"/>
        </w:rPr>
        <w:t>2</w:t>
      </w:r>
      <w:r w:rsidR="00C46965">
        <w:rPr>
          <w:rFonts w:ascii="Times New Roman" w:hAnsi="Times New Roman" w:cs="Times New Roman"/>
          <w:b/>
          <w:bCs/>
          <w:sz w:val="36"/>
          <w:szCs w:val="36"/>
          <w:lang w:val="es-MX"/>
        </w:rPr>
        <w:t xml:space="preserve"> de octubre de 2026</w:t>
      </w:r>
    </w:p>
    <w:p>
      <w:pPr>
        <w:sectPr>
          <w:headerReference w:type="default" r:id="rId10"/>
          <w:footerReference w:type="default" r:id="rId11"/>
          <w:pgSz w:w="12240" w:h="15840" w:code="1"/>
          <w:pgMar w:top="2381" w:right="1701" w:bottom="1418" w:left="1701" w:header="709" w:footer="709" w:gutter="0"/>
          <w:cols w:space="708"/>
          <w:docGrid w:linePitch="360"/>
        </w:sectPr>
      </w:pPr>
    </w:p>
    <w:p>
      <w:pPr>
        <w:pStyle w:val="Ttulo1"/>
        <w:keepNext/>
        <w:spacing w:line="264" w:lineRule="auto" w:before="280" w:after="120"/>
        <w:jc w:val="left"/>
      </w:pPr>
      <w:r>
        <w:rPr>
          <w:rFonts w:ascii="Times New Roman" w:hAnsi="Times New Roman"/>
          <w:b/>
          <w:i w:val="0"/>
          <w:color w:val="000000"/>
          <w:sz w:val="32"/>
          <w:rFonts w:ascii="Times New Roman" w:hAnsi="Times New Roman" w:cs="Times New Roman" w:eastAsia="Times New Roman"/>
        </w:rPr>
        <w:t>ÍNDICE DE CONTENIDO</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Espacio reservado para la inserción automática del Índice de Contenido mediante la herramienta oficial de Microsoft Word, accesible en la pestaña Referencias, sección Tabla de contenido. Todos los títulos de este documento han sido configurados bajo los estilos nativos Título 1, Título 2 y Título 3 en tipografía Times New Roman para su compilación inmediata.</w:t>
      </w:r>
    </w:p>
    <w:p>
      <w:r>
        <w:br w:type="page"/>
      </w:r>
    </w:p>
    <w:p>
      <w:pPr>
        <w:pStyle w:val="Ttulo1"/>
        <w:keepNext/>
        <w:spacing w:line="264" w:lineRule="auto" w:before="280" w:after="120"/>
        <w:jc w:val="left"/>
      </w:pPr>
      <w:r>
        <w:rPr>
          <w:rFonts w:ascii="Times New Roman" w:hAnsi="Times New Roman"/>
          <w:b/>
          <w:i w:val="0"/>
          <w:color w:val="000000"/>
          <w:sz w:val="32"/>
          <w:rFonts w:ascii="Times New Roman" w:hAnsi="Times New Roman" w:cs="Times New Roman" w:eastAsia="Times New Roman"/>
        </w:rPr>
        <w:t>1. INTRODUCCIÓN Y CONTEXTUALIZACIÓN INSTITUCIONAL</w:t>
      </w: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1.1 Propósito y Alcance del Informe de Avance</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El presente informe técnico documenta el primer corte de ejecución correspondiente al proyecto Nexus FI, diseñado para la Facultad de Ingeniería de la Universidad Autónoma del Estado de México. El propósito central del proyecto radica en proporcionar un asistente virtual inteligente sustentado en la arquitectura de Generación Aumentada por Recuperación, concebido para orientar de forma oportuna a la comunidad estudiantil de la Licenciatura en Ingeniería en Computación respecto a trámites escolares, opciones de titulación, servicio social, becas y normativa universitaria.</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A diferencia de herramientas comerciales genéricas, Nexus FI fundamenta sus respuestas exclusivamente en el acervo oficial verificado de la institución, citando de manera explícita los reglamentos y artículos aplicables para garantizar certeza jurídica y prevenir conjeturas.</w:t>
      </w: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1.2 Marco Metodológico y Alineación con la Estructura de Desglose del Trabajo</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El desarrollo del proyecto se fundamenta en las directrices del estándar PMBOK y responde fielmente al Plan de Gestión del Alcance estipulado en el documento maestro de planificación. Cada avance presentado en este informe se vincula de manera puntual con los paquetes de trabajo de la Estructura de Desglose del Trabajo, garantizando trazabilidad técnica, asignación clara de responsabilidades y supervisión de costos operativos.</w:t>
      </w: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1.3 Balance General de Ejecución y Desempeño Financiero</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En este primer corte de ejecución, el equipo consolidó la curaduría documental, la digitalización óptica local y la estructuración de fragmentos vectoriales, alcanzando la unificación operativa del código fuente en el repositorio central. En términos presupuestarios, se logró una estricta optimización de recursos, registrando cero pesos en adquisiciones de infraestructura fija para la Facultad y un gasto devengado de únicamente cuarenta y ocho centavos de dólar en servicios de nube para la vectorización de todo el acervo.</w:t>
      </w:r>
    </w:p>
    <w:p>
      <w:pPr>
        <w:spacing w:line="264" w:lineRule="auto" w:before="160" w:after="40"/>
        <w:jc w:val="left"/>
      </w:pPr>
      <w:r>
        <w:rPr>
          <w:rFonts w:ascii="Times New Roman" w:hAnsi="Times New Roman"/>
          <w:b/>
          <w:i w:val="0"/>
          <w:color w:val="000000"/>
          <w:sz w:val="22"/>
          <w:rFonts w:ascii="Times New Roman" w:hAnsi="Times New Roman" w:cs="Times New Roman" w:eastAsia="Times New Roman"/>
        </w:rPr>
        <w:t>Tabla 1.1: Resumen ejecutivo de avance físico y financiero por fase del proyecto.</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280"/>
        <w:gridCol w:w="2280"/>
        <w:gridCol w:w="2280"/>
        <w:gridCol w:w="2280"/>
      </w:tblGrid>
      <w:tr>
        <w:tc>
          <w:tcPr>
            <w:tcW w:type="dxa" w:w="2160"/>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Fase WBS</w:t>
            </w:r>
          </w:p>
        </w:tc>
        <w:tc>
          <w:tcPr>
            <w:tcW w:type="dxa" w:w="3312"/>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Alcance Programado</w:t>
            </w:r>
          </w:p>
        </w:tc>
        <w:tc>
          <w:tcPr>
            <w:tcW w:type="dxa" w:w="2592"/>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Estado Técnico</w:t>
            </w:r>
          </w:p>
        </w:tc>
        <w:tc>
          <w:tcPr>
            <w:tcW w:type="dxa" w:w="2016"/>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Presupuesto Devengado</w:t>
            </w:r>
          </w:p>
        </w:tc>
      </w:tr>
      <w:tr>
        <w:tc>
          <w:tcPr>
            <w:tcW w:type="dxa" w:w="216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1.1 Gestión del Proyecto</w:t>
            </w:r>
          </w:p>
        </w:tc>
        <w:tc>
          <w:tcPr>
            <w:tcW w:type="dxa" w:w="331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Líneas base, gobernanza y repositorio Git</w:t>
            </w:r>
          </w:p>
        </w:tc>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100% Completado en primer corte</w:t>
            </w:r>
          </w:p>
        </w:tc>
        <w:tc>
          <w:tcPr>
            <w:tcW w:type="dxa" w:w="201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$0.00 MXN</w:t>
            </w:r>
          </w:p>
        </w:tc>
      </w:tr>
      <w:tr>
        <w:tc>
          <w:tcPr>
            <w:tcW w:type="dxa" w:w="216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1.2 Análisis y Curaduría</w:t>
            </w:r>
          </w:p>
        </w:tc>
        <w:tc>
          <w:tcPr>
            <w:tcW w:type="dxa" w:w="331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Curaduría documental, OCR y segmentación RF08</w:t>
            </w:r>
          </w:p>
        </w:tc>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100% Acervo base procesado</w:t>
            </w:r>
          </w:p>
        </w:tc>
        <w:tc>
          <w:tcPr>
            <w:tcW w:type="dxa" w:w="201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$0.00 MXN mediante OCR local</w:t>
            </w:r>
          </w:p>
        </w:tc>
      </w:tr>
      <w:tr>
        <w:tc>
          <w:tcPr>
            <w:tcW w:type="dxa" w:w="216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1.3 Desarrollo Núcleo RAG</w:t>
            </w:r>
          </w:p>
        </w:tc>
        <w:tc>
          <w:tcPr>
            <w:tcW w:type="dxa" w:w="331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Base LanceDB, API REST FastAPI y PWA</w:t>
            </w:r>
          </w:p>
        </w:tc>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100% Operativo e integrado</w:t>
            </w:r>
          </w:p>
        </w:tc>
        <w:tc>
          <w:tcPr>
            <w:tcW w:type="dxa" w:w="201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$0.0485 USD en OpenAI API</w:t>
            </w:r>
          </w:p>
        </w:tc>
      </w:tr>
      <w:tr>
        <w:tc>
          <w:tcPr>
            <w:tcW w:type="dxa" w:w="216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1.4 Calidad y Telemetría</w:t>
            </w:r>
          </w:p>
        </w:tc>
        <w:tc>
          <w:tcPr>
            <w:tcW w:type="dxa" w:w="331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Pruebas CLI, auditoría de claves y setup</w:t>
            </w:r>
          </w:p>
        </w:tc>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100% Validado sin filtraciones</w:t>
            </w:r>
          </w:p>
        </w:tc>
        <w:tc>
          <w:tcPr>
            <w:tcW w:type="dxa" w:w="201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$0.00 MXN</w:t>
            </w:r>
          </w:p>
        </w:tc>
      </w:tr>
      <w:tr>
        <w:tc>
          <w:tcPr>
            <w:tcW w:type="dxa" w:w="216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1.5 Despliegue Cloud</w:t>
            </w:r>
          </w:p>
        </w:tc>
        <w:tc>
          <w:tcPr>
            <w:tcW w:type="dxa" w:w="331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Contenedores Docker y nube AWS S3 y ECS</w:t>
            </w:r>
          </w:p>
        </w:tc>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Programado para siguiente fase</w:t>
            </w:r>
          </w:p>
        </w:tc>
        <w:tc>
          <w:tcPr>
            <w:tcW w:type="dxa" w:w="201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Asignado a Fase 2 y 3</w:t>
            </w:r>
          </w:p>
        </w:tc>
      </w:tr>
    </w:tbl>
    <w:p>
      <w:pPr>
        <w:spacing w:after="80"/>
      </w:pPr>
    </w:p>
    <w:p>
      <w:pPr>
        <w:pStyle w:val="Ttulo1"/>
        <w:keepNext/>
        <w:spacing w:line="264" w:lineRule="auto" w:before="280" w:after="120"/>
        <w:jc w:val="left"/>
      </w:pPr>
      <w:r>
        <w:rPr>
          <w:rFonts w:ascii="Times New Roman" w:hAnsi="Times New Roman"/>
          <w:b/>
          <w:i w:val="0"/>
          <w:color w:val="000000"/>
          <w:sz w:val="32"/>
          <w:rFonts w:ascii="Times New Roman" w:hAnsi="Times New Roman" w:cs="Times New Roman" w:eastAsia="Times New Roman"/>
        </w:rPr>
        <w:t>2. GESTIÓN DEL PROYECTO Y GOBERNANZA - WBS 1.1</w:t>
      </w: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2.1 Dirección, Monitoreo y Control Integrado - WBS 1.1.4</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Bajo la coordinación del estudiante Fernando Azuara Ibarra como Project Manager, el Equipo 404 implementó una estrategia de recopilación documental descentralizada, estableciendo revisiones periódicas y resolviendo desviaciones operativas oportunamente. El Project Manager atendió la depuración de inconsistencias en los formatos de archivo originales y dirigió la consolidación técnica del código disperso en múltiples ramas de trabajo.</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En el marco de la gestión de la configuración, se administró el repositorio central en GitHub, coordinando la fusión de los módulos desarrollados por los integrantes hacia las ramas principales de integración y producción sin pérdidas de historial ni conflictos de versiones.</w:t>
      </w:r>
    </w:p>
    <w:p>
      <w:pPr>
        <w:spacing w:line="264" w:lineRule="auto" w:before="160" w:after="40"/>
        <w:jc w:val="left"/>
      </w:pPr>
      <w:r>
        <w:rPr>
          <w:rFonts w:ascii="Times New Roman" w:hAnsi="Times New Roman"/>
          <w:b/>
          <w:i w:val="0"/>
          <w:color w:val="000000"/>
          <w:sz w:val="22"/>
          <w:rFonts w:ascii="Times New Roman" w:hAnsi="Times New Roman" w:cs="Times New Roman" w:eastAsia="Times New Roman"/>
        </w:rPr>
        <w:t>Tabla 2.1: Registro de control de ramas, integración y versiones consolidadas.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280"/>
        <w:gridCol w:w="2280"/>
        <w:gridCol w:w="2280"/>
        <w:gridCol w:w="2280"/>
      </w:tblGrid>
      <w:tr>
        <w:tc>
          <w:tcPr>
            <w:tcW w:type="dxa" w:w="2592"/>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Rama de Origen</w:t>
            </w:r>
          </w:p>
        </w:tc>
        <w:tc>
          <w:tcPr>
            <w:tcW w:type="dxa" w:w="3312"/>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Componente Aportado</w:t>
            </w:r>
          </w:p>
        </w:tc>
        <w:tc>
          <w:tcPr>
            <w:tcW w:type="dxa" w:w="2448"/>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Responsable Técnico</w:t>
            </w:r>
          </w:p>
        </w:tc>
        <w:tc>
          <w:tcPr>
            <w:tcW w:type="dxa" w:w="2016"/>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Integración en Main</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feature/daniel-nexusfi-ui</w:t>
            </w:r>
          </w:p>
        </w:tc>
        <w:tc>
          <w:tcPr>
            <w:tcW w:type="dxa" w:w="331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Frontend PWA, estilos verde oro y dashboard</w:t>
            </w:r>
          </w:p>
        </w:tc>
        <w:tc>
          <w:tcPr>
            <w:tcW w:type="dxa" w:w="244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Daniel Aguilar Sánchez</w:t>
            </w:r>
          </w:p>
        </w:tc>
        <w:tc>
          <w:tcPr>
            <w:tcW w:type="dxa" w:w="201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Directorio frontend/</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API</w:t>
            </w:r>
          </w:p>
        </w:tc>
        <w:tc>
          <w:tcPr>
            <w:tcW w:type="dxa" w:w="331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Diagnósticos de API, guías y auditor de seguridad</w:t>
            </w:r>
          </w:p>
        </w:tc>
        <w:tc>
          <w:tcPr>
            <w:tcW w:type="dxa" w:w="244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Joaquín Ulises García Álvarez</w:t>
            </w:r>
          </w:p>
        </w:tc>
        <w:tc>
          <w:tcPr>
            <w:tcW w:type="dxa" w:w="201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Directorio backend/config_api/</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BaseVectorial</w:t>
            </w:r>
          </w:p>
        </w:tc>
        <w:tc>
          <w:tcPr>
            <w:tcW w:type="dxa" w:w="331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Pipeline de ingesta, 3,977 chunks y LanceDB</w:t>
            </w:r>
          </w:p>
        </w:tc>
        <w:tc>
          <w:tcPr>
            <w:tcW w:type="dxa" w:w="244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Equipo 404 y Fernando Azuara</w:t>
            </w:r>
          </w:p>
        </w:tc>
        <w:tc>
          <w:tcPr>
            <w:tcW w:type="dxa" w:w="201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nexus_ingestion/ y Procesados/</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main base</w:t>
            </w:r>
          </w:p>
        </w:tc>
        <w:tc>
          <w:tcPr>
            <w:tcW w:type="dxa" w:w="331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Telemetría DT-10 y verificación de credenciales</w:t>
            </w:r>
          </w:p>
        </w:tc>
        <w:tc>
          <w:tcPr>
            <w:tcW w:type="dxa" w:w="244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Ángel Israel De La Cruz Martínez</w:t>
            </w:r>
          </w:p>
        </w:tc>
        <w:tc>
          <w:tcPr>
            <w:tcW w:type="dxa" w:w="201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main.py y /api/health</w:t>
            </w:r>
          </w:p>
        </w:tc>
      </w:tr>
    </w:tbl>
    <w:p>
      <w:pPr>
        <w:spacing w:after="80"/>
      </w:pPr>
    </w:p>
    <w:p>
      <w:pPr>
        <w:pStyle w:val="Ttulo1"/>
        <w:keepNext/>
        <w:spacing w:line="264" w:lineRule="auto" w:before="280" w:after="120"/>
        <w:jc w:val="left"/>
      </w:pPr>
      <w:r>
        <w:rPr>
          <w:rFonts w:ascii="Times New Roman" w:hAnsi="Times New Roman"/>
          <w:b/>
          <w:i w:val="0"/>
          <w:color w:val="000000"/>
          <w:sz w:val="32"/>
          <w:rFonts w:ascii="Times New Roman" w:hAnsi="Times New Roman" w:cs="Times New Roman" w:eastAsia="Times New Roman"/>
        </w:rPr>
        <w:t>3. ANÁLISIS, CURADURÍA Y ESPECIFICACIÓN DEL ACERVO - WBS 1.2</w:t>
      </w: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3.1 Curaduría del Acervo Documental Institucional - WBS 1.2.1</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Con el objetivo de garantizar una cobertura representativa de los servicios y normativas de la Facultad, el equipo llevó a cabo una campaña de recolección física y digital documentada formalmente en la bitácora del proyecto. Cada área de información fue asignada a un estudiante responsable de compilar los reglamentos, planes de estudio y procedimientos administrativos correspondientes.</w:t>
      </w:r>
    </w:p>
    <w:p>
      <w:pPr>
        <w:spacing w:line="264" w:lineRule="auto" w:before="160" w:after="40"/>
        <w:jc w:val="left"/>
      </w:pPr>
      <w:r>
        <w:rPr>
          <w:rFonts w:ascii="Times New Roman" w:hAnsi="Times New Roman"/>
          <w:b/>
          <w:i w:val="0"/>
          <w:color w:val="000000"/>
          <w:sz w:val="22"/>
          <w:rFonts w:ascii="Times New Roman" w:hAnsi="Times New Roman" w:cs="Times New Roman" w:eastAsia="Times New Roman"/>
        </w:rPr>
        <w:t>Tabla 3.1: Matriz de recolección de acervo documental por área y responsable.</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040"/>
        <w:gridCol w:w="3040"/>
        <w:gridCol w:w="3040"/>
      </w:tblGrid>
      <w:tr>
        <w:tc>
          <w:tcPr>
            <w:tcW w:type="dxa" w:w="2592"/>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Responsable</w:t>
            </w:r>
          </w:p>
        </w:tc>
        <w:tc>
          <w:tcPr>
            <w:tcW w:type="dxa" w:w="2592"/>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Área Asignada</w:t>
            </w:r>
          </w:p>
        </w:tc>
        <w:tc>
          <w:tcPr>
            <w:tcW w:type="dxa" w:w="4896"/>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Documentos y Trámites Recolectados</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Aarón Nevid Domínguez Fuentes</w:t>
            </w:r>
          </w:p>
        </w:tc>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Legislación y Planes de Estudio</w:t>
            </w:r>
          </w:p>
        </w:tc>
        <w:tc>
          <w:tcPr>
            <w:tcW w:type="dxa" w:w="489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45 reglamentos de legislación universitaria, mapas curriculares y planes de estudio de la carrera.</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Azuleica Betsabel De La Cruz González</w:t>
            </w:r>
          </w:p>
        </w:tc>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Servicios Escolares e Instalaciones</w:t>
            </w:r>
          </w:p>
        </w:tc>
        <w:tc>
          <w:tcPr>
            <w:tcW w:type="dxa" w:w="489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Guías de Control Escolar, Laboratorio Digital de Idiomas, Sistema Bibliotecario y convenios institucionales.</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Joan Alexis Ocaña Martínez</w:t>
            </w:r>
          </w:p>
        </w:tc>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Movilidad Estudiantil</w:t>
            </w:r>
          </w:p>
        </w:tc>
        <w:tc>
          <w:tcPr>
            <w:tcW w:type="dxa" w:w="489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Lineamientos generales de movilidad, convocatorias intrainstitucionales, nacionales e internacionales.</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Joaquín Ulises García Álvarez</w:t>
            </w:r>
          </w:p>
        </w:tc>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Becas y Trámites Centrales</w:t>
            </w:r>
          </w:p>
        </w:tc>
        <w:tc>
          <w:tcPr>
            <w:tcW w:type="dxa" w:w="489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Convocatorias de becas UAEMéx, actividades culturales, derechos universitarios y trámites en Rectoría.</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Ángel Israel De La Cruz Martínez</w:t>
            </w:r>
          </w:p>
        </w:tc>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Actividades Deportivas</w:t>
            </w:r>
          </w:p>
        </w:tc>
        <w:tc>
          <w:tcPr>
            <w:tcW w:type="dxa" w:w="489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Convocatorias de promoción deportiva, torneos internos de bienvenida y activaciones físicas universitarias.</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Fernando Azuara Ibarra</w:t>
            </w:r>
          </w:p>
        </w:tc>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Coordinación y Gobernanza</w:t>
            </w:r>
          </w:p>
        </w:tc>
        <w:tc>
          <w:tcPr>
            <w:tcW w:type="dxa" w:w="489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Gestión integral de recolección, plantilla estandarizada de trámites y validación de autenticidad documental.</w:t>
            </w:r>
          </w:p>
        </w:tc>
      </w:tr>
    </w:tbl>
    <w:p>
      <w:pPr>
        <w:spacing w:after="80"/>
      </w:pP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3.2 Ingesta y Procesamiento de Contenido de Redes Sociales - WBS 1.2.1</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El estudiante Santiago Cuevas Sánchez desarrolló una herramienta técnica orientada a capturar y digitalizar la información dinámica difundida por la Facultad de Ingeniería en Facebook e Instagram. Su informe documenta que el intento inicial de navegación web directa enfrentó pantallas de bloqueo por autenticación obligatoria y riesgos de suspensión de cuentas por las políticas de seguridad de Meta.</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Para solucionar este desafío, Santiago diseñó un modelo desacoplado que utilizó scrapers en la nube mediante Apify y un pipeline local en Python denominado procesar_posts.py. El sistema descarga las imágenes institucionales con criterios de idempotencia para no duplicar archivos, descarta datos personales para resguardar la privacidad e integra el motor Tesseract OCR en español, logrando transcribir eficazmente convocatorias y carteles escolares.</w:t>
      </w:r>
    </w:p>
    <w:p>
      <w:pPr>
        <w:spacing w:line="264" w:lineRule="auto" w:before="160" w:after="40"/>
        <w:jc w:val="left"/>
      </w:pPr>
      <w:r>
        <w:rPr>
          <w:rFonts w:ascii="Times New Roman" w:hAnsi="Times New Roman"/>
          <w:b/>
          <w:i w:val="0"/>
          <w:color w:val="000000"/>
          <w:sz w:val="22"/>
          <w:rFonts w:ascii="Times New Roman" w:hAnsi="Times New Roman" w:cs="Times New Roman" w:eastAsia="Times New Roman"/>
        </w:rPr>
        <w:t>Tabla 3.2: Métricas de procesamiento de contenido de redes sociales oficiales.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520"/>
        <w:gridCol w:w="1520"/>
        <w:gridCol w:w="1520"/>
        <w:gridCol w:w="1520"/>
        <w:gridCol w:w="1520"/>
        <w:gridCol w:w="1520"/>
      </w:tblGrid>
      <w:tr>
        <w:tc>
          <w:tcPr>
            <w:tcW w:type="dxa" w:w="2592"/>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Canal Oficial</w:t>
            </w:r>
          </w:p>
        </w:tc>
        <w:tc>
          <w:tcPr>
            <w:tcW w:type="dxa" w:w="1440"/>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Posts Analizados</w:t>
            </w:r>
          </w:p>
        </w:tc>
        <w:tc>
          <w:tcPr>
            <w:tcW w:type="dxa" w:w="2592"/>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Tipología de Contenido</w:t>
            </w:r>
          </w:p>
        </w:tc>
        <w:tc>
          <w:tcPr>
            <w:tcW w:type="dxa" w:w="1584"/>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Portadas Descargadas</w:t>
            </w:r>
          </w:p>
        </w:tc>
        <w:tc>
          <w:tcPr>
            <w:tcW w:type="dxa" w:w="1152"/>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Textos OCR</w:t>
            </w:r>
          </w:p>
        </w:tc>
        <w:tc>
          <w:tcPr>
            <w:tcW w:type="dxa" w:w="720"/>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Fallas</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Facebook FIUAEM</w:t>
            </w:r>
          </w:p>
        </w:tc>
        <w:tc>
          <w:tcPr>
            <w:tcW w:type="dxa" w:w="144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5</w:t>
            </w:r>
          </w:p>
        </w:tc>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Directas, compartidas y video</w:t>
            </w:r>
          </w:p>
        </w:tc>
        <w:tc>
          <w:tcPr>
            <w:tcW w:type="dxa" w:w="158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20</w:t>
            </w:r>
          </w:p>
        </w:tc>
        <w:tc>
          <w:tcPr>
            <w:tcW w:type="dxa" w:w="115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6</w:t>
            </w:r>
          </w:p>
        </w:tc>
        <w:tc>
          <w:tcPr>
            <w:tcW w:type="dxa" w:w="72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0</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Instagram ingenieriauaemex</w:t>
            </w:r>
          </w:p>
        </w:tc>
        <w:tc>
          <w:tcPr>
            <w:tcW w:type="dxa" w:w="144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5</w:t>
            </w:r>
          </w:p>
        </w:tc>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Carruseles, video y avisos</w:t>
            </w:r>
          </w:p>
        </w:tc>
        <w:tc>
          <w:tcPr>
            <w:tcW w:type="dxa" w:w="158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5</w:t>
            </w:r>
          </w:p>
        </w:tc>
        <w:tc>
          <w:tcPr>
            <w:tcW w:type="dxa" w:w="115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3</w:t>
            </w:r>
          </w:p>
        </w:tc>
        <w:tc>
          <w:tcPr>
            <w:tcW w:type="dxa" w:w="72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0</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Total Evaluado</w:t>
            </w:r>
          </w:p>
        </w:tc>
        <w:tc>
          <w:tcPr>
            <w:tcW w:type="dxa" w:w="144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10</w:t>
            </w:r>
          </w:p>
        </w:tc>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Convocatorias e infografías</w:t>
            </w:r>
          </w:p>
        </w:tc>
        <w:tc>
          <w:tcPr>
            <w:tcW w:type="dxa" w:w="158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25</w:t>
            </w:r>
          </w:p>
        </w:tc>
        <w:tc>
          <w:tcPr>
            <w:tcW w:type="dxa" w:w="115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9</w:t>
            </w:r>
          </w:p>
        </w:tc>
        <w:tc>
          <w:tcPr>
            <w:tcW w:type="dxa" w:w="72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0</w:t>
            </w:r>
          </w:p>
        </w:tc>
      </w:tr>
    </w:tbl>
    <w:p>
      <w:pPr>
        <w:spacing w:after="80"/>
      </w:pP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Como recomendación técnica para la sostenibilidad del flujo de datos, Santiago subrayó la conveniencia de gestionar ante la Unidad de Comunicación de la Facultad el acceso formal a la Meta Graph API institucional o coordinar un repositorio compartido donde los diseñadores depositen los materiales gráficos al momento de publicarse.</w:t>
      </w: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3.3 Normalización, Extracción Híbrida y Segmentación - WBS 1.2.2</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La estructuración definitiva del acervo requirió una etapa de depuración en la que se descartaron ochenta y tres archivos residuales y descargas incompletas. Se construyó un pipeline de extracción híbrido capaz de procesar documentos digitales nativos y ejecutar reconocimiento óptico de caracteres para cuarenta y siete expedientes escaneados que sumaban seiscientas cincuenta páginas. Este procesamiento utilizó la biblioteca RapidOCR sobre ONNX Runtime, aprovechando procesamiento multihilo local sin generar costos externos.</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El acervo resultante reúne doscientos once documentos canónicos organizados en seis categorías temáticas. Para dar cumplimiento al requisito funcional RF08, se aplicó un algoritmo de segmentación estructural que dividió los textos en fragmentos de entre 132 y 674 tokens, manteniendo un solapamiento inter-párrafo del 15% para preservar el contexto normativo original.</w:t>
      </w:r>
    </w:p>
    <w:p>
      <w:pPr>
        <w:spacing w:line="264" w:lineRule="auto" w:before="160" w:after="40"/>
        <w:jc w:val="left"/>
      </w:pPr>
      <w:r>
        <w:rPr>
          <w:rFonts w:ascii="Times New Roman" w:hAnsi="Times New Roman"/>
          <w:b/>
          <w:i w:val="0"/>
          <w:color w:val="000000"/>
          <w:sz w:val="22"/>
          <w:rFonts w:ascii="Times New Roman" w:hAnsi="Times New Roman" w:cs="Times New Roman" w:eastAsia="Times New Roman"/>
        </w:rPr>
        <w:t>Tabla 3.3: Distribución del acervo documental por categoría temática procesada.</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280"/>
        <w:gridCol w:w="2280"/>
        <w:gridCol w:w="2280"/>
        <w:gridCol w:w="2280"/>
      </w:tblGrid>
      <w:tr>
        <w:tc>
          <w:tcPr>
            <w:tcW w:type="dxa" w:w="2592"/>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Código de Categoría</w:t>
            </w:r>
          </w:p>
        </w:tc>
        <w:tc>
          <w:tcPr>
            <w:tcW w:type="dxa" w:w="3888"/>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Descripción Temática Institucional</w:t>
            </w:r>
          </w:p>
        </w:tc>
        <w:tc>
          <w:tcPr>
            <w:tcW w:type="dxa" w:w="1728"/>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Documentos Canónicos</w:t>
            </w:r>
          </w:p>
        </w:tc>
        <w:tc>
          <w:tcPr>
            <w:tcW w:type="dxa" w:w="1872"/>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Total Fragmentos RF08</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01_Normativa_Universitaria</w:t>
            </w:r>
          </w:p>
        </w:tc>
        <w:tc>
          <w:tcPr>
            <w:tcW w:type="dxa" w:w="388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Estatutos, reglamentos generales y acuerdos de Consejo</w:t>
            </w:r>
          </w:p>
        </w:tc>
        <w:tc>
          <w:tcPr>
            <w:tcW w:type="dxa" w:w="172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45</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1,842</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02_Planes_de_Estudio_ICO</w:t>
            </w:r>
          </w:p>
        </w:tc>
        <w:tc>
          <w:tcPr>
            <w:tcW w:type="dxa" w:w="388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Mapas curriculares, unidades de aprendizaje y créditos</w:t>
            </w:r>
          </w:p>
        </w:tc>
        <w:tc>
          <w:tcPr>
            <w:tcW w:type="dxa" w:w="172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58</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890</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03_Becas_y_Apoyos</w:t>
            </w:r>
          </w:p>
        </w:tc>
        <w:tc>
          <w:tcPr>
            <w:tcW w:type="dxa" w:w="388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Convocatorias de becas institucionales y estímulos</w:t>
            </w:r>
          </w:p>
        </w:tc>
        <w:tc>
          <w:tcPr>
            <w:tcW w:type="dxa" w:w="172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38</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415</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04_Tramites_y_Servicios</w:t>
            </w:r>
          </w:p>
        </w:tc>
        <w:tc>
          <w:tcPr>
            <w:tcW w:type="dxa" w:w="388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Guías de titulación, servicio social y reinscripción</w:t>
            </w:r>
          </w:p>
        </w:tc>
        <w:tc>
          <w:tcPr>
            <w:tcW w:type="dxa" w:w="172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34</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380</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05_Instalaciones_y_Servicios</w:t>
            </w:r>
          </w:p>
        </w:tc>
        <w:tc>
          <w:tcPr>
            <w:tcW w:type="dxa" w:w="388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Reglamento bibliotecario, laboratorios y convenios</w:t>
            </w:r>
          </w:p>
        </w:tc>
        <w:tc>
          <w:tcPr>
            <w:tcW w:type="dxa" w:w="172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25</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312</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06_Coordinacion_ICO</w:t>
            </w:r>
          </w:p>
        </w:tc>
        <w:tc>
          <w:tcPr>
            <w:tcW w:type="dxa" w:w="388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Avisos de coordinación, contactos y directorios de área</w:t>
            </w:r>
          </w:p>
        </w:tc>
        <w:tc>
          <w:tcPr>
            <w:tcW w:type="dxa" w:w="172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11</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138</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Total Consolidado</w:t>
            </w:r>
          </w:p>
        </w:tc>
        <w:tc>
          <w:tcPr>
            <w:tcW w:type="dxa" w:w="388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Acervo Oficial Verificado de la Facultad de Ingeniería</w:t>
            </w:r>
          </w:p>
        </w:tc>
        <w:tc>
          <w:tcPr>
            <w:tcW w:type="dxa" w:w="172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211</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3,977</w:t>
            </w:r>
          </w:p>
        </w:tc>
      </w:tr>
    </w:tbl>
    <w:p>
      <w:pPr>
        <w:spacing w:after="80"/>
      </w:pP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3.4 Especificación y Calibración Anti-Alucinaciones - WBS 1.2.3</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Con el propósito de cumplir el requisito funcional RF13, se calibró experimentalmente el umbral de similitud semántica en un valor de 0.52 utilizando la métrica de similitud coseno. Los fragmentos que no alcancen dicho umbral son descartados automáticamente por el motor de búsqueda, activando un mensaje preventivo que orienta al alumno a acudir a las áreas físicas correspondientes.</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Asimismo, se satisfizo el requisito funcional RF09 sobre trazabilidad documental. Cada respuesta formulada por el sistema despliega obligatoriamente la referencia institucional completa, detallando el nombre del archivo, su categoría temática, el número de artículo y el intervalo de páginas.</w:t>
      </w:r>
    </w:p>
    <w:p>
      <w:pPr>
        <w:pStyle w:val="Ttulo1"/>
        <w:keepNext/>
        <w:spacing w:line="264" w:lineRule="auto" w:before="280" w:after="120"/>
        <w:jc w:val="left"/>
      </w:pPr>
      <w:r>
        <w:rPr>
          <w:rFonts w:ascii="Times New Roman" w:hAnsi="Times New Roman"/>
          <w:b/>
          <w:i w:val="0"/>
          <w:color w:val="000000"/>
          <w:sz w:val="32"/>
          <w:rFonts w:ascii="Times New Roman" w:hAnsi="Times New Roman" w:cs="Times New Roman" w:eastAsia="Times New Roman"/>
        </w:rPr>
        <w:t>4. DESARROLLO TÉCNICO DEL NÚCLEO RAG E INTERFACES - WBS 1.3</w:t>
      </w: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4.1 Provisión del Repositorio Vectorial - WBS 1.3.1</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Para el almacenamiento y consulta de alta velocidad de los vectores semánticos, el equipo implementó la base de datos vectorial LanceDB. Esta tecnología serverless trabaja directamente sobre disco y memoria mediante el formato columnar de Apache Arrow, ofreciendo tiempos de respuesta inferiores a cincuenta milisegundos sin requerir servidores adicionales.</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La tabla denominada nexus_documents fue poblada con los 3,977 fragmentos procesados empleando el modelo text-embedding-3-small de OpenAI en 1,536 dimensiones. La indexación completa concluyó en setenta y cuatro segundos con un costo total de 0.0485 dólares estadounidenses.</w:t>
      </w: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4.2 Pipeline Automatizado de Ingesta - WBS 1.3.2</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Se desarrolló el paquete interno nexus_ingestion, integrado por módulos específicos para la extracción de texto, limpieza de codificación, segmentación controlada por tokens, generación de embeddings con reintentos automáticos y persistencia idempotente en la base de datos vectorial para prevenir duplicados.</w:t>
      </w: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4.3 Orquestador RAG y Servidor REST - WBS 1.3.3</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La lógica de negocio se consolidó mediante FastAPI en el backend del proyecto. El servidor publica el endpoint principal /api/chat, responsable de vectorizar las preguntas, consultar LanceDB bajo el umbral de 0.52 y solicitar la síntesis contextual al modelo generativo. Adicionalmente, se habilitaron los servicios /api/health para diagnóstico del sistema y /api/stats para publicar estadísticas del acervo.</w:t>
      </w: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4.4 Interfaz Webchat y Tablero de Control PWA - WBS 1.3.4</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El estudiante Daniel Aguilar Sánchez dirigió el diseño y desarrollo de las interfaces de usuario del proyecto. Su labor comprendió la creación de dos entornos: una interfaz conversacional para los alumnos y un panel de métricas para la administración institucional.</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El desarrollo mantuvo una separación limpia entre estructura HTML, estilos visuales en CSS e interacciones en JavaScript. La presentación visual integró la paleta institucional verde oro (#006747 y #D5A62E), asegurando adaptabilidad a dispositivos móviles y computadoras de escritorio. Daniel incorporó la base para una aplicación web progresiva mediante un archivo de manifiesto, un icono en formato SVG y un service worker para la gestión de recursos en memoria local.</w:t>
      </w:r>
    </w:p>
    <w:p>
      <w:pPr>
        <w:spacing w:line="264" w:lineRule="auto" w:before="160" w:after="40"/>
        <w:jc w:val="left"/>
      </w:pPr>
      <w:r>
        <w:rPr>
          <w:rFonts w:ascii="Times New Roman" w:hAnsi="Times New Roman"/>
          <w:b/>
          <w:i w:val="0"/>
          <w:color w:val="000000"/>
          <w:sz w:val="22"/>
          <w:rFonts w:ascii="Times New Roman" w:hAnsi="Times New Roman" w:cs="Times New Roman" w:eastAsia="Times New Roman"/>
        </w:rPr>
        <w:t>Tabla 4.1: Componentes y responsabilidades de la interfaz de usuario PWA.</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040"/>
        <w:gridCol w:w="3040"/>
        <w:gridCol w:w="3040"/>
      </w:tblGrid>
      <w:tr>
        <w:tc>
          <w:tcPr>
            <w:tcW w:type="dxa" w:w="2592"/>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Recurso de Frontend</w:t>
            </w:r>
          </w:p>
        </w:tc>
        <w:tc>
          <w:tcPr>
            <w:tcW w:type="dxa" w:w="3312"/>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Propósito en la Arquitectura</w:t>
            </w:r>
          </w:p>
        </w:tc>
        <w:tc>
          <w:tcPr>
            <w:tcW w:type="dxa" w:w="4176"/>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Funcionalidad Integrada con Backend</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index.html</w:t>
            </w:r>
          </w:p>
        </w:tc>
        <w:tc>
          <w:tcPr>
            <w:tcW w:type="dxa" w:w="331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Estructura principal del chat para alumnos</w:t>
            </w:r>
          </w:p>
        </w:tc>
        <w:tc>
          <w:tcPr>
            <w:tcW w:type="dxa" w:w="417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Feed de conversación, barra de mensajes, accesos rápidos a trámites.</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dashboard.html</w:t>
            </w:r>
          </w:p>
        </w:tc>
        <w:tc>
          <w:tcPr>
            <w:tcW w:type="dxa" w:w="331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Tablero de indicadores administrativos</w:t>
            </w:r>
          </w:p>
        </w:tc>
        <w:tc>
          <w:tcPr>
            <w:tcW w:type="dxa" w:w="417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Visualización de consultas, latencia, disponibilidad y distribución de temas.</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styles.css</w:t>
            </w:r>
          </w:p>
        </w:tc>
        <w:tc>
          <w:tcPr>
            <w:tcW w:type="dxa" w:w="331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Sistema de diseño e identidad UAEMéx</w:t>
            </w:r>
          </w:p>
        </w:tc>
        <w:tc>
          <w:tcPr>
            <w:tcW w:type="dxa" w:w="417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Variables visuales verde oro, tipografías y reglas de diseño responsivo.</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app.js</w:t>
            </w:r>
          </w:p>
        </w:tc>
        <w:tc>
          <w:tcPr>
            <w:tcW w:type="dxa" w:w="331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Lógica de cliente y comunicación asíncrona</w:t>
            </w:r>
          </w:p>
        </w:tc>
        <w:tc>
          <w:tcPr>
            <w:tcW w:type="dxa" w:w="417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Consumo dinámico de /api/chat, renderizado de citas RF09 y modo offline.</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manifest.webmanifest</w:t>
            </w:r>
          </w:p>
        </w:tc>
        <w:tc>
          <w:tcPr>
            <w:tcW w:type="dxa" w:w="331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Metadatos de instalación móvil</w:t>
            </w:r>
          </w:p>
        </w:tc>
        <w:tc>
          <w:tcPr>
            <w:tcW w:type="dxa" w:w="417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Habilita la instalación como aplicación nativa en teléfonos y tabletas.</w:t>
            </w:r>
          </w:p>
        </w:tc>
      </w:tr>
      <w:tr>
        <w:tc>
          <w:tcPr>
            <w:tcW w:type="dxa" w:w="259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service-worker.js</w:t>
            </w:r>
          </w:p>
        </w:tc>
        <w:tc>
          <w:tcPr>
            <w:tcW w:type="dxa" w:w="331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Estrategia de caché y disponibilidad</w:t>
            </w:r>
          </w:p>
        </w:tc>
        <w:tc>
          <w:tcPr>
            <w:tcW w:type="dxa" w:w="417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Almacenamiento local de recursos estáticos para acelerar la carga.</w:t>
            </w:r>
          </w:p>
        </w:tc>
      </w:tr>
    </w:tbl>
    <w:p>
      <w:pPr>
        <w:spacing w:after="80"/>
      </w:pP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Durante la integración, el equipo enriqueció el archivo app.js para enlazar las consultas de los usuarios con el servidor real mediante peticiones asíncronas. La interfaz muestra dinámicamente las fuentes normativas consultadas junto con el porcentaje de similitud semántica, manteniendo las respuestas locales predefinidas como mecanismo de respaldo ante desconexiones.</w:t>
      </w: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4.5 Ciberseguridad, Gestión de Credenciales y Telemetría - WBS 1.3.5</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La seguridad perimetral constituyó una prioridad técnica. El estudiante Joaquín Ulises García Álvarez elaboró los manuales para la administración segura de credenciales, desarrollando scripts de diagnóstico de latencia y el catálogo de modelos compatibles en la rama API. Joaquín diseñó también un script de auditoría preventiva para revisar el código antes de subir cambios a Git.</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El estudiante Ángel Israel De La Cruz Martínez desarrolló y validó el módulo DT-10 de Seguridad y Telemetría. Ángel aseguró la carga protegida de parámetros confidenciales mediante variables de entorno en archivos excluidos del repositorio central, registrando una latencia de conexión de 2.1 segundos hacia los servicios de inferencia.</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Para responder al requerimiento de generar reportes contables y métricas de consumo independientes por servicio, el sistema se actualizó estableciendo una segregación estricta de cuatro claves de acceso a nivel de infraestructura, garantizando que el gasto de vectorización no se combine con las consultas del chat ni con las pruebas de modelos avanzados.</w:t>
      </w:r>
    </w:p>
    <w:p>
      <w:pPr>
        <w:spacing w:line="264" w:lineRule="auto" w:before="160" w:after="40"/>
        <w:jc w:val="left"/>
      </w:pPr>
      <w:r>
        <w:rPr>
          <w:rFonts w:ascii="Times New Roman" w:hAnsi="Times New Roman"/>
          <w:b/>
          <w:i w:val="0"/>
          <w:color w:val="000000"/>
          <w:sz w:val="22"/>
          <w:rFonts w:ascii="Times New Roman" w:hAnsi="Times New Roman" w:cs="Times New Roman" w:eastAsia="Times New Roman"/>
        </w:rPr>
        <w:t>Tabla 4.2: Matriz de claves de API segregadas y asignación por servicio.</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280"/>
        <w:gridCol w:w="2280"/>
        <w:gridCol w:w="2280"/>
        <w:gridCol w:w="2280"/>
      </w:tblGrid>
      <w:tr>
        <w:tc>
          <w:tcPr>
            <w:tcW w:type="dxa" w:w="3024"/>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Identificador de Variable</w:t>
            </w:r>
          </w:p>
        </w:tc>
        <w:tc>
          <w:tcPr>
            <w:tcW w:type="dxa" w:w="3168"/>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Propósito Operativo</w:t>
            </w:r>
          </w:p>
        </w:tc>
        <w:tc>
          <w:tcPr>
            <w:tcW w:type="dxa" w:w="2016"/>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Modelo Vinculado</w:t>
            </w:r>
          </w:p>
        </w:tc>
        <w:tc>
          <w:tcPr>
            <w:tcW w:type="dxa" w:w="1872"/>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Aislamiento Contable</w:t>
            </w:r>
          </w:p>
        </w:tc>
      </w:tr>
      <w:tr>
        <w:tc>
          <w:tcPr>
            <w:tcW w:type="dxa" w:w="302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OPENAI_API_KEY_EMBEDDINGS</w:t>
            </w:r>
          </w:p>
        </w:tc>
        <w:tc>
          <w:tcPr>
            <w:tcW w:type="dxa" w:w="316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Vectorización del acervo y consultas</w:t>
            </w:r>
          </w:p>
        </w:tc>
        <w:tc>
          <w:tcPr>
            <w:tcW w:type="dxa" w:w="201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text-embedding-3-small</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Factura únicamente generación de vectores densos.</w:t>
            </w:r>
          </w:p>
        </w:tc>
      </w:tr>
      <w:tr>
        <w:tc>
          <w:tcPr>
            <w:tcW w:type="dxa" w:w="302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OPENAI_API_KEY_CHAT_4O_MINI</w:t>
            </w:r>
          </w:p>
        </w:tc>
        <w:tc>
          <w:tcPr>
            <w:tcW w:type="dxa" w:w="316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Inferencia y respuestas en producción</w:t>
            </w:r>
          </w:p>
        </w:tc>
        <w:tc>
          <w:tcPr>
            <w:tcW w:type="dxa" w:w="201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gpt-4o-mini</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Registra consumo de tokens de entrada y salida del chat.</w:t>
            </w:r>
          </w:p>
        </w:tc>
      </w:tr>
      <w:tr>
        <w:tc>
          <w:tcPr>
            <w:tcW w:type="dxa" w:w="302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OPENAI_API_KEY_GPT6_LUNA</w:t>
            </w:r>
          </w:p>
        </w:tc>
        <w:tc>
          <w:tcPr>
            <w:tcW w:type="dxa" w:w="316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Experimentación y pruebas avanzadas</w:t>
            </w:r>
          </w:p>
        </w:tc>
        <w:tc>
          <w:tcPr>
            <w:tcW w:type="dxa" w:w="201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Nexus FI GPT 6 Luna</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Aísla pruebas de rendimiento en modelos avanzados.</w:t>
            </w:r>
          </w:p>
        </w:tc>
      </w:tr>
      <w:tr>
        <w:tc>
          <w:tcPr>
            <w:tcW w:type="dxa" w:w="302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OPENAI_API_KEY_GPT5_6_LUNA</w:t>
            </w:r>
          </w:p>
        </w:tc>
        <w:tc>
          <w:tcPr>
            <w:tcW w:type="dxa" w:w="316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Evaluación comparativa de razonamiento</w:t>
            </w:r>
          </w:p>
        </w:tc>
        <w:tc>
          <w:tcPr>
            <w:tcW w:type="dxa" w:w="201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Nexus FI GPT 5.6 Luna</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Monitorea costo de evaluaciones de alta complejidad.</w:t>
            </w:r>
          </w:p>
        </w:tc>
      </w:tr>
    </w:tbl>
    <w:p>
      <w:pPr>
        <w:spacing w:after="80"/>
      </w:pPr>
    </w:p>
    <w:p>
      <w:pPr>
        <w:pStyle w:val="Ttulo1"/>
        <w:keepNext/>
        <w:spacing w:line="264" w:lineRule="auto" w:before="280" w:after="120"/>
        <w:jc w:val="left"/>
      </w:pPr>
      <w:r>
        <w:rPr>
          <w:rFonts w:ascii="Times New Roman" w:hAnsi="Times New Roman"/>
          <w:b/>
          <w:i w:val="0"/>
          <w:color w:val="000000"/>
          <w:sz w:val="32"/>
          <w:rFonts w:ascii="Times New Roman" w:hAnsi="Times New Roman" w:cs="Times New Roman" w:eastAsia="Times New Roman"/>
        </w:rPr>
        <w:t>5. CALIDAD, AUDITORÍA Y AUTOMATIZACIÓN - WBS 1.4</w:t>
      </w: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5.1 Pruebas de Recuperación Semántica - WBS 1.4.1</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Se ejecutaron pruebas directas en terminal para evaluar la certeza de recuperación ante preguntas comunes de los alumnos. Las evaluaciones confirmaron que las consultas sobre servicio social y titulación localizan los artículos adecuados con una similitud coseno superior al 62%, completando la búsqueda en menos de setecientos milisegundos.</w:t>
      </w:r>
    </w:p>
    <w:p>
      <w:pPr>
        <w:spacing w:line="264" w:lineRule="auto" w:before="160" w:after="40"/>
        <w:jc w:val="left"/>
      </w:pPr>
      <w:r>
        <w:rPr>
          <w:rFonts w:ascii="Times New Roman" w:hAnsi="Times New Roman"/>
          <w:b/>
          <w:i w:val="0"/>
          <w:color w:val="000000"/>
          <w:sz w:val="22"/>
          <w:rFonts w:ascii="Times New Roman" w:hAnsi="Times New Roman" w:cs="Times New Roman" w:eastAsia="Times New Roman"/>
        </w:rPr>
        <w:t>Tabla 5.1: Resultados de pruebas de similitud semántica y control de alucinaciones.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824"/>
        <w:gridCol w:w="1824"/>
        <w:gridCol w:w="1824"/>
        <w:gridCol w:w="1824"/>
        <w:gridCol w:w="1824"/>
      </w:tblGrid>
      <w:tr>
        <w:tc>
          <w:tcPr>
            <w:tcW w:type="dxa" w:w="2880"/>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Consulta de Prueba Evaluada</w:t>
            </w:r>
          </w:p>
        </w:tc>
        <w:tc>
          <w:tcPr>
            <w:tcW w:type="dxa" w:w="3168"/>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Documento Oficial Recuperado</w:t>
            </w:r>
          </w:p>
        </w:tc>
        <w:tc>
          <w:tcPr>
            <w:tcW w:type="dxa" w:w="1584"/>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Similitud Coseno</w:t>
            </w:r>
          </w:p>
        </w:tc>
        <w:tc>
          <w:tcPr>
            <w:tcW w:type="dxa" w:w="1296"/>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Tiempo de Búsqueda</w:t>
            </w:r>
          </w:p>
        </w:tc>
        <w:tc>
          <w:tcPr>
            <w:tcW w:type="dxa" w:w="1152"/>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Dictamen RF13</w:t>
            </w:r>
          </w:p>
        </w:tc>
      </w:tr>
      <w:tr>
        <w:tc>
          <w:tcPr>
            <w:tcW w:type="dxa" w:w="288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¿Requisitos para iniciar servicio social?</w:t>
            </w:r>
          </w:p>
        </w:tc>
        <w:tc>
          <w:tcPr>
            <w:tcW w:type="dxa" w:w="316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Reglamento del Servicio Social de la UAEMéx</w:t>
            </w:r>
          </w:p>
        </w:tc>
        <w:tc>
          <w:tcPr>
            <w:tcW w:type="dxa" w:w="158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0.6466 (64.7%)</w:t>
            </w:r>
          </w:p>
        </w:tc>
        <w:tc>
          <w:tcPr>
            <w:tcW w:type="dxa" w:w="129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653 ms</w:t>
            </w:r>
          </w:p>
        </w:tc>
        <w:tc>
          <w:tcPr>
            <w:tcW w:type="dxa" w:w="115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Aprobado mayor a 0.52</w:t>
            </w:r>
          </w:p>
        </w:tc>
      </w:tr>
      <w:tr>
        <w:tc>
          <w:tcPr>
            <w:tcW w:type="dxa" w:w="288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¿Cuáles son las opciones de titulación en ICO?</w:t>
            </w:r>
          </w:p>
        </w:tc>
        <w:tc>
          <w:tcPr>
            <w:tcW w:type="dxa" w:w="316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Reglamento de Estudios Profesionales</w:t>
            </w:r>
          </w:p>
        </w:tc>
        <w:tc>
          <w:tcPr>
            <w:tcW w:type="dxa" w:w="158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0.6297 (63.0%)</w:t>
            </w:r>
          </w:p>
        </w:tc>
        <w:tc>
          <w:tcPr>
            <w:tcW w:type="dxa" w:w="129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558 ms</w:t>
            </w:r>
          </w:p>
        </w:tc>
        <w:tc>
          <w:tcPr>
            <w:tcW w:type="dxa" w:w="115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Aprobado mayor a 0.52</w:t>
            </w:r>
          </w:p>
        </w:tc>
      </w:tr>
      <w:tr>
        <w:tc>
          <w:tcPr>
            <w:tcW w:type="dxa" w:w="288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¿Procedimiento de revalidación de estudios?</w:t>
            </w:r>
          </w:p>
        </w:tc>
        <w:tc>
          <w:tcPr>
            <w:tcW w:type="dxa" w:w="316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Reglamento de Estudios Profesionales</w:t>
            </w:r>
          </w:p>
        </w:tc>
        <w:tc>
          <w:tcPr>
            <w:tcW w:type="dxa" w:w="158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0.5835 (58.4%)</w:t>
            </w:r>
          </w:p>
        </w:tc>
        <w:tc>
          <w:tcPr>
            <w:tcW w:type="dxa" w:w="129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480 ms</w:t>
            </w:r>
          </w:p>
        </w:tc>
        <w:tc>
          <w:tcPr>
            <w:tcW w:type="dxa" w:w="115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Aprobado mayor a 0.52</w:t>
            </w:r>
          </w:p>
        </w:tc>
      </w:tr>
      <w:tr>
        <w:tc>
          <w:tcPr>
            <w:tcW w:type="dxa" w:w="288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¿Venta de boletos de avión en cafetería?</w:t>
            </w:r>
          </w:p>
        </w:tc>
        <w:tc>
          <w:tcPr>
            <w:tcW w:type="dxa" w:w="3168"/>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Ninguno superó el umbral institucional</w:t>
            </w:r>
          </w:p>
        </w:tc>
        <w:tc>
          <w:tcPr>
            <w:tcW w:type="dxa" w:w="158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Menor a 0.35</w:t>
            </w:r>
          </w:p>
        </w:tc>
        <w:tc>
          <w:tcPr>
            <w:tcW w:type="dxa" w:w="1296"/>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120 ms</w:t>
            </w:r>
          </w:p>
        </w:tc>
        <w:tc>
          <w:tcPr>
            <w:tcW w:type="dxa" w:w="115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Rechazado previene alucinación</w:t>
            </w:r>
          </w:p>
        </w:tc>
      </w:tr>
    </w:tbl>
    <w:p>
      <w:pPr>
        <w:spacing w:after="80"/>
      </w:pP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5.2 Auditoría de Seguridad y Repositorio - WBS 1.4.2</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Previo a la publicación definitiva de código en GitHub, se corrió la herramienta de auditoría automatizada incluida en el comando python main.py --audit. La revisión certificó la ausencia de credenciales en el código fuente, la protección del archivo local de variables confidenciales y la existencia de una plantilla pública de configuración para los integrantes del equipo.</w:t>
      </w: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5.3 Automatización del Despliegue en Estaciones de Trabajo - WBS 1.4.3</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Con el objetivo de facilitar la ejecución del sistema en cualquier equipo de cómputo sin configuraciones manuales complejas, se crearon scripts de automatización. El instalador setup.bat detecta la presencia de Python, crea el entorno virtual, descarga las dependencias necesarias, inicializa la plantilla de configuración y valida la base vectorial. Para el uso cotidiano, el lanzador start.bat levanta el servidor web y abre automáticamente el navegador, complementado por su versión en script de shell para Linux y servidores cloud.</w:t>
      </w:r>
    </w:p>
    <w:p>
      <w:pPr>
        <w:pStyle w:val="Ttulo1"/>
        <w:keepNext/>
        <w:spacing w:line="264" w:lineRule="auto" w:before="280" w:after="120"/>
        <w:jc w:val="left"/>
      </w:pPr>
      <w:r>
        <w:rPr>
          <w:rFonts w:ascii="Times New Roman" w:hAnsi="Times New Roman"/>
          <w:b/>
          <w:i w:val="0"/>
          <w:color w:val="000000"/>
          <w:sz w:val="32"/>
          <w:rFonts w:ascii="Times New Roman" w:hAnsi="Times New Roman" w:cs="Times New Roman" w:eastAsia="Times New Roman"/>
        </w:rPr>
        <w:t>6. MATRIZ INTEGRAL DE RESPONSABILIDADES Y CONTRIBUCIONES</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La tabla siguiente detalla la correspondencia entre los estudiantes del Equipo 404, sus funciones en el proyecto y los paquetes de trabajo del WBS cubiertos satisfactoriamente en este primer corte de ejecución.</w:t>
      </w:r>
    </w:p>
    <w:p>
      <w:pPr>
        <w:spacing w:line="264" w:lineRule="auto" w:before="160" w:after="40"/>
        <w:jc w:val="left"/>
      </w:pPr>
      <w:r>
        <w:rPr>
          <w:rFonts w:ascii="Times New Roman" w:hAnsi="Times New Roman"/>
          <w:b/>
          <w:i w:val="0"/>
          <w:color w:val="000000"/>
          <w:sz w:val="22"/>
          <w:rFonts w:ascii="Times New Roman" w:hAnsi="Times New Roman" w:cs="Times New Roman" w:eastAsia="Times New Roman"/>
        </w:rPr>
        <w:t>Tabla 6.1: Matriz integral de responsabilidades y entregables por integrante del Equipo 404.</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280"/>
        <w:gridCol w:w="2280"/>
        <w:gridCol w:w="2280"/>
        <w:gridCol w:w="2280"/>
      </w:tblGrid>
      <w:tr>
        <w:tc>
          <w:tcPr>
            <w:tcW w:type="dxa" w:w="2160"/>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Integrante</w:t>
            </w:r>
          </w:p>
        </w:tc>
        <w:tc>
          <w:tcPr>
            <w:tcW w:type="dxa" w:w="2304"/>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Rol Asignado en Equipo 404</w:t>
            </w:r>
          </w:p>
        </w:tc>
        <w:tc>
          <w:tcPr>
            <w:tcW w:type="dxa" w:w="1872"/>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Paquetes WBS Cubiertos</w:t>
            </w:r>
          </w:p>
        </w:tc>
        <w:tc>
          <w:tcPr>
            <w:tcW w:type="dxa" w:w="3744"/>
            <w:shd w:val="clear" w:color="auto" w:fill="D1D1D1"/>
            <w:tcMar>
              <w:top w:w="80" w:type="dxa"/>
              <w:bottom w:w="80" w:type="dxa"/>
              <w:left w:w="120" w:type="dxa"/>
              <w:right w:w="120" w:type="dxa"/>
            </w:tcMar>
          </w:tcPr>
          <w:p>
            <w:pPr>
              <w:spacing w:line="264" w:lineRule="auto" w:before="40" w:after="40"/>
              <w:jc w:val="center"/>
            </w:pPr>
            <w:r>
              <w:rPr>
                <w:rFonts w:ascii="Times New Roman" w:hAnsi="Times New Roman"/>
                <w:b/>
                <w:i w:val="0"/>
                <w:color w:val="000000"/>
                <w:sz w:val="19"/>
                <w:rFonts w:ascii="Times New Roman" w:hAnsi="Times New Roman" w:cs="Times New Roman" w:eastAsia="Times New Roman"/>
              </w:rPr>
              <w:t>Entregables Concretos Verificados</w:t>
            </w:r>
          </w:p>
        </w:tc>
      </w:tr>
      <w:tr>
        <w:tc>
          <w:tcPr>
            <w:tcW w:type="dxa" w:w="216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Fernando Azuara Ibarra</w:t>
            </w:r>
          </w:p>
        </w:tc>
        <w:tc>
          <w:tcPr>
            <w:tcW w:type="dxa" w:w="230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Project Manager e Integración</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1.1.4, 1.2.2, 1.3.1, 1.3.3, 1.4.3</w:t>
            </w:r>
          </w:p>
        </w:tc>
        <w:tc>
          <w:tcPr>
            <w:tcW w:type="dxa" w:w="374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Gobernanza general, pipeline OCR local, base LanceDB, backend FastAPI y scripts setup.</w:t>
            </w:r>
          </w:p>
        </w:tc>
      </w:tr>
      <w:tr>
        <w:tc>
          <w:tcPr>
            <w:tcW w:type="dxa" w:w="216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Santiago Cuevas Sánchez</w:t>
            </w:r>
          </w:p>
        </w:tc>
        <w:tc>
          <w:tcPr>
            <w:tcW w:type="dxa" w:w="230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Ingeniería de Datos y Redes</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1.2.1, 1.2.2</w:t>
            </w:r>
          </w:p>
        </w:tc>
        <w:tc>
          <w:tcPr>
            <w:tcW w:type="dxa" w:w="374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Pipeline Apify con base SQLite y OCR Tesseract para publicaciones oficiales de redes sociales.</w:t>
            </w:r>
          </w:p>
        </w:tc>
      </w:tr>
      <w:tr>
        <w:tc>
          <w:tcPr>
            <w:tcW w:type="dxa" w:w="216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Aarón Nevid Domínguez Fuentes</w:t>
            </w:r>
          </w:p>
        </w:tc>
        <w:tc>
          <w:tcPr>
            <w:tcW w:type="dxa" w:w="230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Curaduría Normativa y Mallas</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1.2.1</w:t>
            </w:r>
          </w:p>
        </w:tc>
        <w:tc>
          <w:tcPr>
            <w:tcW w:type="dxa" w:w="374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Recopilación de 45 reglamentos universitarios y planes curriculares de la carrera.</w:t>
            </w:r>
          </w:p>
        </w:tc>
      </w:tr>
      <w:tr>
        <w:tc>
          <w:tcPr>
            <w:tcW w:type="dxa" w:w="216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Joaquín Ulises García Álvarez</w:t>
            </w:r>
          </w:p>
        </w:tc>
        <w:tc>
          <w:tcPr>
            <w:tcW w:type="dxa" w:w="230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Seguridad de API y Trámites</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1.2.1, 1.3.5, 1.4.2</w:t>
            </w:r>
          </w:p>
        </w:tc>
        <w:tc>
          <w:tcPr>
            <w:tcW w:type="dxa" w:w="374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Guías de gestión segura de API, herramientas de diagnóstico, catálogo de modelos y trámites.</w:t>
            </w:r>
          </w:p>
        </w:tc>
      </w:tr>
      <w:tr>
        <w:tc>
          <w:tcPr>
            <w:tcW w:type="dxa" w:w="216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Daniel Aguilar Sánchez</w:t>
            </w:r>
          </w:p>
        </w:tc>
        <w:tc>
          <w:tcPr>
            <w:tcW w:type="dxa" w:w="230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Desarrollo Frontend e Interfaz</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1.3.4</w:t>
            </w:r>
          </w:p>
        </w:tc>
        <w:tc>
          <w:tcPr>
            <w:tcW w:type="dxa" w:w="374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Plantillas visuales responsivas del chatbot y panel de control con soporte PWA institucional.</w:t>
            </w:r>
          </w:p>
        </w:tc>
      </w:tr>
      <w:tr>
        <w:tc>
          <w:tcPr>
            <w:tcW w:type="dxa" w:w="216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Zuleica Betsabel De La Cruz González</w:t>
            </w:r>
          </w:p>
        </w:tc>
        <w:tc>
          <w:tcPr>
            <w:tcW w:type="dxa" w:w="230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Servicios Escolares y Convenios</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1.2.1</w:t>
            </w:r>
          </w:p>
        </w:tc>
        <w:tc>
          <w:tcPr>
            <w:tcW w:type="dxa" w:w="374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Curaduría documental de Control Escolar, Laboratorio Digital, Biblioteca y Convenios.</w:t>
            </w:r>
          </w:p>
        </w:tc>
      </w:tr>
      <w:tr>
        <w:tc>
          <w:tcPr>
            <w:tcW w:type="dxa" w:w="216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Ángel Israel De La Cruz Martínez</w:t>
            </w:r>
          </w:p>
        </w:tc>
        <w:tc>
          <w:tcPr>
            <w:tcW w:type="dxa" w:w="230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Operaciones, Deportes y DT-10</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1.2.1, 1.3.5</w:t>
            </w:r>
          </w:p>
        </w:tc>
        <w:tc>
          <w:tcPr>
            <w:tcW w:type="dxa" w:w="374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Módulo DT-10 de Seguridad y Telemetría, aislamiento de claves y recolección deportiva.</w:t>
            </w:r>
          </w:p>
        </w:tc>
      </w:tr>
      <w:tr>
        <w:tc>
          <w:tcPr>
            <w:tcW w:type="dxa" w:w="2160"/>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Joan Alexis Ocaña Martínez</w:t>
            </w:r>
          </w:p>
        </w:tc>
        <w:tc>
          <w:tcPr>
            <w:tcW w:type="dxa" w:w="230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Curaduría de Movilidad</w:t>
            </w:r>
          </w:p>
        </w:tc>
        <w:tc>
          <w:tcPr>
            <w:tcW w:type="dxa" w:w="1872"/>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1.2.1</w:t>
            </w:r>
          </w:p>
        </w:tc>
        <w:tc>
          <w:tcPr>
            <w:tcW w:type="dxa" w:w="3744"/>
            <w:shd w:val="clear" w:color="auto" w:fill="FFFFFF"/>
            <w:tcMar>
              <w:top w:w="80" w:type="dxa"/>
              <w:bottom w:w="80" w:type="dxa"/>
              <w:left w:w="120" w:type="dxa"/>
              <w:right w:w="120" w:type="dxa"/>
            </w:tcMar>
          </w:tcPr>
          <w:p>
            <w:pPr>
              <w:spacing w:line="264" w:lineRule="auto" w:before="40" w:after="40"/>
              <w:jc w:val="both"/>
            </w:pPr>
            <w:r>
              <w:rPr>
                <w:rFonts w:ascii="Times New Roman" w:hAnsi="Times New Roman"/>
                <w:b w:val="0"/>
                <w:i w:val="0"/>
                <w:color w:val="000000"/>
                <w:sz w:val="18"/>
                <w:rFonts w:ascii="Times New Roman" w:hAnsi="Times New Roman" w:cs="Times New Roman" w:eastAsia="Times New Roman"/>
              </w:rPr>
              <w:t>Compilación de lineamientos y convocatorias de movilidad estudiantil en diversos niveles.</w:t>
            </w:r>
          </w:p>
        </w:tc>
      </w:tr>
    </w:tbl>
    <w:p>
      <w:pPr>
        <w:spacing w:after="80"/>
      </w:pPr>
    </w:p>
    <w:p>
      <w:pPr>
        <w:pStyle w:val="Ttulo1"/>
        <w:keepNext/>
        <w:spacing w:line="264" w:lineRule="auto" w:before="280" w:after="120"/>
        <w:jc w:val="left"/>
      </w:pPr>
      <w:r>
        <w:rPr>
          <w:rFonts w:ascii="Times New Roman" w:hAnsi="Times New Roman"/>
          <w:b/>
          <w:i w:val="0"/>
          <w:color w:val="000000"/>
          <w:sz w:val="32"/>
          <w:rFonts w:ascii="Times New Roman" w:hAnsi="Times New Roman" w:cs="Times New Roman" w:eastAsia="Times New Roman"/>
        </w:rPr>
        <w:t>7. CONCLUSIONES Y PRÓXIMOS PASOS</w:t>
      </w: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7.1 Síntesis de Resultados Alcanzados</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El primer corte de ejecución técnica concluye con avances sustanciales. Se consolidó un acervo canónico estructurado en 3,977 fragmentos vectorizados, respaldado por un umbral estricto que previene alucinaciones. Asimismo, se unificó la arquitectura en una plataforma que vincula una interfaz accesible para los alumnos con un servidor de inferencia confiable y seguro.</w:t>
      </w:r>
    </w:p>
    <w:p>
      <w:pPr>
        <w:pStyle w:val="Ttulo2"/>
        <w:keepNext/>
        <w:spacing w:line="264" w:lineRule="auto" w:before="200" w:after="80"/>
        <w:jc w:val="left"/>
      </w:pPr>
      <w:r>
        <w:rPr>
          <w:rFonts w:ascii="Times New Roman" w:hAnsi="Times New Roman"/>
          <w:b/>
          <w:i w:val="0"/>
          <w:color w:val="000000"/>
          <w:sz w:val="28"/>
          <w:rFonts w:ascii="Times New Roman" w:hAnsi="Times New Roman" w:cs="Times New Roman" w:eastAsia="Times New Roman"/>
        </w:rPr>
        <w:t>7.2 Hoja de Ruta para las Siguientes Fases</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Hacia la culminación de la Fase 2 y el inicio de la Fase 3 del cronograma maestro, el equipo atenderá los siguientes compromisos técnicos principales:</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1. Despliegue en Infraestructura de Nube conforme al paquete WBS 1.5.3: Empaquetar el sistema en contenedores Docker y trasladar la arquitectura a los servicios elásticos de Amazon Web Services, sincronizando el almacén vectorial mediante cubos S3.</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2. Formalización del Enlace de Redes Sociales conforme al paquete WBS 1.2.1: Tramitar ante las autoridades de la Facultad el acceso formal a la Meta Graph API institucional siguiendo las conclusiones del informe técnico correspondiente.</w:t>
      </w:r>
    </w:p>
    <w:p>
      <w:pPr>
        <w:spacing w:line="264" w:lineRule="auto" w:before="0" w:after="80"/>
        <w:jc w:val="both"/>
      </w:pPr>
      <w:r>
        <w:rPr>
          <w:rFonts w:ascii="Times New Roman" w:hAnsi="Times New Roman"/>
          <w:b w:val="0"/>
          <w:i w:val="0"/>
          <w:color w:val="000000"/>
          <w:sz w:val="22"/>
          <w:rFonts w:ascii="Times New Roman" w:hAnsi="Times New Roman" w:cs="Times New Roman" w:eastAsia="Times New Roman"/>
        </w:rPr>
        <w:t>3. Pruebas de Aceptación de Usuario conforme al paquete WBS 1.4.4: Conducir las sesiones de prueba UAT con estudiantes de Ingeniería en Computación para evaluar la utilidad práctica del asistente y recopilar sugerencias directas de mejora.</w:t>
      </w:r>
    </w:p>
    <w:sectPr w:rsidR="00E074F5" w:rsidSect="007D0BA1">
      <w:headerReference w:type="default" r:id="rId14"/>
      <w:footerReference w:type="default" r:id="rId15"/>
      <w:pgSz w:w="12240" w:h="15840" w:code="1"/>
      <w:pgMar w:top="1700" w:right="1420" w:bottom="1420" w:left="170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2C983" w14:textId="77777777" w:rsidR="00D61292" w:rsidRDefault="00D61292" w:rsidP="0085363D">
      <w:r>
        <w:separator/>
      </w:r>
    </w:p>
  </w:endnote>
  <w:endnote w:type="continuationSeparator" w:id="0">
    <w:p w14:paraId="74F40485" w14:textId="77777777" w:rsidR="00D61292" w:rsidRDefault="00D61292" w:rsidP="008536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0962C" w14:textId="47FC224A" w:rsidR="0085363D" w:rsidRDefault="00776D80" w:rsidP="00776D80">
    <w:pPr>
      <w:pStyle w:val="Piedepgina"/>
      <w:tabs>
        <w:tab w:val="clear" w:pos="4419"/>
        <w:tab w:val="clear" w:pos="8838"/>
        <w:tab w:val="left" w:pos="990"/>
      </w:tabs>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Times New Roman" w:hAnsi="Times New Roman"/>
        <w:b w:val="0"/>
        <w:i w:val="0"/>
        <w:color w:val="000000"/>
        <w:sz w:val="19"/>
        <w:rFonts w:ascii="Times New Roman" w:hAnsi="Times New Roman" w:cs="Times New Roman" w:eastAsia="Times New Roman"/>
      </w:rPr>
      <w:t xml:space="preserve">Página </w:t>
    </w:r>
    <w:r>
      <w:fldChar w:fldCharType="begin"/>
    </w:r>
    <w:r>
      <w:instrText xml:space="preserve"> PAGE </w:instrText>
    </w:r>
    <w:r>
      <w:fldChar w:fldCharType="separate"/>
    </w:r>
    <w:r>
      <w:rPr>
        <w:rFonts w:ascii="Times New Roman" w:hAnsi="Times New Roman"/>
        <w:b w:val="0"/>
        <w:i w:val="0"/>
        <w:color w:val="000000"/>
        <w:sz w:val="19"/>
        <w:rFonts w:ascii="Times New Roman" w:hAnsi="Times New Roman" w:cs="Times New Roman" w:eastAsia="Times New Roma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55F15" w14:textId="77777777" w:rsidR="00D61292" w:rsidRDefault="00D61292" w:rsidP="0085363D">
      <w:r>
        <w:separator/>
      </w:r>
    </w:p>
  </w:footnote>
  <w:footnote w:type="continuationSeparator" w:id="0">
    <w:p w14:paraId="04F0C4E3" w14:textId="77777777" w:rsidR="00D61292" w:rsidRDefault="00D61292" w:rsidP="008536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4BA95" w14:textId="5E190ADA" w:rsidR="0085363D" w:rsidRDefault="0085363D">
    <w:pPr>
      <w:pStyle w:val="Encabezado"/>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
      <w:rPr>
        <w:rFonts w:ascii="Times New Roman" w:hAnsi="Times New Roman"/>
        <w:b w:val="0"/>
        <w:i/>
        <w:color w:val="646464"/>
        <w:sz w:val="18"/>
        <w:rFonts w:ascii="Times New Roman" w:hAnsi="Times New Roman" w:cs="Times New Roman" w:eastAsia="Times New Roman"/>
      </w:rPr>
      <w:t>Facultad de Ingeniería – UAEMéx | Nexus FI: Fase de Ejecución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4503"/>
    <w:multiLevelType w:val="hybridMultilevel"/>
    <w:tmpl w:val="64E2883E"/>
    <w:lvl w:ilvl="0" w:tplc="5BBE0788">
      <w:start w:val="1"/>
      <w:numFmt w:val="upperRoman"/>
      <w:lvlText w:val="%1."/>
      <w:lvlJc w:val="left"/>
      <w:pPr>
        <w:ind w:left="1425" w:hanging="720"/>
      </w:pPr>
      <w:rPr>
        <w:rFonts w:hint="default"/>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1" w15:restartNumberingAfterBreak="0">
    <w:nsid w:val="101532E6"/>
    <w:multiLevelType w:val="hybridMultilevel"/>
    <w:tmpl w:val="DC8A4F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498196B"/>
    <w:multiLevelType w:val="hybridMultilevel"/>
    <w:tmpl w:val="17BE17A0"/>
    <w:lvl w:ilvl="0" w:tplc="2AA8E5F8">
      <w:start w:val="1"/>
      <w:numFmt w:val="upperRoman"/>
      <w:lvlText w:val="%1."/>
      <w:lvlJc w:val="left"/>
      <w:pPr>
        <w:ind w:left="1425" w:hanging="720"/>
      </w:pPr>
      <w:rPr>
        <w:rFonts w:hint="default"/>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3" w15:restartNumberingAfterBreak="0">
    <w:nsid w:val="6F7B13DA"/>
    <w:multiLevelType w:val="hybridMultilevel"/>
    <w:tmpl w:val="82F8E9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44946695">
    <w:abstractNumId w:val="3"/>
  </w:num>
  <w:num w:numId="2" w16cid:durableId="1072049051">
    <w:abstractNumId w:val="2"/>
  </w:num>
  <w:num w:numId="3" w16cid:durableId="2042855033">
    <w:abstractNumId w:val="0"/>
  </w:num>
  <w:num w:numId="4" w16cid:durableId="498345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63D"/>
    <w:rsid w:val="00013F96"/>
    <w:rsid w:val="000333BF"/>
    <w:rsid w:val="00062EBC"/>
    <w:rsid w:val="000C03A2"/>
    <w:rsid w:val="000C25F4"/>
    <w:rsid w:val="000D5AC2"/>
    <w:rsid w:val="000D72AF"/>
    <w:rsid w:val="000E5B7F"/>
    <w:rsid w:val="0011733D"/>
    <w:rsid w:val="00155D90"/>
    <w:rsid w:val="00171117"/>
    <w:rsid w:val="001B7D5B"/>
    <w:rsid w:val="00350DB1"/>
    <w:rsid w:val="0036017D"/>
    <w:rsid w:val="003B41D8"/>
    <w:rsid w:val="0041325E"/>
    <w:rsid w:val="004223E5"/>
    <w:rsid w:val="004E3DF0"/>
    <w:rsid w:val="00545656"/>
    <w:rsid w:val="0056524D"/>
    <w:rsid w:val="00613B67"/>
    <w:rsid w:val="00661762"/>
    <w:rsid w:val="00670E64"/>
    <w:rsid w:val="006E20E8"/>
    <w:rsid w:val="00776D80"/>
    <w:rsid w:val="0079435E"/>
    <w:rsid w:val="007A19D1"/>
    <w:rsid w:val="007C6AB3"/>
    <w:rsid w:val="007D0BA1"/>
    <w:rsid w:val="0085363D"/>
    <w:rsid w:val="00866462"/>
    <w:rsid w:val="008B233C"/>
    <w:rsid w:val="008C39F1"/>
    <w:rsid w:val="009167CE"/>
    <w:rsid w:val="00953AAC"/>
    <w:rsid w:val="00A72C34"/>
    <w:rsid w:val="00C0691C"/>
    <w:rsid w:val="00C46965"/>
    <w:rsid w:val="00C746D2"/>
    <w:rsid w:val="00D338FC"/>
    <w:rsid w:val="00D57531"/>
    <w:rsid w:val="00D61292"/>
    <w:rsid w:val="00E074F5"/>
    <w:rsid w:val="00E57816"/>
    <w:rsid w:val="00E97F65"/>
    <w:rsid w:val="00EB6935"/>
    <w:rsid w:val="00EE0B0C"/>
    <w:rsid w:val="00EE1194"/>
    <w:rsid w:val="00F73CD5"/>
    <w:rsid w:val="00FD430D"/>
    <w:rsid w:val="00FE5A36"/>
    <w:rsid w:val="00FF758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47BCC"/>
  <w15:chartTrackingRefBased/>
  <w15:docId w15:val="{D23E4172-2128-4193-AE4C-FE98821DB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63D"/>
    <w:pPr>
      <w:spacing w:after="0" w:line="240" w:lineRule="auto"/>
    </w:pPr>
    <w:rPr>
      <w:rFonts w:eastAsiaTheme="minorEastAsia"/>
      <w:kern w:val="0"/>
      <w:sz w:val="24"/>
      <w:szCs w:val="24"/>
      <w:lang w:val="es-ES_tradnl" w:eastAsia="es-ES"/>
      <w14:ligatures w14:val="none"/>
    </w:rPr>
  </w:style>
  <w:style w:type="paragraph" w:styleId="Ttulo1">
    <w:name w:val="heading 1"/>
    <w:basedOn w:val="Normal"/>
    <w:next w:val="Normal"/>
    <w:link w:val="Ttulo1Car"/>
    <w:uiPriority w:val="9"/>
    <w:qFormat/>
    <w:rsid w:val="0085363D"/>
    <w:pPr>
      <w:keepNext/>
      <w:keepLines/>
      <w:spacing w:before="360" w:after="80" w:line="259" w:lineRule="auto"/>
      <w:outlineLvl w:val="0"/>
    </w:pPr>
    <w:rPr>
      <w:rFonts w:asciiTheme="majorHAnsi" w:eastAsiaTheme="majorEastAsia" w:hAnsiTheme="majorHAnsi" w:cstheme="majorBidi"/>
      <w:b/>
      <w:color w:val="000000"/>
      <w:kern w:val="2"/>
      <w:sz w:val="40"/>
      <w:szCs w:val="40"/>
      <w:lang w:val="es-MX" w:eastAsia="en-US"/>
      <w14:ligatures w14:val="standardContextual"/>
    </w:rPr>
  </w:style>
  <w:style w:type="paragraph" w:styleId="Ttulo2">
    <w:name w:val="heading 2"/>
    <w:basedOn w:val="Normal"/>
    <w:next w:val="Normal"/>
    <w:link w:val="Ttulo2Car"/>
    <w:uiPriority w:val="9"/>
    <w:unhideWhenUsed/>
    <w:qFormat/>
    <w:rsid w:val="0085363D"/>
    <w:pPr>
      <w:keepNext/>
      <w:keepLines/>
      <w:spacing w:before="160" w:after="80" w:line="259" w:lineRule="auto"/>
      <w:outlineLvl w:val="1"/>
    </w:pPr>
    <w:rPr>
      <w:rFonts w:asciiTheme="majorHAnsi" w:eastAsiaTheme="majorEastAsia" w:hAnsiTheme="majorHAnsi" w:cstheme="majorBidi"/>
      <w:b/>
      <w:color w:val="000000"/>
      <w:kern w:val="2"/>
      <w:sz w:val="32"/>
      <w:szCs w:val="32"/>
      <w:lang w:val="es-MX" w:eastAsia="en-US"/>
      <w14:ligatures w14:val="standardContextual"/>
    </w:rPr>
  </w:style>
  <w:style w:type="paragraph" w:styleId="Ttulo3">
    <w:name w:val="heading 3"/>
    <w:basedOn w:val="Normal"/>
    <w:next w:val="Normal"/>
    <w:link w:val="Ttulo3Car"/>
    <w:uiPriority w:val="9"/>
    <w:semiHidden/>
    <w:unhideWhenUsed/>
    <w:qFormat/>
    <w:rsid w:val="0085363D"/>
    <w:pPr>
      <w:keepNext/>
      <w:keepLines/>
      <w:spacing w:before="160" w:after="80" w:line="259" w:lineRule="auto"/>
      <w:outlineLvl w:val="2"/>
    </w:pPr>
    <w:rPr>
      <w:rFonts w:ascii="Times New Roman" w:eastAsiaTheme="majorEastAsia" w:hAnsi="Times New Roman" w:cstheme="majorBidi"/>
      <w:b/>
      <w:color w:val="000000"/>
      <w:kern w:val="2"/>
      <w:sz w:val="28"/>
      <w:szCs w:val="28"/>
      <w:lang w:val="es-MX" w:eastAsia="en-US"/>
      <w14:ligatures w14:val="standardContextual"/>
    </w:rPr>
  </w:style>
  <w:style w:type="paragraph" w:styleId="Ttulo4">
    <w:name w:val="heading 4"/>
    <w:basedOn w:val="Normal"/>
    <w:next w:val="Normal"/>
    <w:link w:val="Ttulo4Car"/>
    <w:uiPriority w:val="9"/>
    <w:semiHidden/>
    <w:unhideWhenUsed/>
    <w:qFormat/>
    <w:rsid w:val="0085363D"/>
    <w:pPr>
      <w:keepNext/>
      <w:keepLines/>
      <w:spacing w:before="80" w:after="40" w:line="259" w:lineRule="auto"/>
      <w:outlineLvl w:val="3"/>
    </w:pPr>
    <w:rPr>
      <w:rFonts w:eastAsiaTheme="majorEastAsia" w:cstheme="majorBidi"/>
      <w:i/>
      <w:iCs/>
      <w:color w:val="0F4761" w:themeColor="accent1" w:themeShade="BF"/>
      <w:kern w:val="2"/>
      <w:sz w:val="22"/>
      <w:szCs w:val="22"/>
      <w:lang w:val="es-MX" w:eastAsia="en-US"/>
      <w14:ligatures w14:val="standardContextual"/>
    </w:rPr>
  </w:style>
  <w:style w:type="paragraph" w:styleId="Ttulo5">
    <w:name w:val="heading 5"/>
    <w:basedOn w:val="Normal"/>
    <w:next w:val="Normal"/>
    <w:link w:val="Ttulo5Car"/>
    <w:uiPriority w:val="9"/>
    <w:semiHidden/>
    <w:unhideWhenUsed/>
    <w:qFormat/>
    <w:rsid w:val="0085363D"/>
    <w:pPr>
      <w:keepNext/>
      <w:keepLines/>
      <w:spacing w:before="80" w:after="40" w:line="259" w:lineRule="auto"/>
      <w:outlineLvl w:val="4"/>
    </w:pPr>
    <w:rPr>
      <w:rFonts w:eastAsiaTheme="majorEastAsia" w:cstheme="majorBidi"/>
      <w:color w:val="0F4761" w:themeColor="accent1" w:themeShade="BF"/>
      <w:kern w:val="2"/>
      <w:sz w:val="22"/>
      <w:szCs w:val="22"/>
      <w:lang w:val="es-MX" w:eastAsia="en-US"/>
      <w14:ligatures w14:val="standardContextual"/>
    </w:rPr>
  </w:style>
  <w:style w:type="paragraph" w:styleId="Ttulo6">
    <w:name w:val="heading 6"/>
    <w:basedOn w:val="Normal"/>
    <w:next w:val="Normal"/>
    <w:link w:val="Ttulo6Car"/>
    <w:uiPriority w:val="9"/>
    <w:semiHidden/>
    <w:unhideWhenUsed/>
    <w:qFormat/>
    <w:rsid w:val="0085363D"/>
    <w:pPr>
      <w:keepNext/>
      <w:keepLines/>
      <w:spacing w:before="40" w:line="259" w:lineRule="auto"/>
      <w:outlineLvl w:val="5"/>
    </w:pPr>
    <w:rPr>
      <w:rFonts w:eastAsiaTheme="majorEastAsia" w:cstheme="majorBidi"/>
      <w:i/>
      <w:iCs/>
      <w:color w:val="595959" w:themeColor="text1" w:themeTint="A6"/>
      <w:kern w:val="2"/>
      <w:sz w:val="22"/>
      <w:szCs w:val="22"/>
      <w:lang w:val="es-MX" w:eastAsia="en-US"/>
      <w14:ligatures w14:val="standardContextual"/>
    </w:rPr>
  </w:style>
  <w:style w:type="paragraph" w:styleId="Ttulo7">
    <w:name w:val="heading 7"/>
    <w:basedOn w:val="Normal"/>
    <w:next w:val="Normal"/>
    <w:link w:val="Ttulo7Car"/>
    <w:uiPriority w:val="9"/>
    <w:semiHidden/>
    <w:unhideWhenUsed/>
    <w:qFormat/>
    <w:rsid w:val="0085363D"/>
    <w:pPr>
      <w:keepNext/>
      <w:keepLines/>
      <w:spacing w:before="40" w:line="259" w:lineRule="auto"/>
      <w:outlineLvl w:val="6"/>
    </w:pPr>
    <w:rPr>
      <w:rFonts w:eastAsiaTheme="majorEastAsia" w:cstheme="majorBidi"/>
      <w:color w:val="595959" w:themeColor="text1" w:themeTint="A6"/>
      <w:kern w:val="2"/>
      <w:sz w:val="22"/>
      <w:szCs w:val="22"/>
      <w:lang w:val="es-MX" w:eastAsia="en-US"/>
      <w14:ligatures w14:val="standardContextual"/>
    </w:rPr>
  </w:style>
  <w:style w:type="paragraph" w:styleId="Ttulo8">
    <w:name w:val="heading 8"/>
    <w:basedOn w:val="Normal"/>
    <w:next w:val="Normal"/>
    <w:link w:val="Ttulo8Car"/>
    <w:uiPriority w:val="9"/>
    <w:semiHidden/>
    <w:unhideWhenUsed/>
    <w:qFormat/>
    <w:rsid w:val="0085363D"/>
    <w:pPr>
      <w:keepNext/>
      <w:keepLines/>
      <w:spacing w:line="259" w:lineRule="auto"/>
      <w:outlineLvl w:val="7"/>
    </w:pPr>
    <w:rPr>
      <w:rFonts w:eastAsiaTheme="majorEastAsia" w:cstheme="majorBidi"/>
      <w:i/>
      <w:iCs/>
      <w:color w:val="272727" w:themeColor="text1" w:themeTint="D8"/>
      <w:kern w:val="2"/>
      <w:sz w:val="22"/>
      <w:szCs w:val="22"/>
      <w:lang w:val="es-MX" w:eastAsia="en-US"/>
      <w14:ligatures w14:val="standardContextual"/>
    </w:rPr>
  </w:style>
  <w:style w:type="paragraph" w:styleId="Ttulo9">
    <w:name w:val="heading 9"/>
    <w:basedOn w:val="Normal"/>
    <w:next w:val="Normal"/>
    <w:link w:val="Ttulo9Car"/>
    <w:uiPriority w:val="9"/>
    <w:semiHidden/>
    <w:unhideWhenUsed/>
    <w:qFormat/>
    <w:rsid w:val="0085363D"/>
    <w:pPr>
      <w:keepNext/>
      <w:keepLines/>
      <w:spacing w:line="259" w:lineRule="auto"/>
      <w:outlineLvl w:val="8"/>
    </w:pPr>
    <w:rPr>
      <w:rFonts w:eastAsiaTheme="majorEastAsia" w:cstheme="majorBidi"/>
      <w:color w:val="272727" w:themeColor="text1" w:themeTint="D8"/>
      <w:kern w:val="2"/>
      <w:sz w:val="22"/>
      <w:szCs w:val="22"/>
      <w:lang w:val="es-MX"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363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5363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5363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363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363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36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36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36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363D"/>
    <w:rPr>
      <w:rFonts w:eastAsiaTheme="majorEastAsia" w:cstheme="majorBidi"/>
      <w:color w:val="272727" w:themeColor="text1" w:themeTint="D8"/>
    </w:rPr>
  </w:style>
  <w:style w:type="paragraph" w:styleId="Ttulo">
    <w:name w:val="Title"/>
    <w:basedOn w:val="Normal"/>
    <w:next w:val="Normal"/>
    <w:link w:val="TtuloCar"/>
    <w:uiPriority w:val="10"/>
    <w:qFormat/>
    <w:rsid w:val="0085363D"/>
    <w:pPr>
      <w:spacing w:after="80"/>
      <w:contextualSpacing/>
    </w:pPr>
    <w:rPr>
      <w:rFonts w:asciiTheme="majorHAnsi" w:eastAsiaTheme="majorEastAsia" w:hAnsiTheme="majorHAnsi" w:cstheme="majorBidi"/>
      <w:spacing w:val="-10"/>
      <w:kern w:val="28"/>
      <w:sz w:val="56"/>
      <w:szCs w:val="56"/>
      <w:lang w:val="es-MX" w:eastAsia="en-US"/>
      <w14:ligatures w14:val="standardContextual"/>
    </w:rPr>
  </w:style>
  <w:style w:type="character" w:customStyle="1" w:styleId="TtuloCar">
    <w:name w:val="Título Car"/>
    <w:basedOn w:val="Fuentedeprrafopredeter"/>
    <w:link w:val="Ttulo"/>
    <w:uiPriority w:val="10"/>
    <w:rsid w:val="008536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363D"/>
    <w:pPr>
      <w:numPr>
        <w:ilvl w:val="1"/>
      </w:numPr>
      <w:spacing w:after="160" w:line="259" w:lineRule="auto"/>
    </w:pPr>
    <w:rPr>
      <w:rFonts w:eastAsiaTheme="majorEastAsia" w:cstheme="majorBidi"/>
      <w:color w:val="595959" w:themeColor="text1" w:themeTint="A6"/>
      <w:spacing w:val="15"/>
      <w:kern w:val="2"/>
      <w:sz w:val="28"/>
      <w:szCs w:val="28"/>
      <w:lang w:val="es-MX" w:eastAsia="en-US"/>
      <w14:ligatures w14:val="standardContextual"/>
    </w:rPr>
  </w:style>
  <w:style w:type="character" w:customStyle="1" w:styleId="SubttuloCar">
    <w:name w:val="Subtítulo Car"/>
    <w:basedOn w:val="Fuentedeprrafopredeter"/>
    <w:link w:val="Subttulo"/>
    <w:uiPriority w:val="11"/>
    <w:rsid w:val="008536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363D"/>
    <w:pPr>
      <w:spacing w:before="160" w:after="160" w:line="259" w:lineRule="auto"/>
      <w:jc w:val="center"/>
    </w:pPr>
    <w:rPr>
      <w:rFonts w:eastAsiaTheme="minorHAnsi"/>
      <w:i/>
      <w:iCs/>
      <w:color w:val="404040" w:themeColor="text1" w:themeTint="BF"/>
      <w:kern w:val="2"/>
      <w:sz w:val="22"/>
      <w:szCs w:val="22"/>
      <w:lang w:val="es-MX" w:eastAsia="en-US"/>
      <w14:ligatures w14:val="standardContextual"/>
    </w:rPr>
  </w:style>
  <w:style w:type="character" w:customStyle="1" w:styleId="CitaCar">
    <w:name w:val="Cita Car"/>
    <w:basedOn w:val="Fuentedeprrafopredeter"/>
    <w:link w:val="Cita"/>
    <w:uiPriority w:val="29"/>
    <w:rsid w:val="0085363D"/>
    <w:rPr>
      <w:i/>
      <w:iCs/>
      <w:color w:val="404040" w:themeColor="text1" w:themeTint="BF"/>
    </w:rPr>
  </w:style>
  <w:style w:type="paragraph" w:styleId="Prrafodelista">
    <w:name w:val="List Paragraph"/>
    <w:basedOn w:val="Normal"/>
    <w:uiPriority w:val="34"/>
    <w:qFormat/>
    <w:rsid w:val="0085363D"/>
    <w:pPr>
      <w:spacing w:after="160" w:line="259" w:lineRule="auto"/>
      <w:ind w:left="720"/>
      <w:contextualSpacing/>
    </w:pPr>
    <w:rPr>
      <w:rFonts w:eastAsiaTheme="minorHAnsi"/>
      <w:kern w:val="2"/>
      <w:sz w:val="22"/>
      <w:szCs w:val="22"/>
      <w:lang w:val="es-MX" w:eastAsia="en-US"/>
      <w14:ligatures w14:val="standardContextual"/>
    </w:rPr>
  </w:style>
  <w:style w:type="character" w:styleId="nfasisintenso">
    <w:name w:val="Intense Emphasis"/>
    <w:basedOn w:val="Fuentedeprrafopredeter"/>
    <w:uiPriority w:val="21"/>
    <w:qFormat/>
    <w:rsid w:val="0085363D"/>
    <w:rPr>
      <w:i/>
      <w:iCs/>
      <w:color w:val="0F4761" w:themeColor="accent1" w:themeShade="BF"/>
    </w:rPr>
  </w:style>
  <w:style w:type="paragraph" w:styleId="Citadestacada">
    <w:name w:val="Intense Quote"/>
    <w:basedOn w:val="Normal"/>
    <w:next w:val="Normal"/>
    <w:link w:val="CitadestacadaCar"/>
    <w:uiPriority w:val="30"/>
    <w:qFormat/>
    <w:rsid w:val="0085363D"/>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kern w:val="2"/>
      <w:sz w:val="22"/>
      <w:szCs w:val="22"/>
      <w:lang w:val="es-MX" w:eastAsia="en-US"/>
      <w14:ligatures w14:val="standardContextual"/>
    </w:rPr>
  </w:style>
  <w:style w:type="character" w:customStyle="1" w:styleId="CitadestacadaCar">
    <w:name w:val="Cita destacada Car"/>
    <w:basedOn w:val="Fuentedeprrafopredeter"/>
    <w:link w:val="Citadestacada"/>
    <w:uiPriority w:val="30"/>
    <w:rsid w:val="0085363D"/>
    <w:rPr>
      <w:i/>
      <w:iCs/>
      <w:color w:val="0F4761" w:themeColor="accent1" w:themeShade="BF"/>
    </w:rPr>
  </w:style>
  <w:style w:type="character" w:styleId="Referenciaintensa">
    <w:name w:val="Intense Reference"/>
    <w:basedOn w:val="Fuentedeprrafopredeter"/>
    <w:uiPriority w:val="32"/>
    <w:qFormat/>
    <w:rsid w:val="0085363D"/>
    <w:rPr>
      <w:b/>
      <w:bCs/>
      <w:smallCaps/>
      <w:color w:val="0F4761" w:themeColor="accent1" w:themeShade="BF"/>
      <w:spacing w:val="5"/>
    </w:rPr>
  </w:style>
  <w:style w:type="paragraph" w:styleId="Encabezado">
    <w:name w:val="header"/>
    <w:basedOn w:val="Normal"/>
    <w:link w:val="EncabezadoCar"/>
    <w:uiPriority w:val="99"/>
    <w:unhideWhenUsed/>
    <w:rsid w:val="0085363D"/>
    <w:pPr>
      <w:tabs>
        <w:tab w:val="center" w:pos="4419"/>
        <w:tab w:val="right" w:pos="8838"/>
      </w:tabs>
    </w:pPr>
  </w:style>
  <w:style w:type="character" w:customStyle="1" w:styleId="EncabezadoCar">
    <w:name w:val="Encabezado Car"/>
    <w:basedOn w:val="Fuentedeprrafopredeter"/>
    <w:link w:val="Encabezado"/>
    <w:uiPriority w:val="99"/>
    <w:rsid w:val="0085363D"/>
    <w:rPr>
      <w:rFonts w:eastAsiaTheme="minorEastAsia"/>
      <w:kern w:val="0"/>
      <w:sz w:val="24"/>
      <w:szCs w:val="24"/>
      <w:lang w:val="es-ES_tradnl" w:eastAsia="es-ES"/>
      <w14:ligatures w14:val="none"/>
    </w:rPr>
  </w:style>
  <w:style w:type="paragraph" w:styleId="Piedepgina">
    <w:name w:val="footer"/>
    <w:basedOn w:val="Normal"/>
    <w:link w:val="PiedepginaCar"/>
    <w:uiPriority w:val="99"/>
    <w:unhideWhenUsed/>
    <w:rsid w:val="0085363D"/>
    <w:pPr>
      <w:tabs>
        <w:tab w:val="center" w:pos="4419"/>
        <w:tab w:val="right" w:pos="8838"/>
      </w:tabs>
    </w:pPr>
  </w:style>
  <w:style w:type="character" w:customStyle="1" w:styleId="PiedepginaCar">
    <w:name w:val="Pie de página Car"/>
    <w:basedOn w:val="Fuentedeprrafopredeter"/>
    <w:link w:val="Piedepgina"/>
    <w:uiPriority w:val="99"/>
    <w:rsid w:val="0085363D"/>
    <w:rPr>
      <w:rFonts w:eastAsiaTheme="minorEastAsia"/>
      <w:kern w:val="0"/>
      <w:sz w:val="24"/>
      <w:szCs w:val="24"/>
      <w:lang w:val="es-ES_tradnl" w:eastAsia="es-ES"/>
      <w14:ligatures w14:val="none"/>
    </w:rPr>
  </w:style>
  <w:style w:type="character" w:styleId="Hipervnculo">
    <w:name w:val="Hyperlink"/>
    <w:basedOn w:val="Fuentedeprrafopredeter"/>
    <w:uiPriority w:val="99"/>
    <w:unhideWhenUsed/>
    <w:rsid w:val="00E074F5"/>
    <w:rPr>
      <w:color w:val="467886" w:themeColor="hyperlink"/>
      <w:u w:val="single"/>
    </w:rPr>
  </w:style>
  <w:style w:type="character" w:styleId="Mencinsinresolver">
    <w:name w:val="Unresolved Mention"/>
    <w:basedOn w:val="Fuentedeprrafopredeter"/>
    <w:uiPriority w:val="99"/>
    <w:semiHidden/>
    <w:unhideWhenUsed/>
    <w:rsid w:val="00E074F5"/>
    <w:rPr>
      <w:color w:val="605E5C"/>
      <w:shd w:val="clear" w:color="auto" w:fill="E1DFDD"/>
    </w:rPr>
  </w:style>
  <w:style w:type="character" w:styleId="Hipervnculovisitado">
    <w:name w:val="FollowedHyperlink"/>
    <w:basedOn w:val="Fuentedeprrafopredeter"/>
    <w:uiPriority w:val="99"/>
    <w:semiHidden/>
    <w:unhideWhenUsed/>
    <w:rsid w:val="00E074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15"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69E96CB255F2E4FBB03C8E2E582A9B3" ma:contentTypeVersion="12" ma:contentTypeDescription="Crear nuevo documento." ma:contentTypeScope="" ma:versionID="098132956dc429493640ab41877d748a">
  <xsd:schema xmlns:xsd="http://www.w3.org/2001/XMLSchema" xmlns:xs="http://www.w3.org/2001/XMLSchema" xmlns:p="http://schemas.microsoft.com/office/2006/metadata/properties" xmlns:ns2="c2bfa199-0d04-4f82-bc1e-9bcced7fd60d" xmlns:ns3="c99f8663-2a3d-4fb0-9738-2dc7c0d74547" targetNamespace="http://schemas.microsoft.com/office/2006/metadata/properties" ma:root="true" ma:fieldsID="354b0c1e10e78d24c915b2c4173dbe6c" ns2:_="" ns3:_="">
    <xsd:import namespace="c2bfa199-0d04-4f82-bc1e-9bcced7fd60d"/>
    <xsd:import namespace="c99f8663-2a3d-4fb0-9738-2dc7c0d7454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bfa199-0d04-4f82-bc1e-9bcced7fd60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b653b1c0-f410-437d-8ee7-1cf68b209f5d"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9f8663-2a3d-4fb0-9738-2dc7c0d7454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178d057-715c-4376-8fa4-ae5b1a565fa1}" ma:internalName="TaxCatchAll" ma:showField="CatchAllData" ma:web="c99f8663-2a3d-4fb0-9738-2dc7c0d745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99f8663-2a3d-4fb0-9738-2dc7c0d74547" xsi:nil="true"/>
    <ReferenceId xmlns="c2bfa199-0d04-4f82-bc1e-9bcced7fd60d" xsi:nil="true"/>
    <lcf76f155ced4ddcb4097134ff3c332f xmlns="c2bfa199-0d04-4f82-bc1e-9bcced7fd60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EAF84E-0E3D-45D3-B176-FBF7AA7431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bfa199-0d04-4f82-bc1e-9bcced7fd60d"/>
    <ds:schemaRef ds:uri="c99f8663-2a3d-4fb0-9738-2dc7c0d745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8512B2-802D-461B-A48D-5EBD060C999F}">
  <ds:schemaRefs>
    <ds:schemaRef ds:uri="http://schemas.microsoft.com/office/2006/metadata/properties"/>
    <ds:schemaRef ds:uri="http://schemas.microsoft.com/office/infopath/2007/PartnerControls"/>
    <ds:schemaRef ds:uri="c99f8663-2a3d-4fb0-9738-2dc7c0d74547"/>
    <ds:schemaRef ds:uri="c2bfa199-0d04-4f82-bc1e-9bcced7fd60d"/>
  </ds:schemaRefs>
</ds:datastoreItem>
</file>

<file path=customXml/itemProps3.xml><?xml version="1.0" encoding="utf-8"?>
<ds:datastoreItem xmlns:ds="http://schemas.openxmlformats.org/officeDocument/2006/customXml" ds:itemID="{7471205E-2600-401D-AFF3-E0656427246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85</Words>
  <Characters>471</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Antonio Flores Fuentes</dc:creator>
  <cp:keywords/>
  <dc:description/>
  <cp:lastModifiedBy>FERNANDO AZUARA IBARRA</cp:lastModifiedBy>
  <cp:revision>18</cp:revision>
  <dcterms:created xsi:type="dcterms:W3CDTF">2025-08-20T05:28:00Z</dcterms:created>
  <dcterms:modified xsi:type="dcterms:W3CDTF">2026-10-22T10:35:00Z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0x010100E69E96CB255F2E4FBB03C8E2E582A9B3</vt:lpwstr>
  </property>
</Properties>
</file>