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3366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50505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3366"/>
          <w:sz w:val="26"/>
          <w:rFonts w:ascii="Times New Roman" w:hAnsi="Times New Roman" w:cs="Times New Roman"/>
        </w:rPr>
        <w:t>Tarea 3: Investigación Técnica de Subredes IP de la Facultad de Ingeniería y Gestión Formal de la Meta Graph API Institucional (WBS 1.2.1 / 1.4.2)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80"/>
          <w:sz w:val="22"/>
          <w:rFonts w:ascii="Times New Roman" w:hAnsi="Times New Roman" w:cs="Times New Roman"/>
        </w:rPr>
        <w:t>Santiago Cuevas Sánchez y Zuleica Betsabel de la Cruz González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25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8C0000"/>
          <w:sz w:val="22"/>
          <w:rFonts w:ascii="Times New Roman" w:hAnsi="Times New Roman" w:cs="Times New Roman"/>
        </w:rPr>
        <w:t>05 de noviembre de 2026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3366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General: Proveer al equipo los parámetros de red oficiales de la Facultad de Ingeniería para el filtro perimetral y formalizar el acceso institucional a la Meta Graph API para sincronización de convocatorias en redes sociales.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Específico y Actividades a Realizar: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Investigación de Segmentos de Red de la FI: Gestionar y recabar con el personal técnico del área de Cómputo y Redes de la Facultad de Ingeniería el catálogo de direcciones IP y subredes CIDR correspondientes a edificios, laboratorios y red Wi-Fi institucional de alumnos.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Gestión de Meta Graph API: Redactar y tramitar el oficio formal ante la Coordinación de Difusión Cultural y Comunicación Social de la Facultad de Ingeniería solicitando el token institucional para la ingesta legítima de eventos y avisos, respaldado en el informe técnico previo de scraping.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Red de Precedencias y Comunicación: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Entregar de inmediato las subredes IP recabadas a Joaquín Ulises García Álvarez para su codificación en el middleware.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Coordinar con Fernando Azuara Ibarra (Project Manager) la revisión, firma y seguimiento del oficio formal institucional.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Entregables Comprometidos: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Documento técnico con la relación de segmentos IP verificados de la Facultad de Ingeniería.</w:t>
      </w:r>
    </w:p>
    <w:p w14:paraId="79241F3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Oficio membretado con acuse de recibido para la solicitud de la Meta Graph API.</w:t>
      </w:r>
    </w:p>
    <w:p w14:paraId="29211A0B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Documentación técnica de actividades utilizando el 'FORMATO UNIVERSAL DE DOCUMENTACIÓN DE TAREAS.docx'.</w:t>
      </w:r>
    </w:p>
    <w:p w14:paraId="7540E13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En caso de negativa o demora en las áreas administrativas de la Facultad, tramitar formalmente la 'Solicitud de cambio.docx' ante el PM para activar la contingencia técnica.</w:t>
      </w:r>
    </w:p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3366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646464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Santiago Cuevas Sánchez / Zuleica Betsabel de la Cruz González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