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w:t>
      </w:r>
      <w:r>
        <w:t>4</w:t>
      </w:r>
      <w:r>
        <w:t>.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3D532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81000"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81001"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81002"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81003"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81004"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81005"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81006"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81007"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81008"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81009"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81010"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lastRenderedPageBreak/>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t xml:space="preserve">modułów (paczek Javy) oraz </w:t>
      </w:r>
      <w:r w:rsidR="005450C0">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1F206A">
      <w:pPr>
        <w:pStyle w:val="Lista"/>
        <w:spacing w:after="0"/>
      </w:pPr>
      <w:r w:rsidRPr="001F206A">
        <w:rPr>
          <w:u w:val="single"/>
        </w:rPr>
        <w:t>moduł logiki</w:t>
      </w:r>
      <w:r w:rsidR="008E3A05" w:rsidRPr="001F206A">
        <w:rPr>
          <w:u w:val="single"/>
        </w:rPr>
        <w:t xml:space="preserve"> aplikacji</w:t>
      </w:r>
      <w:r w:rsidR="001F206A">
        <w:t>:</w:t>
      </w:r>
    </w:p>
    <w:p w:rsidR="008E3A05" w:rsidRPr="001F206A" w:rsidRDefault="008E3A05" w:rsidP="001F206A">
      <w:pPr>
        <w:pStyle w:val="Lista"/>
        <w:spacing w:after="0"/>
        <w:ind w:left="1491"/>
        <w:rPr>
          <w:u w:val="single"/>
        </w:rPr>
      </w:pPr>
      <w:r w:rsidRPr="001F206A">
        <w:rPr>
          <w:u w:val="single"/>
        </w:rPr>
        <w:t>moduł gestów</w:t>
      </w:r>
      <w:r w:rsidR="001F206A">
        <w:rPr>
          <w:u w:val="single"/>
        </w:rPr>
        <w:t>:</w:t>
      </w:r>
    </w:p>
    <w:p w:rsidR="008E3A05" w:rsidRPr="001F206A" w:rsidRDefault="008E3A05" w:rsidP="001F206A">
      <w:pPr>
        <w:pStyle w:val="Lista"/>
        <w:spacing w:after="0"/>
        <w:ind w:left="188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B47E7">
      <w:pPr>
        <w:pStyle w:val="Lista"/>
        <w:spacing w:after="0"/>
        <w:ind w:left="2285"/>
        <w:rPr>
          <w:b/>
        </w:rPr>
      </w:pPr>
      <w:r w:rsidRPr="00804B96">
        <w:rPr>
          <w:b/>
        </w:rPr>
        <w:t>GesturePossibility</w:t>
      </w:r>
      <w:r w:rsidR="005450C0">
        <w:t xml:space="preserve"> - klasa reprezentująca tymczasow</w:t>
      </w:r>
      <w:r w:rsidR="00804B96">
        <w:t xml:space="preserve">e potencjalne rozwiązanie </w:t>
      </w:r>
      <w:r w:rsidR="00804B96">
        <w:t>w procesie identyfikacji złożonych gestów</w:t>
      </w:r>
      <w:r w:rsidR="00804B96">
        <w:t>. Każdy taki obiekt przechowuje referencje do wzorca oraz wyznaczone współczynniki</w:t>
      </w:r>
      <w:r w:rsidR="005450C0">
        <w:t xml:space="preserve"> korelacji dla poszczególnych </w:t>
      </w:r>
      <w:r w:rsidR="00804B96">
        <w:t>gestów składowych;</w:t>
      </w:r>
      <w:bookmarkStart w:id="0" w:name="_GoBack"/>
      <w:bookmarkEnd w:id="0"/>
      <w:r w:rsidR="00804B96">
        <w:t xml:space="preserve"> </w:t>
      </w:r>
      <w:r w:rsidRPr="00804B96">
        <w:rPr>
          <w:b/>
        </w:rPr>
        <w:t>RecognizedGesture</w:t>
      </w:r>
    </w:p>
    <w:p w:rsidR="008E3A05" w:rsidRPr="001F206A" w:rsidRDefault="008E3A05" w:rsidP="001F206A">
      <w:pPr>
        <w:pStyle w:val="Lista"/>
        <w:spacing w:after="0"/>
        <w:ind w:left="188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p>
    <w:p w:rsidR="008E3A05" w:rsidRPr="001F206A" w:rsidRDefault="008E3A05" w:rsidP="001F206A">
      <w:pPr>
        <w:pStyle w:val="Lista"/>
        <w:spacing w:after="0"/>
        <w:ind w:left="2285"/>
        <w:rPr>
          <w:b/>
        </w:rPr>
      </w:pPr>
      <w:r w:rsidRPr="001F206A">
        <w:rPr>
          <w:b/>
        </w:rPr>
        <w:t>SamplesContainer</w:t>
      </w:r>
    </w:p>
    <w:p w:rsidR="008E3A05" w:rsidRPr="001F206A" w:rsidRDefault="008E3A05" w:rsidP="001F206A">
      <w:pPr>
        <w:pStyle w:val="Lista"/>
        <w:spacing w:after="0"/>
        <w:ind w:left="2285"/>
        <w:rPr>
          <w:b/>
        </w:rPr>
      </w:pPr>
      <w:r w:rsidRPr="001F206A">
        <w:rPr>
          <w:b/>
        </w:rPr>
        <w:t>SamplesCollector</w:t>
      </w:r>
    </w:p>
    <w:p w:rsidR="008E3A05" w:rsidRPr="001F206A" w:rsidRDefault="008E3A05" w:rsidP="001F206A">
      <w:pPr>
        <w:pStyle w:val="Lista"/>
        <w:spacing w:after="0"/>
        <w:ind w:left="188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p>
    <w:p w:rsidR="008E3A05" w:rsidRPr="001F206A" w:rsidRDefault="008E3A05" w:rsidP="001F206A">
      <w:pPr>
        <w:pStyle w:val="Lista"/>
        <w:spacing w:after="0"/>
        <w:ind w:left="2285"/>
        <w:rPr>
          <w:b/>
        </w:rPr>
      </w:pPr>
      <w:r w:rsidRPr="001F206A">
        <w:rPr>
          <w:b/>
        </w:rPr>
        <w:t>Track</w:t>
      </w:r>
    </w:p>
    <w:p w:rsidR="008E3A05" w:rsidRPr="001F206A" w:rsidRDefault="008E3A05" w:rsidP="001F206A">
      <w:pPr>
        <w:pStyle w:val="Lista"/>
        <w:spacing w:after="0"/>
        <w:ind w:left="2285"/>
        <w:rPr>
          <w:b/>
        </w:rPr>
      </w:pPr>
      <w:r w:rsidRPr="001F206A">
        <w:rPr>
          <w:b/>
        </w:rPr>
        <w:t>Point</w:t>
      </w:r>
    </w:p>
    <w:p w:rsidR="008E3A05" w:rsidRPr="001F206A" w:rsidRDefault="008E3A05" w:rsidP="001F206A">
      <w:pPr>
        <w:pStyle w:val="Lista"/>
        <w:spacing w:after="0"/>
        <w:ind w:left="2285"/>
        <w:rPr>
          <w:b/>
        </w:rPr>
      </w:pPr>
      <w:r w:rsidRPr="001F206A">
        <w:rPr>
          <w:b/>
        </w:rPr>
        <w:t>FreemanHistogram</w:t>
      </w:r>
    </w:p>
    <w:p w:rsidR="008E3A05" w:rsidRPr="001F206A" w:rsidRDefault="008E3A05" w:rsidP="001F206A">
      <w:pPr>
        <w:pStyle w:val="Lista"/>
        <w:spacing w:after="0"/>
        <w:ind w:left="1888"/>
        <w:rPr>
          <w:b/>
        </w:rPr>
      </w:pPr>
      <w:r w:rsidRPr="001F206A">
        <w:rPr>
          <w:b/>
        </w:rPr>
        <w:t>GestureManager</w:t>
      </w:r>
    </w:p>
    <w:p w:rsidR="008E3A05" w:rsidRPr="001F206A" w:rsidRDefault="008E3A05" w:rsidP="001F206A">
      <w:pPr>
        <w:pStyle w:val="Lista"/>
        <w:spacing w:after="0"/>
        <w:ind w:left="1888"/>
        <w:rPr>
          <w:b/>
        </w:rPr>
      </w:pPr>
      <w:r w:rsidRPr="001F206A">
        <w:rPr>
          <w:b/>
        </w:rPr>
        <w:t>InputGesture</w:t>
      </w:r>
    </w:p>
    <w:p w:rsidR="008E3A05" w:rsidRPr="001F206A" w:rsidRDefault="008E3A05" w:rsidP="001F206A">
      <w:pPr>
        <w:pStyle w:val="Lista"/>
        <w:spacing w:after="0"/>
        <w:ind w:left="1491"/>
        <w:rPr>
          <w:b/>
        </w:rPr>
      </w:pPr>
      <w:r w:rsidRPr="001F206A">
        <w:rPr>
          <w:b/>
        </w:rPr>
        <w:t>TouchPanel</w:t>
      </w:r>
    </w:p>
    <w:p w:rsidR="008E3A05" w:rsidRDefault="008E3A05" w:rsidP="001F206A">
      <w:pPr>
        <w:pStyle w:val="Lista"/>
        <w:spacing w:after="0"/>
        <w:ind w:left="1491"/>
      </w:pPr>
      <w:r w:rsidRPr="001F206A">
        <w:rPr>
          <w:b/>
        </w:rPr>
        <w:t>Engine</w:t>
      </w:r>
      <w:r>
        <w:t xml:space="preserve"> - silnik aplikacji</w:t>
      </w:r>
    </w:p>
    <w:p w:rsidR="005450C0" w:rsidRPr="005450C0" w:rsidRDefault="005450C0" w:rsidP="005450C0">
      <w:pPr>
        <w:pStyle w:val="Lista"/>
        <w:spacing w:after="0"/>
        <w:ind w:left="1491"/>
        <w:rPr>
          <w:b/>
        </w:rPr>
      </w:pPr>
      <w:r w:rsidRPr="001F206A">
        <w:rPr>
          <w:b/>
        </w:rPr>
        <w:t>ButtonsManager</w:t>
      </w:r>
    </w:p>
    <w:p w:rsidR="0083799C" w:rsidRPr="001F206A" w:rsidRDefault="008E3A05" w:rsidP="001F206A">
      <w:pPr>
        <w:pStyle w:val="Lista"/>
        <w:spacing w:after="0"/>
        <w:rPr>
          <w:b/>
        </w:rPr>
      </w:pPr>
      <w:r w:rsidRPr="001F206A">
        <w:rPr>
          <w:b/>
        </w:rPr>
        <w:lastRenderedPageBreak/>
        <w:t>Graphics</w:t>
      </w:r>
    </w:p>
    <w:p w:rsidR="0083799C" w:rsidRPr="001F206A" w:rsidRDefault="0083799C" w:rsidP="001F206A">
      <w:pPr>
        <w:pStyle w:val="Lista"/>
        <w:spacing w:after="0"/>
        <w:rPr>
          <w:u w:val="single"/>
        </w:rPr>
      </w:pPr>
      <w:r w:rsidRPr="001F206A">
        <w:rPr>
          <w:u w:val="single"/>
        </w:rPr>
        <w:t xml:space="preserve">moduł </w:t>
      </w:r>
      <w:r w:rsidR="001F206A">
        <w:rPr>
          <w:u w:val="single"/>
        </w:rPr>
        <w:t>funkcji systemowych:</w:t>
      </w:r>
    </w:p>
    <w:p w:rsidR="008E3A05" w:rsidRPr="001F206A" w:rsidRDefault="008E3A05" w:rsidP="001F206A">
      <w:pPr>
        <w:pStyle w:val="Lista"/>
        <w:spacing w:after="0"/>
        <w:ind w:left="1491"/>
        <w:rPr>
          <w:b/>
        </w:rPr>
      </w:pPr>
      <w:r w:rsidRPr="001F206A">
        <w:rPr>
          <w:b/>
        </w:rPr>
        <w:t>Files</w:t>
      </w:r>
    </w:p>
    <w:p w:rsidR="008E3A05" w:rsidRPr="001F206A" w:rsidRDefault="008E3A05" w:rsidP="001F206A">
      <w:pPr>
        <w:pStyle w:val="Lista"/>
        <w:spacing w:after="0"/>
        <w:ind w:left="1491"/>
        <w:rPr>
          <w:b/>
        </w:rPr>
      </w:pPr>
      <w:r w:rsidRPr="001F206A">
        <w:rPr>
          <w:b/>
        </w:rPr>
        <w:t>InputManager</w:t>
      </w:r>
    </w:p>
    <w:p w:rsidR="008E3A05" w:rsidRPr="001F206A" w:rsidRDefault="008E3A05" w:rsidP="001F206A">
      <w:pPr>
        <w:pStyle w:val="Lista"/>
        <w:spacing w:after="0"/>
        <w:ind w:left="1491"/>
        <w:rPr>
          <w:b/>
        </w:rPr>
      </w:pPr>
      <w:r w:rsidRPr="001F206A">
        <w:rPr>
          <w:b/>
        </w:rPr>
        <w:t>Output</w:t>
      </w:r>
    </w:p>
    <w:p w:rsidR="008E3A05" w:rsidRPr="001F206A" w:rsidRDefault="008E3A05" w:rsidP="001F206A">
      <w:pPr>
        <w:pStyle w:val="Lista"/>
        <w:spacing w:after="0"/>
        <w:ind w:left="1491"/>
        <w:rPr>
          <w:b/>
        </w:rPr>
      </w:pPr>
      <w:r w:rsidRPr="001F206A">
        <w:rPr>
          <w:b/>
        </w:rPr>
        <w:t>TimerManager</w:t>
      </w:r>
    </w:p>
    <w:p w:rsidR="008E3A05" w:rsidRPr="001F206A" w:rsidRDefault="008E3A05" w:rsidP="001F206A">
      <w:pPr>
        <w:pStyle w:val="Lista"/>
        <w:spacing w:after="0"/>
        <w:rPr>
          <w:u w:val="single"/>
        </w:rPr>
      </w:pPr>
      <w:r w:rsidRPr="001F206A">
        <w:rPr>
          <w:u w:val="single"/>
        </w:rPr>
        <w:t>moduł ustawień</w:t>
      </w:r>
      <w:r w:rsidR="001F206A">
        <w:rPr>
          <w:u w:val="single"/>
        </w:rPr>
        <w:t>:</w:t>
      </w:r>
    </w:p>
    <w:p w:rsidR="008E3A05" w:rsidRPr="001F206A" w:rsidRDefault="008E3A05" w:rsidP="001F206A">
      <w:pPr>
        <w:pStyle w:val="Lista"/>
        <w:spacing w:after="0"/>
        <w:ind w:left="1491"/>
        <w:rPr>
          <w:b/>
        </w:rPr>
      </w:pPr>
      <w:r w:rsidRPr="001F206A">
        <w:rPr>
          <w:b/>
        </w:rPr>
        <w:t>Preferences</w:t>
      </w:r>
    </w:p>
    <w:p w:rsidR="008E3A05" w:rsidRPr="001F206A" w:rsidRDefault="008E3A05" w:rsidP="001F206A">
      <w:pPr>
        <w:pStyle w:val="Lista"/>
        <w:spacing w:after="0"/>
        <w:ind w:left="1491"/>
        <w:rPr>
          <w:b/>
        </w:rPr>
      </w:pPr>
      <w:r w:rsidRPr="001F206A">
        <w:rPr>
          <w:b/>
        </w:rPr>
        <w:t>Config</w:t>
      </w:r>
    </w:p>
    <w:p w:rsidR="008E3A05" w:rsidRPr="00897A69" w:rsidRDefault="008E3A05" w:rsidP="001F206A">
      <w:pPr>
        <w:pStyle w:val="Lista"/>
        <w:spacing w:after="0"/>
      </w:pPr>
      <w:r w:rsidRPr="001F206A">
        <w:rPr>
          <w:b/>
        </w:rPr>
        <w:t>MainActivity</w:t>
      </w:r>
      <w:r>
        <w:t xml:space="preserve"> - główna aktywność aplikacji, odpowiada za uruchomienie aplikacji oraz wykonanie akcji w wyniku komunikatów pochodzących z systemu operacyjnego.</w:t>
      </w:r>
    </w:p>
    <w:p w:rsidR="005A4338" w:rsidRDefault="005A4338" w:rsidP="005A4338">
      <w:pPr>
        <w:pStyle w:val="TODO"/>
      </w:pPr>
      <w:r w:rsidRPr="005A4338">
        <w:t>diagram klas</w:t>
      </w:r>
      <w:r w:rsidR="00FE4D2A">
        <w:t xml:space="preserve"> aplikacji, struktura aplikacji</w:t>
      </w:r>
      <w:r w:rsidR="00897A69">
        <w:t>, główne klasy odpowiedzialne za coś</w:t>
      </w:r>
    </w:p>
    <w:p w:rsidR="005A4338" w:rsidRDefault="00A609E3" w:rsidP="005A4338">
      <w:pPr>
        <w:pStyle w:val="Heading2"/>
      </w:pPr>
      <w:r>
        <w:t>6</w:t>
      </w:r>
      <w:r w:rsidR="005A4338">
        <w:t>.3. Działanie aplikacji</w:t>
      </w:r>
    </w:p>
    <w:p w:rsidR="005A4338" w:rsidRDefault="005A4338" w:rsidP="005A4338">
      <w:pPr>
        <w:pStyle w:val="TODO"/>
      </w:pPr>
      <w:r>
        <w:t>opis działania, przechodzenia między ekranami</w:t>
      </w:r>
    </w:p>
    <w:p w:rsidR="00897A69" w:rsidRDefault="00897A69" w:rsidP="005A4338">
      <w:pPr>
        <w:pStyle w:val="TODO"/>
      </w:pPr>
      <w:r>
        <w:t>ekran interfejsu wprowadzania tekstu lub cyfr</w:t>
      </w:r>
    </w:p>
    <w:p w:rsidR="00531DDB" w:rsidRDefault="00531DDB" w:rsidP="005A4338">
      <w:pPr>
        <w:pStyle w:val="TODO"/>
      </w:pPr>
      <w:r w:rsidRPr="00531DDB">
        <w:t>fragmenty niektórych kodów</w:t>
      </w:r>
      <w:r w:rsidR="00C23C93">
        <w:t>?</w:t>
      </w:r>
      <w:r w:rsidRPr="00531DDB">
        <w:t>, funkcje</w:t>
      </w:r>
      <w:r w:rsidR="00284855">
        <w:t xml:space="preserve"> - opis, co robią jakie klasy, za co są odpowiedzialne</w:t>
      </w:r>
    </w:p>
    <w:p w:rsidR="00531DDB" w:rsidRDefault="00531DDB" w:rsidP="005A4338">
      <w:pPr>
        <w:pStyle w:val="TODO"/>
      </w:pPr>
      <w:r w:rsidRPr="00531DDB">
        <w:t>OpenCV - użyte funkcje</w:t>
      </w:r>
    </w:p>
    <w:p w:rsidR="00C23C93" w:rsidRDefault="00C23C93" w:rsidP="005A4338">
      <w:pPr>
        <w:pStyle w:val="TODO"/>
      </w:pPr>
      <w:r>
        <w:t>Android - funkcje</w:t>
      </w:r>
    </w:p>
    <w:p w:rsidR="00714859" w:rsidRDefault="00531DDB" w:rsidP="00531DDB">
      <w:pPr>
        <w:pStyle w:val="TODO"/>
      </w:pPr>
      <w:r>
        <w:t>screeny z programu</w:t>
      </w:r>
    </w:p>
    <w:p w:rsidR="00A25EC5" w:rsidRDefault="00A25EC5" w:rsidP="00531DDB">
      <w:pPr>
        <w:pStyle w:val="TODO"/>
      </w:pPr>
      <w:r>
        <w:t>system gotowy do nauki i użytkowania już w przypadku pustej bazy wzorców</w:t>
      </w:r>
    </w:p>
    <w:p w:rsidR="000224DD" w:rsidRDefault="000224DD" w:rsidP="00531DDB">
      <w:pPr>
        <w:pStyle w:val="TODO"/>
      </w:pPr>
      <w:r>
        <w:t>zapis do pliku - mechanizm serializacji obiektów w Javie</w:t>
      </w:r>
    </w:p>
    <w:p w:rsidR="006E0568" w:rsidRDefault="006E0568" w:rsidP="00531DDB">
      <w:pPr>
        <w:pStyle w:val="TODO"/>
      </w:pPr>
      <w:r>
        <w:t>tryb menedżera gestów i szybkiego pisania, opis przycisków, funkcji</w:t>
      </w:r>
    </w:p>
    <w:p w:rsidR="00B72155" w:rsidRDefault="00B72155" w:rsidP="00531DDB">
      <w:pPr>
        <w:pStyle w:val="TODO"/>
      </w:pPr>
      <w:r>
        <w:t>możliwość przyporządkowania kilku znaków odpowiadającym jednemu gestowi</w:t>
      </w:r>
    </w:p>
    <w:p w:rsidR="003D5324" w:rsidRDefault="003D5324" w:rsidP="00531DDB">
      <w:pPr>
        <w:pStyle w:val="TODO"/>
      </w:pPr>
      <w:r>
        <w:t>2 tryby: szybkie pisanie, zarządzanie gestami</w:t>
      </w:r>
    </w:p>
    <w:p w:rsidR="00DB015D" w:rsidRDefault="00A609E3" w:rsidP="00DB015D">
      <w:pPr>
        <w:pStyle w:val="Heading3"/>
      </w:pPr>
      <w:r>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Default="00DB015D" w:rsidP="00531DDB">
      <w:pPr>
        <w:pStyle w:val="TODO"/>
      </w:pPr>
      <w:r>
        <w:t>rozszerzenie o akcje dla niektórych gestów: np. spacja, enter, backspace</w:t>
      </w:r>
    </w:p>
    <w:p w:rsidR="00714859" w:rsidRDefault="00A609E3" w:rsidP="00714859">
      <w:pPr>
        <w:pStyle w:val="Heading1"/>
      </w:pPr>
      <w:r>
        <w:lastRenderedPageBreak/>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081" w:rsidRDefault="006D1081" w:rsidP="005F1000">
      <w:pPr>
        <w:spacing w:after="0" w:line="240" w:lineRule="auto"/>
      </w:pPr>
      <w:r>
        <w:separator/>
      </w:r>
    </w:p>
  </w:endnote>
  <w:endnote w:type="continuationSeparator" w:id="0">
    <w:p w:rsidR="006D1081" w:rsidRDefault="006D1081"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3D5324" w:rsidRDefault="003D532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804B96" w:rsidRPr="00804B96">
          <w:rPr>
            <w:rFonts w:asciiTheme="majorHAnsi" w:eastAsiaTheme="majorEastAsia" w:hAnsiTheme="majorHAnsi" w:cstheme="majorBidi"/>
            <w:noProof/>
            <w:sz w:val="24"/>
            <w:szCs w:val="24"/>
          </w:rPr>
          <w:t>35</w:t>
        </w:r>
        <w:r w:rsidRPr="00273734">
          <w:rPr>
            <w:rFonts w:asciiTheme="majorHAnsi" w:eastAsiaTheme="majorEastAsia" w:hAnsiTheme="majorHAnsi" w:cstheme="majorBidi"/>
            <w:sz w:val="24"/>
            <w:szCs w:val="24"/>
          </w:rPr>
          <w:fldChar w:fldCharType="end"/>
        </w:r>
      </w:p>
    </w:sdtContent>
  </w:sdt>
  <w:p w:rsidR="003D5324" w:rsidRDefault="003D5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081" w:rsidRDefault="006D1081" w:rsidP="005F1000">
      <w:pPr>
        <w:spacing w:after="0" w:line="240" w:lineRule="auto"/>
      </w:pPr>
      <w:r>
        <w:separator/>
      </w:r>
    </w:p>
  </w:footnote>
  <w:footnote w:type="continuationSeparator" w:id="0">
    <w:p w:rsidR="006D1081" w:rsidRDefault="006D1081"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17995"/>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0D21"/>
    <w:rsid w:val="00191D71"/>
    <w:rsid w:val="001952B0"/>
    <w:rsid w:val="00196BE2"/>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F1DE7"/>
    <w:rsid w:val="0030393C"/>
    <w:rsid w:val="00303BDB"/>
    <w:rsid w:val="003073DF"/>
    <w:rsid w:val="003119A9"/>
    <w:rsid w:val="00312A8F"/>
    <w:rsid w:val="00320C77"/>
    <w:rsid w:val="00321264"/>
    <w:rsid w:val="00321497"/>
    <w:rsid w:val="00321A7B"/>
    <w:rsid w:val="0032623B"/>
    <w:rsid w:val="0033414A"/>
    <w:rsid w:val="003352CC"/>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35A53"/>
    <w:rsid w:val="0044007F"/>
    <w:rsid w:val="00440D2D"/>
    <w:rsid w:val="00442062"/>
    <w:rsid w:val="00446711"/>
    <w:rsid w:val="004467EF"/>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8E3"/>
    <w:rsid w:val="0054275C"/>
    <w:rsid w:val="00542ADB"/>
    <w:rsid w:val="005450C0"/>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1081"/>
    <w:rsid w:val="006D4042"/>
    <w:rsid w:val="006E0568"/>
    <w:rsid w:val="006E48F7"/>
    <w:rsid w:val="006F00A6"/>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05"/>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4C1A"/>
    <w:rsid w:val="00F9191B"/>
    <w:rsid w:val="00F96199"/>
    <w:rsid w:val="00FA2E7D"/>
    <w:rsid w:val="00FA4D9F"/>
    <w:rsid w:val="00FA66C3"/>
    <w:rsid w:val="00FB37CA"/>
    <w:rsid w:val="00FB5AB7"/>
    <w:rsid w:val="00FC18AE"/>
    <w:rsid w:val="00FD038B"/>
    <w:rsid w:val="00FD0AEE"/>
    <w:rsid w:val="00FE4D2A"/>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06"/>
    <w:rsid w:val="006D6419"/>
    <w:rsid w:val="007A2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6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8924-B31F-4311-8F9A-6AF61513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14115</TotalTime>
  <Pages>35</Pages>
  <Words>7760</Words>
  <Characters>46561</Characters>
  <Application>Microsoft Office Word</Application>
  <DocSecurity>0</DocSecurity>
  <Lines>388</Lines>
  <Paragraphs>108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26</cp:revision>
  <dcterms:created xsi:type="dcterms:W3CDTF">2015-12-28T23:43:00Z</dcterms:created>
  <dcterms:modified xsi:type="dcterms:W3CDTF">2016-01-17T23:08:00Z</dcterms:modified>
</cp:coreProperties>
</file>