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6b900"/>
          <w:sz w:val="17"/>
          <w:szCs w:val="17"/>
          <w:rtl w:val="0"/>
        </w:rPr>
        <w:t xml:space="preserve">NVIDIA NEMO  ·  SPEECH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8"/>
          <w:szCs w:val="38"/>
          <w:rtl w:val="0"/>
        </w:rPr>
        <w:t xml:space="preserve">Running the Notebooks on NVIDIA Brev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575757"/>
          <w:sz w:val="22"/>
          <w:szCs w:val="22"/>
          <w:rtl w:val="0"/>
        </w:rPr>
        <w:t xml:space="preserve">Deployment runbook for the Indic multilingual code-mixed ASR notebooks. Covers pulling the NeMo container, hosting it on Brev, and running the notebooks for client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d9d9d9" w:space="0" w:sz="6" w:val="single"/>
        </w:pBdr>
        <w:spacing w:after="20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6b900"/>
          <w:sz w:val="16"/>
          <w:szCs w:val="16"/>
          <w:rtl w:val="0"/>
        </w:rPr>
        <w:t xml:space="preserve">SECTION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5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Prerequisites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e0e0e0" w:space="0" w:sz="4" w:val="single"/>
          <w:left w:color="000000" w:space="0" w:sz="0" w:val="nil"/>
          <w:bottom w:color="e0e0e0" w:space="0" w:sz="4" w:val="single"/>
          <w:right w:color="000000" w:space="0" w:sz="0" w:val="nil"/>
          <w:insideH w:color="e0e0e0" w:space="0" w:sz="4" w:val="single"/>
          <w:insideV w:color="000000" w:space="0" w:sz="0" w:val="nil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shd w:fill="1a1a1a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1a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3131"/>
                <w:sz w:val="19"/>
                <w:szCs w:val="19"/>
                <w:rtl w:val="0"/>
              </w:rPr>
              <w:t xml:space="preserve">NGC account and API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75757"/>
                <w:sz w:val="19"/>
                <w:szCs w:val="19"/>
                <w:rtl w:val="0"/>
              </w:rPr>
              <w:t xml:space="preserve">Generate at ngc.nvidia.com under Setup. The key authenticates the container pull.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3131"/>
                <w:sz w:val="19"/>
                <w:szCs w:val="19"/>
                <w:rtl w:val="0"/>
              </w:rPr>
              <w:t xml:space="preserve">Brev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75757"/>
                <w:sz w:val="19"/>
                <w:szCs w:val="19"/>
                <w:rtl w:val="0"/>
              </w:rPr>
              <w:t xml:space="preserve">A Brev account with permission to create instances in your organisation.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3131"/>
                <w:sz w:val="19"/>
                <w:szCs w:val="19"/>
                <w:rtl w:val="0"/>
              </w:rPr>
              <w:t xml:space="preserve">Container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75757"/>
                <w:sz w:val="19"/>
                <w:szCs w:val="19"/>
                <w:rtl w:val="0"/>
              </w:rPr>
              <w:t xml:space="preserve">Look up the current NeMo container tag in the NGC catalog. Do not assume a tag from documentation — pin one and use it for every run.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3131"/>
                <w:sz w:val="19"/>
                <w:szCs w:val="19"/>
                <w:rtl w:val="0"/>
              </w:rPr>
              <w:t xml:space="preserve">Notebook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75757"/>
                <w:sz w:val="19"/>
                <w:szCs w:val="19"/>
                <w:rtl w:val="0"/>
              </w:rPr>
              <w:t xml:space="preserve">01_Data_Preparation.ipynb and 02_Model_Training.ipynb, ideally in a Git repository so a Launchable can clone them.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3131"/>
                <w:sz w:val="19"/>
                <w:szCs w:val="19"/>
                <w:rtl w:val="0"/>
              </w:rPr>
              <w:t xml:space="preserve">Brev CLI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75757"/>
                <w:sz w:val="19"/>
                <w:szCs w:val="19"/>
                <w:rtl w:val="0"/>
              </w:rPr>
              <w:t xml:space="preserve">Only needed for Path B. The console alone is sufficient for Path 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cf2" w:val="clear"/>
            <w:tcMar>
              <w:top w:w="110.0" w:type="dxa"/>
              <w:left w:w="150.0" w:type="dxa"/>
              <w:bottom w:w="110.0" w:type="dxa"/>
              <w:right w:w="6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6b900"/>
                <w:sz w:val="15"/>
                <w:szCs w:val="15"/>
                <w:rtl w:val="0"/>
              </w:rPr>
              <w:t xml:space="preserve">DECIDE 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cf2" w:val="clear"/>
            <w:tcMar>
              <w:top w:w="110.0" w:type="dxa"/>
              <w:left w:w="6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75757"/>
                <w:sz w:val="19"/>
                <w:szCs w:val="19"/>
                <w:rtl w:val="0"/>
              </w:rPr>
              <w:t xml:space="preserve">Two paths follow. Path A produces a one-click link and is what you give a client. Path B is a manual instance, which is what you use to test before sharing.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Bdr>
          <w:bottom w:color="d9d9d9" w:space="0" w:sz="6" w:val="single"/>
        </w:pBdr>
        <w:spacing w:after="20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6b900"/>
          <w:sz w:val="16"/>
          <w:szCs w:val="16"/>
          <w:rtl w:val="0"/>
        </w:rPr>
        <w:t xml:space="preserve">SECTION 2 · RECOMMENDED FOR 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5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Path A — Package it as a Launchable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313131"/>
          <w:sz w:val="21"/>
          <w:szCs w:val="21"/>
          <w:rtl w:val="0"/>
        </w:rPr>
        <w:t xml:space="preserve">A Launchable bundles compute, container, files and deploy-time parameters into a shareable link. The client clicks it, waits for provisioning, and opens JupyterLab. No commands on their side.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1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3"/>
          <w:szCs w:val="23"/>
          <w:rtl w:val="0"/>
        </w:rPr>
        <w:t xml:space="preserve">Configure in the Brev console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e0e0e0" w:space="0" w:sz="4" w:val="single"/>
          <w:left w:color="000000" w:space="0" w:sz="0" w:val="nil"/>
          <w:bottom w:color="e0e0e0" w:space="0" w:sz="4" w:val="single"/>
          <w:right w:color="000000" w:space="0" w:sz="0" w:val="nil"/>
          <w:insideH w:color="e0e0e0" w:space="0" w:sz="4" w:val="single"/>
          <w:insideV w:color="000000" w:space="0" w:sz="0" w:val="nil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1"/>
        </w:trPr>
        <w:tc>
          <w:tcPr>
            <w:shd w:fill="1a1a1a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1a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3131"/>
                <w:sz w:val="19"/>
                <w:szCs w:val="19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75757"/>
                <w:sz w:val="19"/>
                <w:szCs w:val="19"/>
                <w:rtl w:val="0"/>
              </w:rPr>
              <w:t xml:space="preserve">Something descriptive. It cannot be changed after creation.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3131"/>
                <w:sz w:val="19"/>
                <w:szCs w:val="19"/>
                <w:rtl w:val="0"/>
              </w:rPr>
              <w:t xml:space="preserve">Compute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75757"/>
                <w:sz w:val="19"/>
                <w:szCs w:val="19"/>
                <w:rtl w:val="0"/>
              </w:rPr>
              <w:t xml:space="preserve">A single GPU instance. Set Disk Storage generously — the base checkpoint, corpora and tarred shards are all large.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3131"/>
                <w:sz w:val="19"/>
                <w:szCs w:val="19"/>
                <w:rtl w:val="0"/>
              </w:rPr>
              <w:t xml:space="preserve">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75757"/>
                <w:sz w:val="19"/>
                <w:szCs w:val="19"/>
                <w:rtl w:val="0"/>
              </w:rPr>
              <w:t xml:space="preserve">Choose Single Container and enter the NeMo image with your pinned tag.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3131"/>
                <w:sz w:val="19"/>
                <w:szCs w:val="19"/>
                <w:rtl w:val="0"/>
              </w:rPr>
              <w:t xml:space="preserve">JupyterLab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75757"/>
                <w:sz w:val="19"/>
                <w:szCs w:val="19"/>
                <w:rtl w:val="0"/>
              </w:rPr>
              <w:t xml:space="preserve">Select No if the container runs its own Jupyter server, to avoid a port conflict.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3131"/>
                <w:sz w:val="19"/>
                <w:szCs w:val="19"/>
                <w:rtl w:val="0"/>
              </w:rPr>
              <w:t xml:space="preserve">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75757"/>
                <w:sz w:val="19"/>
                <w:szCs w:val="19"/>
                <w:rtl w:val="0"/>
              </w:rPr>
              <w:t xml:space="preserve">Point at the Git repository holding the two notebooks.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3131"/>
                <w:sz w:val="19"/>
                <w:szCs w:val="19"/>
                <w:rtl w:val="0"/>
              </w:rPr>
              <w:t xml:space="preserve">Launch 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75757"/>
                <w:sz w:val="19"/>
                <w:szCs w:val="19"/>
                <w:rtl w:val="0"/>
              </w:rPr>
              <w:t xml:space="preserve">Add NGC_API_KEY so the client supplies their own key at deploy time rather than receiving yours.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3131"/>
                <w:sz w:val="19"/>
                <w:szCs w:val="19"/>
                <w:rtl w:val="0"/>
              </w:rPr>
              <w:t xml:space="preserve">Secure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75757"/>
                <w:sz w:val="19"/>
                <w:szCs w:val="19"/>
                <w:rtl w:val="0"/>
              </w:rPr>
              <w:t xml:space="preserve">Expose port 8888. This gives JupyterLab a URL behind NVIDIA authentication.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cf2" w:val="clear"/>
            <w:tcMar>
              <w:top w:w="110.0" w:type="dxa"/>
              <w:left w:w="150.0" w:type="dxa"/>
              <w:bottom w:w="110.0" w:type="dxa"/>
              <w:right w:w="6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97a"/>
                <w:sz w:val="15"/>
                <w:szCs w:val="15"/>
                <w:rtl w:val="0"/>
              </w:rPr>
              <w:t xml:space="preserve">BREV BEHAVIOUR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cf2" w:val="clear"/>
            <w:tcMar>
              <w:top w:w="110.0" w:type="dxa"/>
              <w:left w:w="6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75757"/>
                <w:sz w:val="19"/>
                <w:szCs w:val="19"/>
                <w:rtl w:val="0"/>
              </w:rPr>
              <w:t xml:space="preserve">In container mode the Git repository is cloned onto the instance at /home/ubuntu/&lt;repo&gt;, not inside the container. Mount it as a volume or the notebooks will not appear in JupyterLab.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11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3"/>
          <w:szCs w:val="23"/>
          <w:rtl w:val="0"/>
        </w:rPr>
        <w:t xml:space="preserve">What the client does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313131"/>
          <w:sz w:val="21"/>
          <w:szCs w:val="21"/>
          <w:rtl w:val="0"/>
        </w:rPr>
        <w:t xml:space="preserve">Four steps, no terminal: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line="276" w:lineRule="auto"/>
        <w:rPr/>
      </w:pPr>
      <w:r w:rsidDel="00000000" w:rsidR="00000000" w:rsidRPr="00000000">
        <w:rPr>
          <w:rFonts w:ascii="Arial" w:cs="Arial" w:eastAsia="Arial" w:hAnsi="Arial"/>
          <w:color w:val="313131"/>
          <w:sz w:val="21"/>
          <w:szCs w:val="21"/>
          <w:rtl w:val="0"/>
        </w:rPr>
        <w:t xml:space="preserve">1.  Open the Launchable link and click Deploy Launchable.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line="276" w:lineRule="auto"/>
        <w:rPr/>
      </w:pPr>
      <w:r w:rsidDel="00000000" w:rsidR="00000000" w:rsidRPr="00000000">
        <w:rPr>
          <w:rFonts w:ascii="Arial" w:cs="Arial" w:eastAsia="Arial" w:hAnsi="Arial"/>
          <w:color w:val="313131"/>
          <w:sz w:val="21"/>
          <w:szCs w:val="21"/>
          <w:rtl w:val="0"/>
        </w:rPr>
        <w:t xml:space="preserve">2.  Enter their NGC API key when prompted for launch parameters.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line="276" w:lineRule="auto"/>
        <w:rPr/>
      </w:pPr>
      <w:r w:rsidDel="00000000" w:rsidR="00000000" w:rsidRPr="00000000">
        <w:rPr>
          <w:rFonts w:ascii="Arial" w:cs="Arial" w:eastAsia="Arial" w:hAnsi="Arial"/>
          <w:color w:val="313131"/>
          <w:sz w:val="21"/>
          <w:szCs w:val="21"/>
          <w:rtl w:val="0"/>
        </w:rPr>
        <w:t xml:space="preserve">3.  Wait for provisioning — the container pull takes several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40" w:line="276" w:lineRule="auto"/>
        <w:rPr/>
      </w:pPr>
      <w:r w:rsidDel="00000000" w:rsidR="00000000" w:rsidRPr="00000000">
        <w:rPr>
          <w:rFonts w:ascii="Arial" w:cs="Arial" w:eastAsia="Arial" w:hAnsi="Arial"/>
          <w:color w:val="313131"/>
          <w:sz w:val="21"/>
          <w:szCs w:val="21"/>
          <w:rtl w:val="0"/>
        </w:rPr>
        <w:t xml:space="preserve">4.  Click Open Notebook once enabled, then run the preflight cell.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d9d9d9" w:space="0" w:sz="6" w:val="single"/>
        </w:pBdr>
        <w:spacing w:after="20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6b900"/>
          <w:sz w:val="16"/>
          <w:szCs w:val="16"/>
          <w:rtl w:val="0"/>
        </w:rPr>
        <w:t xml:space="preserve">SECTION 3 · FOR YOUR OWN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5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Path B — Manual instance and 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1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3"/>
          <w:szCs w:val="23"/>
          <w:rtl w:val="0"/>
        </w:rPr>
        <w:t xml:space="preserve">3.1  Create and 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4f4f4" w:val="clear"/>
        <w:spacing w:after="0" w:before="6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6e8b3d"/>
          <w:sz w:val="17"/>
          <w:szCs w:val="17"/>
          <w:rtl w:val="0"/>
        </w:rPr>
        <w:t xml:space="preserve"># authenticate the 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4f4f4" w:val="clear"/>
        <w:spacing w:after="0" w:before="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313131"/>
          <w:sz w:val="17"/>
          <w:szCs w:val="17"/>
          <w:rtl w:val="0"/>
        </w:rPr>
        <w:t xml:space="preserve">brev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4f4f4" w:val="clear"/>
        <w:spacing w:after="0" w:before="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313131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4f4f4" w:val="clear"/>
        <w:spacing w:after="0" w:before="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6e8b3d"/>
          <w:sz w:val="17"/>
          <w:szCs w:val="17"/>
          <w:rtl w:val="0"/>
        </w:rPr>
        <w:t xml:space="preserve"># provision a GPU 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4f4f4" w:val="clear"/>
        <w:spacing w:after="0" w:before="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313131"/>
          <w:sz w:val="17"/>
          <w:szCs w:val="17"/>
          <w:rtl w:val="0"/>
        </w:rPr>
        <w:t xml:space="preserve">brev create asr-test --gpu &lt;gpu-type&gt;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4f4f4" w:val="clear"/>
        <w:spacing w:after="0" w:before="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313131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4f4f4" w:val="clear"/>
        <w:spacing w:after="0" w:before="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6e8b3d"/>
          <w:sz w:val="17"/>
          <w:szCs w:val="17"/>
          <w:rtl w:val="0"/>
        </w:rPr>
        <w:t xml:space="preserve"># if you created it in the console instead, sync it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4f4f4" w:val="clear"/>
        <w:spacing w:after="0" w:before="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313131"/>
          <w:sz w:val="17"/>
          <w:szCs w:val="17"/>
          <w:rtl w:val="0"/>
        </w:rPr>
        <w:t xml:space="preserve">brev refresh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4f4f4" w:val="clear"/>
        <w:spacing w:after="140" w:before="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313131"/>
          <w:sz w:val="17"/>
          <w:szCs w:val="17"/>
          <w:rtl w:val="0"/>
        </w:rPr>
        <w:t xml:space="preserve">brev ls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c6297a" w:space="0" w:sz="18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250"/>
        <w:gridCol w:w="8110"/>
        <w:tblGridChange w:id="0">
          <w:tblGrid>
            <w:gridCol w:w="1250"/>
            <w:gridCol w:w="8110"/>
          </w:tblGrid>
        </w:tblGridChange>
      </w:tblGrid>
      <w:tr>
        <w:trPr>
          <w:cantSplit w:val="0"/>
          <w:tblHeader w:val="0"/>
        </w:trPr>
        <w:tc>
          <w:tcPr>
            <w:shd w:fill="fffcf2" w:val="clear"/>
            <w:tcMar>
              <w:top w:w="110.0" w:type="dxa"/>
              <w:left w:w="150.0" w:type="dxa"/>
              <w:bottom w:w="110.0" w:type="dxa"/>
              <w:right w:w="6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97a"/>
                <w:sz w:val="15"/>
                <w:szCs w:val="15"/>
                <w:rtl w:val="0"/>
              </w:rPr>
              <w:t xml:space="preserve">IMPORTANT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cf2" w:val="clear"/>
            <w:tcMar>
              <w:top w:w="110.0" w:type="dxa"/>
              <w:left w:w="6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75757"/>
                <w:sz w:val="19"/>
                <w:szCs w:val="19"/>
                <w:rtl w:val="0"/>
              </w:rPr>
              <w:t xml:space="preserve">brev shell connects to the containerised environment on the instance. Docker runs on the host, so use the --host flag for every command in the next step.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hd w:fill="f4f4f4" w:val="clear"/>
        <w:spacing w:after="0" w:before="6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6e8b3d"/>
          <w:sz w:val="17"/>
          <w:szCs w:val="17"/>
          <w:rtl w:val="0"/>
        </w:rPr>
        <w:t xml:space="preserve"># open a shell on the HOST, not inside the managed 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4f4f4" w:val="clear"/>
        <w:spacing w:after="140" w:before="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313131"/>
          <w:sz w:val="17"/>
          <w:szCs w:val="17"/>
          <w:rtl w:val="0"/>
        </w:rPr>
        <w:t xml:space="preserve">brev shell asr-test --host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1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3"/>
          <w:szCs w:val="23"/>
          <w:rtl w:val="0"/>
        </w:rPr>
        <w:t xml:space="preserve">3.2  Pull the NeMo 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313131"/>
          <w:sz w:val="21"/>
          <w:szCs w:val="21"/>
          <w:rtl w:val="0"/>
        </w:rPr>
        <w:t xml:space="preserve">Brev instances have Docker and the NVIDIA Container Toolkit preinstalled, so nothing needs installing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4f4f4" w:val="clear"/>
        <w:spacing w:after="0" w:before="6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6e8b3d"/>
          <w:sz w:val="17"/>
          <w:szCs w:val="17"/>
          <w:rtl w:val="0"/>
        </w:rPr>
        <w:t xml:space="preserve"># log in to NGC. The username is literally $oauthtoken.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4f4f4" w:val="clear"/>
        <w:spacing w:after="0" w:before="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313131"/>
          <w:sz w:val="17"/>
          <w:szCs w:val="17"/>
          <w:rtl w:val="0"/>
        </w:rPr>
        <w:t xml:space="preserve">docker login nvcr.io -u '$oauthtoken' -p "$NGC_API_KEY"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4f4f4" w:val="clear"/>
        <w:spacing w:after="0" w:before="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313131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4f4f4" w:val="clear"/>
        <w:spacing w:after="0" w:before="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6e8b3d"/>
          <w:sz w:val="17"/>
          <w:szCs w:val="17"/>
          <w:rtl w:val="0"/>
        </w:rPr>
        <w:t xml:space="preserve"># pull the image, using the tag you pinned from the NGC catalog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4f4f4" w:val="clear"/>
        <w:spacing w:after="0" w:before="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313131"/>
          <w:sz w:val="17"/>
          <w:szCs w:val="17"/>
          <w:rtl w:val="0"/>
        </w:rPr>
        <w:t xml:space="preserve">docker pull nvcr.io/nvidia/nemo:&lt;tag&gt;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4f4f4" w:val="clear"/>
        <w:spacing w:after="0" w:before="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313131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4f4f4" w:val="clear"/>
        <w:spacing w:after="0" w:before="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6e8b3d"/>
          <w:sz w:val="17"/>
          <w:szCs w:val="17"/>
          <w:rtl w:val="0"/>
        </w:rPr>
        <w:t xml:space="preserve"># confirm it is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4f4f4" w:val="clear"/>
        <w:spacing w:after="140" w:before="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313131"/>
          <w:sz w:val="17"/>
          <w:szCs w:val="17"/>
          <w:rtl w:val="0"/>
        </w:rPr>
        <w:t xml:space="preserve">docker images | grep nemo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c6297a" w:space="0" w:sz="18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250"/>
        <w:gridCol w:w="8110"/>
        <w:tblGridChange w:id="0">
          <w:tblGrid>
            <w:gridCol w:w="1250"/>
            <w:gridCol w:w="8110"/>
          </w:tblGrid>
        </w:tblGridChange>
      </w:tblGrid>
      <w:tr>
        <w:trPr>
          <w:cantSplit w:val="0"/>
          <w:tblHeader w:val="0"/>
        </w:trPr>
        <w:tc>
          <w:tcPr>
            <w:shd w:fill="fffcf2" w:val="clear"/>
            <w:tcMar>
              <w:top w:w="110.0" w:type="dxa"/>
              <w:left w:w="150.0" w:type="dxa"/>
              <w:bottom w:w="110.0" w:type="dxa"/>
              <w:right w:w="6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97a"/>
                <w:sz w:val="15"/>
                <w:szCs w:val="15"/>
                <w:rtl w:val="0"/>
              </w:rPr>
              <w:t xml:space="preserve">IF THE PULL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cf2" w:val="clear"/>
            <w:tcMar>
              <w:top w:w="110.0" w:type="dxa"/>
              <w:left w:w="6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75757"/>
                <w:sz w:val="19"/>
                <w:szCs w:val="19"/>
                <w:rtl w:val="0"/>
              </w:rPr>
              <w:t xml:space="preserve">Some NGC containers are anonymously pullable and some are not. If docker login is rejected, confirm the key is a valid NGC API key rather than an NGC personal access token for a different service, and that your org has access to the image.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11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3"/>
          <w:szCs w:val="23"/>
          <w:rtl w:val="0"/>
        </w:rPr>
        <w:t xml:space="preserve">3.3  Run it with the notebooks mounted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4f4f4" w:val="clear"/>
        <w:spacing w:after="0" w:before="6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6e8b3d"/>
          <w:sz w:val="17"/>
          <w:szCs w:val="17"/>
          <w:rtl w:val="0"/>
        </w:rPr>
        <w:t xml:space="preserve"># work under /home/ubuntu/workspace - it persists across instance stops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4f4f4" w:val="clear"/>
        <w:spacing w:after="0" w:before="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313131"/>
          <w:sz w:val="17"/>
          <w:szCs w:val="17"/>
          <w:rtl w:val="0"/>
        </w:rPr>
        <w:t xml:space="preserve">cd /home/ubuntu/workspace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4f4f4" w:val="clear"/>
        <w:spacing w:after="0" w:before="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313131"/>
          <w:sz w:val="17"/>
          <w:szCs w:val="17"/>
          <w:rtl w:val="0"/>
        </w:rPr>
        <w:t xml:space="preserve">git clone &lt;your-notebook-repo&gt; notebooks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4f4f4" w:val="clear"/>
        <w:spacing w:after="0" w:before="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313131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4f4f4" w:val="clear"/>
        <w:spacing w:after="0" w:before="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313131"/>
          <w:sz w:val="17"/>
          <w:szCs w:val="17"/>
          <w:rtl w:val="0"/>
        </w:rPr>
        <w:t xml:space="preserve">docker run --gpus all -it --rm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4f4f4" w:val="clear"/>
        <w:spacing w:after="0" w:before="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313131"/>
          <w:sz w:val="17"/>
          <w:szCs w:val="17"/>
          <w:rtl w:val="0"/>
        </w:rPr>
        <w:t xml:space="preserve">  --ipc=host --ulimit memlock=-1 --ulimit stack=67108864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4f4f4" w:val="clear"/>
        <w:spacing w:after="0" w:before="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313131"/>
          <w:sz w:val="17"/>
          <w:szCs w:val="17"/>
          <w:rtl w:val="0"/>
        </w:rPr>
        <w:t xml:space="preserve">  -p 8888:8888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4f4f4" w:val="clear"/>
        <w:spacing w:after="0" w:before="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313131"/>
          <w:sz w:val="17"/>
          <w:szCs w:val="17"/>
          <w:rtl w:val="0"/>
        </w:rPr>
        <w:t xml:space="preserve">  -v /home/ubuntu/workspace:/workspace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4f4f4" w:val="clear"/>
        <w:spacing w:after="140" w:before="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313131"/>
          <w:sz w:val="17"/>
          <w:szCs w:val="17"/>
          <w:rtl w:val="0"/>
        </w:rPr>
        <w:t xml:space="preserve">  nvcr.io/nvidia/nemo:&lt;tag&gt; 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313131"/>
          <w:sz w:val="21"/>
          <w:szCs w:val="21"/>
          <w:rtl w:val="0"/>
        </w:rPr>
        <w:t xml:space="preserve">Then, inside the container: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4f4f4" w:val="clear"/>
        <w:spacing w:after="0" w:before="6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6e8b3d"/>
          <w:sz w:val="17"/>
          <w:szCs w:val="17"/>
          <w:rtl w:val="0"/>
        </w:rPr>
        <w:t xml:space="preserve"># packages the NeMo image does not carry but the notebooks need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4f4f4" w:val="clear"/>
        <w:spacing w:after="0" w:before="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313131"/>
          <w:sz w:val="17"/>
          <w:szCs w:val="17"/>
          <w:rtl w:val="0"/>
        </w:rPr>
        <w:t xml:space="preserve">apt-get update &amp;&amp; apt-get install -y sox libsox-fmt-all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4f4f4" w:val="clear"/>
        <w:spacing w:after="0" w:before="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313131"/>
          <w:sz w:val="17"/>
          <w:szCs w:val="17"/>
          <w:rtl w:val="0"/>
        </w:rPr>
        <w:t xml:space="preserve">pip install kaldialign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4f4f4" w:val="clear"/>
        <w:spacing w:after="0" w:before="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313131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4f4f4" w:val="clear"/>
        <w:spacing w:after="0" w:before="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6e8b3d"/>
          <w:sz w:val="17"/>
          <w:szCs w:val="17"/>
          <w:rtl w:val="0"/>
        </w:rPr>
        <w:t xml:space="preserve"># start JupyterLab bound to all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4f4f4" w:val="clear"/>
        <w:spacing w:after="0" w:before="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313131"/>
          <w:sz w:val="17"/>
          <w:szCs w:val="17"/>
          <w:rtl w:val="0"/>
        </w:rPr>
        <w:t xml:space="preserve">jupyter lab --ip=0.0.0.0 --port=8888 --allow-root --no-browser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4f4f4" w:val="clear"/>
        <w:spacing w:after="140" w:before="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313131"/>
          <w:sz w:val="17"/>
          <w:szCs w:val="17"/>
          <w:rtl w:val="0"/>
        </w:rPr>
        <w:t xml:space="preserve">  --notebook-dir=/workspace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1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3"/>
          <w:szCs w:val="23"/>
          <w:rtl w:val="0"/>
        </w:rPr>
        <w:t xml:space="preserve">3.4  Reach JupyterLab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313131"/>
          <w:sz w:val="21"/>
          <w:szCs w:val="21"/>
          <w:rtl w:val="0"/>
        </w:rPr>
        <w:t xml:space="preserve">Either forward the port to your machine: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4f4f4" w:val="clear"/>
        <w:spacing w:after="0" w:before="6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6e8b3d"/>
          <w:sz w:val="17"/>
          <w:szCs w:val="17"/>
          <w:rtl w:val="0"/>
        </w:rPr>
        <w:t xml:space="preserve"># run this on your laptop, not on the 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4f4f4" w:val="clear"/>
        <w:spacing w:after="0" w:before="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313131"/>
          <w:sz w:val="17"/>
          <w:szCs w:val="17"/>
          <w:rtl w:val="0"/>
        </w:rPr>
        <w:t xml:space="preserve">brev port-forward asr-test --port 8888:8888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4f4f4" w:val="clear"/>
        <w:spacing w:after="140" w:before="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6e8b3d"/>
          <w:sz w:val="17"/>
          <w:szCs w:val="17"/>
          <w:rtl w:val="0"/>
        </w:rPr>
        <w:t xml:space="preserve"># then open http://localhost:8888 and paste the token from the Jupyter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313131"/>
          <w:sz w:val="21"/>
          <w:szCs w:val="21"/>
          <w:rtl w:val="0"/>
        </w:rPr>
        <w:t xml:space="preserve">Or create a Tunnel in the console under the instance's Access section for a shareable URL, which is the better option when a client needs to reach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bottom w:color="d9d9d9" w:space="0" w:sz="6" w:val="single"/>
        </w:pBdr>
        <w:spacing w:after="20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6b900"/>
          <w:sz w:val="16"/>
          <w:szCs w:val="16"/>
          <w:rtl w:val="0"/>
        </w:rPr>
        <w:t xml:space="preserve">SECTION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5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Verify before handing it 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313131"/>
          <w:sz w:val="21"/>
          <w:szCs w:val="21"/>
          <w:rtl w:val="0"/>
        </w:rPr>
        <w:t xml:space="preserve">Run these in order. Each one answers a different question.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4f4f4" w:val="clear"/>
        <w:spacing w:after="0" w:before="6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6e8b3d"/>
          <w:sz w:val="17"/>
          <w:szCs w:val="17"/>
          <w:rtl w:val="0"/>
        </w:rPr>
        <w:t xml:space="preserve"># 1. GPU visible inside the container?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4f4f4" w:val="clear"/>
        <w:spacing w:after="0" w:before="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313131"/>
          <w:sz w:val="17"/>
          <w:szCs w:val="17"/>
          <w:rtl w:val="0"/>
        </w:rPr>
        <w:t xml:space="preserve">nvidia-smi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4f4f4" w:val="clear"/>
        <w:spacing w:after="0" w:before="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313131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4f4f4" w:val="clear"/>
        <w:spacing w:after="0" w:before="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6e8b3d"/>
          <w:sz w:val="17"/>
          <w:szCs w:val="17"/>
          <w:rtl w:val="0"/>
        </w:rPr>
        <w:t xml:space="preserve"># 2. NeMo importable, and which version?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4f4f4" w:val="clear"/>
        <w:spacing w:after="0" w:before="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313131"/>
          <w:sz w:val="17"/>
          <w:szCs w:val="17"/>
          <w:rtl w:val="0"/>
        </w:rPr>
        <w:t xml:space="preserve">python -c "import nemo; print(nemo.__version__)"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4f4f4" w:val="clear"/>
        <w:spacing w:after="0" w:before="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313131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4f4f4" w:val="clear"/>
        <w:spacing w:after="0" w:before="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6e8b3d"/>
          <w:sz w:val="17"/>
          <w:szCs w:val="17"/>
          <w:rtl w:val="0"/>
        </w:rPr>
        <w:t xml:space="preserve"># 3. text processing available? (needs Pynini, the most fragile dependency)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4f4f4" w:val="clear"/>
        <w:spacing w:after="0" w:before="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313131"/>
          <w:sz w:val="17"/>
          <w:szCs w:val="17"/>
          <w:rtl w:val="0"/>
        </w:rPr>
        <w:t xml:space="preserve">python -c "from nemo_text_processing.inverse_text_normalization.inverse_normalize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4f4f4" w:val="clear"/>
        <w:spacing w:after="0" w:before="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313131"/>
          <w:sz w:val="17"/>
          <w:szCs w:val="17"/>
          <w:rtl w:val="0"/>
        </w:rPr>
        <w:t xml:space="preserve">           import InverseNormalizer; print('ok')"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4f4f4" w:val="clear"/>
        <w:spacing w:after="0" w:before="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313131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4f4f4" w:val="clear"/>
        <w:spacing w:after="0" w:before="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6e8b3d"/>
          <w:sz w:val="17"/>
          <w:szCs w:val="17"/>
          <w:rtl w:val="0"/>
        </w:rPr>
        <w:t xml:space="preserve"># 4. which codec encoders does this FFmpeg build actually have?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4f4f4" w:val="clear"/>
        <w:spacing w:after="140" w:before="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313131"/>
          <w:sz w:val="17"/>
          <w:szCs w:val="17"/>
          <w:rtl w:val="0"/>
        </w:rPr>
        <w:t xml:space="preserve">ffmpeg -hide_banner -encoders | grep -E 'pcm_alaw|pcm_mulaw|g722|libopus|amr'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313131"/>
          <w:sz w:val="21"/>
          <w:szCs w:val="21"/>
          <w:rtl w:val="0"/>
        </w:rPr>
        <w:t xml:space="preserve">Then open 01_Data_Preparation.ipynb and run the preflight cell. It prints a present/missing table for every module, binary and path the notebooks use, and establishes the ENV dictionary that later sections consult. Anything missing causes those sections to skip with a message rather than fail.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76b900" w:space="0" w:sz="18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250"/>
        <w:gridCol w:w="8110"/>
        <w:tblGridChange w:id="0">
          <w:tblGrid>
            <w:gridCol w:w="1250"/>
            <w:gridCol w:w="8110"/>
          </w:tblGrid>
        </w:tblGridChange>
      </w:tblGrid>
      <w:tr>
        <w:trPr>
          <w:cantSplit w:val="0"/>
          <w:tblHeader w:val="0"/>
        </w:trPr>
        <w:tc>
          <w:tcPr>
            <w:shd w:fill="fffcf2" w:val="clear"/>
            <w:tcMar>
              <w:top w:w="110.0" w:type="dxa"/>
              <w:left w:w="150.0" w:type="dxa"/>
              <w:bottom w:w="110.0" w:type="dxa"/>
              <w:right w:w="6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6b900"/>
                <w:sz w:val="15"/>
                <w:szCs w:val="15"/>
                <w:rtl w:val="0"/>
              </w:rPr>
              <w:t xml:space="preserve">EXPECT THIS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cf2" w:val="clear"/>
            <w:tcMar>
              <w:top w:w="110.0" w:type="dxa"/>
              <w:left w:w="6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75757"/>
                <w:sz w:val="19"/>
                <w:szCs w:val="19"/>
                <w:rtl w:val="0"/>
              </w:rPr>
              <w:t xml:space="preserve">Both AMR encoders are commonly absent even from builds that have everything else. AMR-WB is the mobile default on VoLTE, so if that condition matters, an FFmpeg build with libopencore-amrnb and libvo-amrwbenc is required. The codec section detects and skips it either way.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pBdr>
          <w:bottom w:color="d9d9d9" w:space="0" w:sz="6" w:val="single"/>
        </w:pBdr>
        <w:spacing w:after="20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6b900"/>
          <w:sz w:val="16"/>
          <w:szCs w:val="16"/>
          <w:rtl w:val="0"/>
        </w:rPr>
        <w:t xml:space="preserve">SECTION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5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Running the notebooks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e0e0e0" w:space="0" w:sz="4" w:val="single"/>
          <w:left w:color="000000" w:space="0" w:sz="0" w:val="nil"/>
          <w:bottom w:color="e0e0e0" w:space="0" w:sz="4" w:val="single"/>
          <w:right w:color="000000" w:space="0" w:sz="0" w:val="nil"/>
          <w:insideH w:color="e0e0e0" w:space="0" w:sz="4" w:val="single"/>
          <w:insideV w:color="000000" w:space="0" w:sz="0" w:val="nil"/>
        </w:tblBorders>
        <w:tblLayout w:type="fixed"/>
        <w:tblLook w:val="0000"/>
      </w:tblPr>
      <w:tblGrid>
        <w:gridCol w:w="900"/>
        <w:gridCol w:w="3300"/>
        <w:gridCol w:w="5160"/>
        <w:tblGridChange w:id="0">
          <w:tblGrid>
            <w:gridCol w:w="900"/>
            <w:gridCol w:w="3300"/>
            <w:gridCol w:w="5160"/>
          </w:tblGrid>
        </w:tblGridChange>
      </w:tblGrid>
      <w:tr>
        <w:trPr>
          <w:cantSplit w:val="0"/>
          <w:tblHeader w:val="1"/>
        </w:trPr>
        <w:tc>
          <w:tcPr>
            <w:shd w:fill="1a1a1a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1a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1a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Runs without data?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313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75757"/>
                <w:sz w:val="19"/>
                <w:szCs w:val="19"/>
                <w:rtl w:val="0"/>
              </w:rPr>
              <w:t xml:space="preserve">01_Data_Preparation.ipynb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75757"/>
                <w:sz w:val="19"/>
                <w:szCs w:val="19"/>
                <w:rtl w:val="0"/>
              </w:rPr>
              <w:t xml:space="preserve">Yes — section 0 generates a small synthetic corpus, so the codec, spectrogram, bandwidth and manifest sections execute immediately.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3131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75757"/>
                <w:sz w:val="19"/>
                <w:szCs w:val="19"/>
                <w:rtl w:val="0"/>
              </w:rPr>
              <w:t xml:space="preserve">02_Model_Training.ipynb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75757"/>
                <w:sz w:val="19"/>
                <w:szCs w:val="19"/>
                <w:rtl w:val="0"/>
              </w:rPr>
              <w:t xml:space="preserve">Configuration and arithmetic sections yes; training, transcription and decoding need real data and skip otherwise.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313131"/>
          <w:sz w:val="21"/>
          <w:szCs w:val="21"/>
          <w:rtl w:val="0"/>
        </w:rPr>
        <w:t xml:space="preserve">Optional environment variables, if the defaults do not suit the instance layout: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4f4f4" w:val="clear"/>
        <w:spacing w:after="0" w:before="6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313131"/>
          <w:sz w:val="17"/>
          <w:szCs w:val="17"/>
          <w:rtl w:val="0"/>
        </w:rPr>
        <w:t xml:space="preserve">export SPEECH_REPO=/workspace/Speech      # NVIDIA-NeMo/Speech clone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4f4f4" w:val="clear"/>
        <w:spacing w:after="0" w:before="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313131"/>
          <w:sz w:val="17"/>
          <w:szCs w:val="17"/>
          <w:rtl w:val="0"/>
        </w:rPr>
        <w:t xml:space="preserve">export DATA_ROOT=/workspace/data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4f4f4" w:val="clear"/>
        <w:spacing w:after="0" w:before="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313131"/>
          <w:sz w:val="17"/>
          <w:szCs w:val="17"/>
          <w:rtl w:val="0"/>
        </w:rPr>
        <w:t xml:space="preserve">export MODEL_ROOT=/workspace/models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4f4f4" w:val="clear"/>
        <w:spacing w:after="0" w:before="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313131"/>
          <w:sz w:val="17"/>
          <w:szCs w:val="17"/>
          <w:rtl w:val="0"/>
        </w:rPr>
        <w:t xml:space="preserve">export WORK_ROOT=/workspace/work          # synthetic corpus and rendered audio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4f4f4" w:val="clear"/>
        <w:spacing w:after="140" w:before="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313131"/>
          <w:sz w:val="17"/>
          <w:szCs w:val="17"/>
          <w:rtl w:val="0"/>
        </w:rPr>
        <w:t xml:space="preserve">export CONF_DIR=/workspace/conf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bottom w:color="d9d9d9" w:space="0" w:sz="6" w:val="single"/>
        </w:pBdr>
        <w:spacing w:after="20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6b900"/>
          <w:sz w:val="16"/>
          <w:szCs w:val="16"/>
          <w:rtl w:val="0"/>
        </w:rPr>
        <w:t xml:space="preserve">SECTION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5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Troubleshooting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e0e0e0" w:space="0" w:sz="4" w:val="single"/>
          <w:left w:color="000000" w:space="0" w:sz="0" w:val="nil"/>
          <w:bottom w:color="e0e0e0" w:space="0" w:sz="4" w:val="single"/>
          <w:right w:color="000000" w:space="0" w:sz="0" w:val="nil"/>
          <w:insideH w:color="e0e0e0" w:space="0" w:sz="4" w:val="single"/>
          <w:insideV w:color="000000" w:space="0" w:sz="0" w:val="nil"/>
        </w:tblBorders>
        <w:tblLayout w:type="fixed"/>
        <w:tblLook w:val="0000"/>
      </w:tblPr>
      <w:tblGrid>
        <w:gridCol w:w="3100"/>
        <w:gridCol w:w="6260"/>
        <w:tblGridChange w:id="0">
          <w:tblGrid>
            <w:gridCol w:w="3100"/>
            <w:gridCol w:w="6260"/>
          </w:tblGrid>
        </w:tblGridChange>
      </w:tblGrid>
      <w:tr>
        <w:trPr>
          <w:cantSplit w:val="0"/>
          <w:tblHeader w:val="1"/>
        </w:trPr>
        <w:tc>
          <w:tcPr>
            <w:shd w:fill="1a1a1a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Symptom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1a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Cause and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3131"/>
                <w:sz w:val="19"/>
                <w:szCs w:val="19"/>
                <w:rtl w:val="0"/>
              </w:rPr>
              <w:t xml:space="preserve">Preflight reports NeMo 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75757"/>
                <w:sz w:val="19"/>
                <w:szCs w:val="19"/>
                <w:rtl w:val="0"/>
              </w:rPr>
              <w:t xml:space="preserve">The instance is in VM mode rather than container mode, so the notebook is running on the bare host. Either recreate as Single Container, or follow Path B and run Jupyter inside the container.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3131"/>
                <w:sz w:val="19"/>
                <w:szCs w:val="19"/>
                <w:rtl w:val="0"/>
              </w:rPr>
              <w:t xml:space="preserve">Notebooks not visible in JupyterLab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75757"/>
                <w:sz w:val="19"/>
                <w:szCs w:val="19"/>
                <w:rtl w:val="0"/>
              </w:rPr>
              <w:t xml:space="preserve">The Git repo was cloned to the instance, not into the container. Mount /home/ubuntu/workspace as a volume.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3131"/>
                <w:sz w:val="19"/>
                <w:szCs w:val="19"/>
                <w:rtl w:val="0"/>
              </w:rPr>
              <w:t xml:space="preserve">Two Jupyter servers, port 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75757"/>
                <w:sz w:val="19"/>
                <w:szCs w:val="19"/>
                <w:rtl w:val="0"/>
              </w:rPr>
              <w:t xml:space="preserve">The Launchable enabled JupyterLab while the container also starts one. Set JupyterLab to 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3131"/>
                <w:sz w:val="19"/>
                <w:szCs w:val="19"/>
                <w:rtl w:val="0"/>
              </w:rPr>
              <w:t xml:space="preserve">docker: command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75757"/>
                <w:sz w:val="19"/>
                <w:szCs w:val="19"/>
                <w:rtl w:val="0"/>
              </w:rPr>
              <w:t xml:space="preserve">You are inside the managed container. Reconnect with brev shell &lt;name&gt; --host.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3131"/>
                <w:sz w:val="19"/>
                <w:szCs w:val="19"/>
                <w:rtl w:val="0"/>
              </w:rPr>
              <w:t xml:space="preserve">ImportError on kaldialign during 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75757"/>
                <w:sz w:val="19"/>
                <w:szCs w:val="19"/>
                <w:rtl w:val="0"/>
              </w:rPr>
              <w:t xml:space="preserve">Not in the NeMo image. pip install kaldialign inside the container.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3131"/>
                <w:sz w:val="19"/>
                <w:szCs w:val="19"/>
                <w:rtl w:val="0"/>
              </w:rPr>
              <w:t xml:space="preserve">Codec perturbation fails at training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75757"/>
                <w:sz w:val="19"/>
                <w:szCs w:val="19"/>
                <w:rtl w:val="0"/>
              </w:rPr>
              <w:t xml:space="preserve">sox is missing, or lacks format libraries. Install sox and libsox-fmt-all.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3131"/>
                <w:sz w:val="19"/>
                <w:szCs w:val="19"/>
                <w:rtl w:val="0"/>
              </w:rPr>
              <w:t xml:space="preserve">localhost:8888 refuses 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75757"/>
                <w:sz w:val="19"/>
                <w:szCs w:val="19"/>
                <w:rtl w:val="0"/>
              </w:rPr>
              <w:t xml:space="preserve">Port forward not running, or Jupyter bound to 127.0.0.1. Start it with --ip=0.0.0.0.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3131"/>
                <w:sz w:val="19"/>
                <w:szCs w:val="19"/>
                <w:rtl w:val="0"/>
              </w:rPr>
              <w:t xml:space="preserve">Disk full mid-download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75757"/>
                <w:sz w:val="19"/>
                <w:szCs w:val="19"/>
                <w:rtl w:val="0"/>
              </w:rPr>
              <w:t xml:space="preserve">Disk Storage set too low. Corpora, the checkpoint and tarred shards each need substantial room; resize and redeploy.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pBdr>
          <w:bottom w:color="d9d9d9" w:space="0" w:sz="6" w:val="single"/>
        </w:pBdr>
        <w:spacing w:after="20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6b900"/>
          <w:sz w:val="16"/>
          <w:szCs w:val="16"/>
          <w:rtl w:val="0"/>
        </w:rPr>
        <w:t xml:space="preserve">SECTION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5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Teardown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313131"/>
          <w:sz w:val="21"/>
          <w:szCs w:val="21"/>
          <w:rtl w:val="0"/>
        </w:rPr>
        <w:t xml:space="preserve">Instances bill while running. Stop them when idle.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4f4f4" w:val="clear"/>
        <w:spacing w:after="0" w:before="6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313131"/>
          <w:sz w:val="17"/>
          <w:szCs w:val="17"/>
          <w:rtl w:val="0"/>
        </w:rPr>
        <w:t xml:space="preserve">brev stop asr-test     # stops billing; /home/ubuntu/workspace persists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4f4f4" w:val="clear"/>
        <w:spacing w:after="140" w:before="0" w:line="240" w:lineRule="auto"/>
        <w:ind w:left="170" w:right="170" w:firstLine="0"/>
        <w:rPr/>
      </w:pPr>
      <w:r w:rsidDel="00000000" w:rsidR="00000000" w:rsidRPr="00000000">
        <w:rPr>
          <w:rFonts w:ascii="Courier New" w:cs="Courier New" w:eastAsia="Courier New" w:hAnsi="Courier New"/>
          <w:color w:val="313131"/>
          <w:sz w:val="17"/>
          <w:szCs w:val="17"/>
          <w:rtl w:val="0"/>
        </w:rPr>
        <w:t xml:space="preserve">brev delete asr-test   # removes the instance and its storage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c6297a" w:space="0" w:sz="18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250"/>
        <w:gridCol w:w="8110"/>
        <w:tblGridChange w:id="0">
          <w:tblGrid>
            <w:gridCol w:w="1250"/>
            <w:gridCol w:w="8110"/>
          </w:tblGrid>
        </w:tblGridChange>
      </w:tblGrid>
      <w:tr>
        <w:trPr>
          <w:cantSplit w:val="0"/>
          <w:tblHeader w:val="0"/>
        </w:trPr>
        <w:tc>
          <w:tcPr>
            <w:shd w:fill="fffcf2" w:val="clear"/>
            <w:tcMar>
              <w:top w:w="110.0" w:type="dxa"/>
              <w:left w:w="150.0" w:type="dxa"/>
              <w:bottom w:w="110.0" w:type="dxa"/>
              <w:right w:w="60.0" w:type="dxa"/>
            </w:tcMar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97a"/>
                <w:sz w:val="15"/>
                <w:szCs w:val="15"/>
                <w:rtl w:val="0"/>
              </w:rPr>
              <w:t xml:space="preserve">DATA 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cf2" w:val="clear"/>
            <w:tcMar>
              <w:top w:w="110.0" w:type="dxa"/>
              <w:left w:w="6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75757"/>
                <w:sz w:val="19"/>
                <w:szCs w:val="19"/>
                <w:rtl w:val="0"/>
              </w:rPr>
              <w:t xml:space="preserve">Work stored outside /home/ubuntu/workspace does not survive a stop, and nothing survives a delete. Push notebooks and configs to Git before stopping.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pBdr>
          <w:bottom w:color="d9d9d9" w:space="0" w:sz="6" w:val="single"/>
        </w:pBdr>
        <w:spacing w:after="20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75757"/>
          <w:sz w:val="18"/>
          <w:szCs w:val="18"/>
          <w:rtl w:val="0"/>
        </w:rPr>
        <w:t xml:space="preserve">Command syntax verified against the NVIDIA Brev CLI documentation. Container tags and package versions should be pinned against the current NGC catalog at the time of deployment.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13131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313131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