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60" w:before="0" w:line="276" w:lineRule="auto"/>
        <w:jc w:val="left"/>
      </w:pPr>
      <w:r>
        <w:rPr>
          <w:rFonts w:ascii="Calibri" w:cs="Calibri" w:eastAsia="Calibri" w:hAnsi="Calibri"/>
          <w:b/>
          <w:bCs/>
          <w:color w:val="2E75B6"/>
          <w:sz w:val="22"/>
          <w:szCs w:val="22"/>
        </w:rPr>
        <w:t xml:space="preserve">BUSINESS INSIGHTS REPORT</w:t>
      </w:r>
    </w:p>
    <w:p>
      <w:pPr>
        <w:spacing w:after="160" w:line="240" w:lineRule="auto"/>
      </w:pPr>
      <w:r>
        <w:rPr>
          <w:rFonts w:ascii="Calibri" w:cs="Calibri" w:eastAsia="Calibri" w:hAnsi="Calibri"/>
          <w:b/>
          <w:bCs/>
          <w:color w:val="1F3A5F"/>
          <w:sz w:val="60"/>
          <w:szCs w:val="60"/>
        </w:rPr>
        <w:t xml:space="preserve">Amazon Customer Feedback Intelligence</w:t>
      </w:r>
    </w:p>
    <w:p>
      <w:pPr>
        <w:pBdr>
          <w:bottom w:val="single" w:color="2E75B6" w:sz="12" w:space="10"/>
        </w:pBdr>
        <w:spacing w:after="400"/>
      </w:pPr>
      <w:r>
        <w:rPr>
          <w:rFonts w:ascii="Calibri" w:cs="Calibri" w:eastAsia="Calibri" w:hAnsi="Calibri"/>
          <w:color w:val="2E75B6"/>
          <w:sz w:val="44"/>
          <w:szCs w:val="44"/>
        </w:rPr>
        <w:t xml:space="preserve">Business Insights</w:t>
      </w:r>
    </w:p>
    <w:p>
      <w:pPr>
        <w:spacing w:after="1400" w:before="0" w:line="276" w:lineRule="auto"/>
        <w:jc w:val="left"/>
      </w:pPr>
      <w:r>
        <w:rPr>
          <w:rFonts w:ascii="Calibri" w:cs="Calibri" w:eastAsia="Calibri" w:hAnsi="Calibri"/>
          <w:color w:val="595959"/>
          <w:sz w:val="24"/>
          <w:szCs w:val="24"/>
        </w:rPr>
        <w:t xml:space="preserve">AI-Powered Customer Feedback Intelligence &amp; Insight Generation System</w:t>
      </w:r>
    </w:p>
    <w:p>
      <w:pPr>
        <w:spacing w:after="60" w:before="0" w:line="276" w:lineRule="auto"/>
        <w:jc w:val="left"/>
      </w:pPr>
      <w:r>
        <w:rPr>
          <w:rFonts w:ascii="Calibri" w:cs="Calibri" w:eastAsia="Calibri" w:hAnsi="Calibri"/>
          <w:color w:val="595959"/>
          <w:sz w:val="22"/>
          <w:szCs w:val="22"/>
        </w:rPr>
        <w:t xml:space="preserve">Prepared by  </w:t>
      </w:r>
      <w:r>
        <w:rPr>
          <w:rFonts w:ascii="Calibri" w:cs="Calibri" w:eastAsia="Calibri" w:hAnsi="Calibri"/>
          <w:b/>
          <w:bCs/>
          <w:color w:val="1F3A5F"/>
          <w:sz w:val="22"/>
          <w:szCs w:val="22"/>
        </w:rPr>
        <w:t xml:space="preserve">Thangeshwari I G</w:t>
      </w:r>
    </w:p>
    <w:p>
      <w:pPr>
        <w:spacing w:after="60" w:before="0" w:line="276" w:lineRule="auto"/>
        <w:jc w:val="left"/>
      </w:pPr>
      <w:r>
        <w:rPr>
          <w:rFonts w:ascii="Calibri" w:cs="Calibri" w:eastAsia="Calibri" w:hAnsi="Calibri"/>
          <w:color w:val="595959"/>
          <w:sz w:val="22"/>
          <w:szCs w:val="22"/>
        </w:rPr>
        <w:t xml:space="preserve">Role  </w:t>
      </w:r>
      <w:r>
        <w:rPr>
          <w:rFonts w:ascii="Calibri" w:cs="Calibri" w:eastAsia="Calibri" w:hAnsi="Calibri"/>
          <w:b/>
          <w:bCs/>
          <w:color w:val="1F3A5F"/>
          <w:sz w:val="22"/>
          <w:szCs w:val="22"/>
        </w:rPr>
        <w:t xml:space="preserve">Data Analyst Intern, Naso Technologies</w:t>
      </w:r>
    </w:p>
    <w:p>
      <w:pPr>
        <w:spacing w:after="60" w:before="0" w:line="276" w:lineRule="auto"/>
        <w:jc w:val="left"/>
      </w:pPr>
      <w:r>
        <w:rPr>
          <w:rFonts w:ascii="Calibri" w:cs="Calibri" w:eastAsia="Calibri" w:hAnsi="Calibri"/>
          <w:color w:val="595959"/>
          <w:sz w:val="22"/>
          <w:szCs w:val="22"/>
        </w:rPr>
        <w:t xml:space="preserve">Date  </w:t>
      </w:r>
      <w:r>
        <w:rPr>
          <w:rFonts w:ascii="Calibri" w:cs="Calibri" w:eastAsia="Calibri" w:hAnsi="Calibri"/>
          <w:b/>
          <w:bCs/>
          <w:color w:val="1F3A5F"/>
          <w:sz w:val="22"/>
          <w:szCs w:val="22"/>
        </w:rPr>
        <w:t xml:space="preserve">September 2026</w:t>
      </w:r>
    </w:p>
    <w:p>
      <w:pPr>
        <w:spacing w:after="140" w:before="0" w:line="276" w:lineRule="auto"/>
        <w:jc w:val="left"/>
      </w:pPr>
      <w:r>
        <w:rPr>
          <w:rFonts w:ascii="Calibri" w:cs="Calibri" w:eastAsia="Calibri" w:hAnsi="Calibri"/>
          <w:color w:val="595959"/>
          <w:sz w:val="22"/>
          <w:szCs w:val="22"/>
        </w:rPr>
        <w:t xml:space="preserve">Stage  </w:t>
      </w:r>
      <w:r>
        <w:rPr>
          <w:rFonts w:ascii="Calibri" w:cs="Calibri" w:eastAsia="Calibri" w:hAnsi="Calibri"/>
          <w:b/>
          <w:bCs/>
          <w:color w:val="1F3A5F"/>
          <w:sz w:val="22"/>
          <w:szCs w:val="22"/>
        </w:rPr>
        <w:t xml:space="preserve">SQL analysis and business insight documentation</w:t>
      </w:r>
    </w:p>
    <w:p>
      <w:r>
        <w:br w:type="page"/>
      </w:r>
    </w:p>
    <w:p>
      <w:pPr>
        <w:pStyle w:val="Heading1"/>
        <w:keepNext/>
      </w:pPr>
      <w:r>
        <w:rPr>
          <w:rFonts w:ascii="Calibri" w:cs="Calibri" w:eastAsia="Calibri" w:hAnsi="Calibri"/>
        </w:rPr>
        <w:t xml:space="preserve">Executive Summary</w:t>
      </w:r>
    </w:p>
    <w:p>
      <w:pPr>
        <w:spacing w:after="200" w:before="0" w:line="276" w:lineRule="auto"/>
        <w:jc w:val="left"/>
      </w:pPr>
      <w:r>
        <w:rPr>
          <w:rFonts w:ascii="Calibri" w:cs="Calibri" w:eastAsia="Calibri" w:hAnsi="Calibri"/>
          <w:sz w:val="21"/>
          <w:szCs w:val="21"/>
        </w:rPr>
        <w:t xml:space="preserve">This report documents the main findings from the SQL analysis of an Amazon customer reviews dataset. It covers customer satisfaction by category, sentiment distribution, keyword-based pain-point indicators, high-impact reviews and product-level patterns. It also records the data-quality checks performed before conclusions were drawn.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FFFFFF" w:sz="24"/>
              <w:left w:val="single" w:color="FFFFFF" w:sz="24"/>
              <w:bottom w:val="single" w:color="FFFFFF" w:sz="24"/>
              <w:right w:val="single" w:color="FFFFFF" w:sz="24"/>
            </w:tcBorders>
            <w:shd w:fill="EAF1F8" w:color="auto" w:val="clear"/>
            <w:tcMar>
              <w:top w:type="dxa" w:w="180"/>
              <w:left w:type="dxa" w:w="100"/>
              <w:bottom w:type="dxa" w:w="180"/>
              <w:right w:type="dxa" w:w="100"/>
            </w:tcMar>
          </w:tcPr>
          <w:p>
            <w:pPr>
              <w:spacing w:after="40"/>
              <w:jc w:val="center"/>
            </w:pPr>
            <w:r>
              <w:rPr>
                <w:rFonts w:ascii="Calibri" w:cs="Calibri" w:eastAsia="Calibri" w:hAnsi="Calibri"/>
                <w:b/>
                <w:bCs/>
                <w:color w:val="1F3A5F"/>
                <w:sz w:val="40"/>
                <w:szCs w:val="40"/>
              </w:rPr>
              <w:t xml:space="preserve">661,373</w:t>
            </w:r>
          </w:p>
          <w:p>
            <w:pPr>
              <w:spacing w:after="0"/>
              <w:jc w:val="center"/>
            </w:pPr>
            <w:r>
              <w:rPr>
                <w:rFonts w:ascii="Calibri" w:cs="Calibri" w:eastAsia="Calibri" w:hAnsi="Calibri"/>
                <w:color w:val="595959"/>
                <w:sz w:val="18"/>
                <w:szCs w:val="18"/>
              </w:rPr>
              <w:t xml:space="preserve">Total reviews</w:t>
            </w:r>
          </w:p>
        </w:tc>
        <w:tc>
          <w:tcPr>
            <w:tcW w:type="dxa" w:w="2256"/>
            <w:tcBorders>
              <w:top w:val="single" w:color="FFFFFF" w:sz="24"/>
              <w:left w:val="single" w:color="FFFFFF" w:sz="24"/>
              <w:bottom w:val="single" w:color="FFFFFF" w:sz="24"/>
              <w:right w:val="single" w:color="FFFFFF" w:sz="24"/>
            </w:tcBorders>
            <w:shd w:fill="EAF1F8" w:color="auto" w:val="clear"/>
            <w:tcMar>
              <w:top w:type="dxa" w:w="180"/>
              <w:left w:type="dxa" w:w="100"/>
              <w:bottom w:type="dxa" w:w="180"/>
              <w:right w:type="dxa" w:w="100"/>
            </w:tcMar>
          </w:tcPr>
          <w:p>
            <w:pPr>
              <w:spacing w:after="40"/>
              <w:jc w:val="center"/>
            </w:pPr>
            <w:r>
              <w:rPr>
                <w:rFonts w:ascii="Calibri" w:cs="Calibri" w:eastAsia="Calibri" w:hAnsi="Calibri"/>
                <w:b/>
                <w:bCs/>
                <w:color w:val="1F3A5F"/>
                <w:sz w:val="40"/>
                <w:szCs w:val="40"/>
              </w:rPr>
              <w:t xml:space="preserve">5</w:t>
            </w:r>
          </w:p>
          <w:p>
            <w:pPr>
              <w:spacing w:after="0"/>
              <w:jc w:val="center"/>
            </w:pPr>
            <w:r>
              <w:rPr>
                <w:rFonts w:ascii="Calibri" w:cs="Calibri" w:eastAsia="Calibri" w:hAnsi="Calibri"/>
                <w:color w:val="595959"/>
                <w:sz w:val="18"/>
                <w:szCs w:val="18"/>
              </w:rPr>
              <w:t xml:space="preserve">Product categories</w:t>
            </w:r>
          </w:p>
        </w:tc>
        <w:tc>
          <w:tcPr>
            <w:tcW w:type="dxa" w:w="2257"/>
            <w:tcBorders>
              <w:top w:val="single" w:color="FFFFFF" w:sz="24"/>
              <w:left w:val="single" w:color="FFFFFF" w:sz="24"/>
              <w:bottom w:val="single" w:color="FFFFFF" w:sz="24"/>
              <w:right w:val="single" w:color="FFFFFF" w:sz="24"/>
            </w:tcBorders>
            <w:shd w:fill="EAF1F8" w:color="auto" w:val="clear"/>
            <w:tcMar>
              <w:top w:type="dxa" w:w="180"/>
              <w:left w:type="dxa" w:w="100"/>
              <w:bottom w:type="dxa" w:w="180"/>
              <w:right w:type="dxa" w:w="100"/>
            </w:tcMar>
          </w:tcPr>
          <w:p>
            <w:pPr>
              <w:spacing w:after="40"/>
              <w:jc w:val="center"/>
            </w:pPr>
            <w:r>
              <w:rPr>
                <w:rFonts w:ascii="Calibri" w:cs="Calibri" w:eastAsia="Calibri" w:hAnsi="Calibri"/>
                <w:b/>
                <w:bCs/>
                <w:color w:val="1F3A5F"/>
                <w:sz w:val="40"/>
                <w:szCs w:val="40"/>
              </w:rPr>
              <w:t xml:space="preserve">255,229</w:t>
            </w:r>
          </w:p>
          <w:p>
            <w:pPr>
              <w:spacing w:after="0"/>
              <w:jc w:val="center"/>
            </w:pPr>
            <w:r>
              <w:rPr>
                <w:rFonts w:ascii="Calibri" w:cs="Calibri" w:eastAsia="Calibri" w:hAnsi="Calibri"/>
                <w:color w:val="595959"/>
                <w:sz w:val="18"/>
                <w:szCs w:val="18"/>
              </w:rPr>
              <w:t xml:space="preserve">Unique products</w:t>
            </w:r>
          </w:p>
        </w:tc>
        <w:tc>
          <w:tcPr>
            <w:tcW w:type="dxa" w:w="2257"/>
            <w:tcBorders>
              <w:top w:val="single" w:color="FFFFFF" w:sz="24"/>
              <w:left w:val="single" w:color="FFFFFF" w:sz="24"/>
              <w:bottom w:val="single" w:color="FFFFFF" w:sz="24"/>
              <w:right w:val="single" w:color="FFFFFF" w:sz="24"/>
            </w:tcBorders>
            <w:shd w:fill="EAF1F8" w:color="auto" w:val="clear"/>
            <w:tcMar>
              <w:top w:type="dxa" w:w="180"/>
              <w:left w:type="dxa" w:w="100"/>
              <w:bottom w:type="dxa" w:w="180"/>
              <w:right w:type="dxa" w:w="100"/>
            </w:tcMar>
          </w:tcPr>
          <w:p>
            <w:pPr>
              <w:spacing w:after="40"/>
              <w:jc w:val="center"/>
            </w:pPr>
            <w:r>
              <w:rPr>
                <w:rFonts w:ascii="Calibri" w:cs="Calibri" w:eastAsia="Calibri" w:hAnsi="Calibri"/>
                <w:b/>
                <w:bCs/>
                <w:color w:val="1F3A5F"/>
                <w:sz w:val="40"/>
                <w:szCs w:val="40"/>
              </w:rPr>
              <w:t xml:space="preserve">4.01</w:t>
            </w:r>
          </w:p>
          <w:p>
            <w:pPr>
              <w:spacing w:after="0"/>
              <w:jc w:val="center"/>
            </w:pPr>
            <w:r>
              <w:rPr>
                <w:rFonts w:ascii="Calibri" w:cs="Calibri" w:eastAsia="Calibri" w:hAnsi="Calibri"/>
                <w:color w:val="595959"/>
                <w:sz w:val="18"/>
                <w:szCs w:val="18"/>
              </w:rPr>
              <w:t xml:space="preserve">Overall average rating</w:t>
            </w:r>
          </w:p>
        </w:tc>
      </w:tr>
    </w:tbl>
    <w:p>
      <w:pPr>
        <w:spacing w:after="200"/>
      </w:pPr>
    </w:p>
    <w:p>
      <w:pPr>
        <w:keepNext/>
        <w:spacing w:after="80" w:before="0" w:line="276" w:lineRule="auto"/>
        <w:jc w:val="left"/>
      </w:pPr>
      <w:r>
        <w:rPr>
          <w:rFonts w:ascii="Calibri" w:cs="Calibri" w:eastAsia="Calibri" w:hAnsi="Calibri"/>
          <w:b/>
          <w:bCs/>
          <w:color w:val="1F3A5F"/>
          <w:sz w:val="23"/>
          <w:szCs w:val="23"/>
        </w:rPr>
        <w:t xml:space="preserve">Key takeaways</w:t>
      </w:r>
    </w:p>
    <w:p>
      <w:pPr>
        <w:pStyle w:val="ListParagraph"/>
        <w:numPr>
          <w:ilvl w:val="0"/>
          <w:numId w:val="2"/>
        </w:numPr>
        <w:spacing w:after="70" w:line="276" w:lineRule="auto"/>
      </w:pPr>
      <w:r>
        <w:rPr>
          <w:rFonts w:ascii="Calibri" w:cs="Calibri" w:eastAsia="Calibri" w:hAnsi="Calibri"/>
          <w:b/>
          <w:bCs/>
          <w:sz w:val="21"/>
          <w:szCs w:val="21"/>
        </w:rPr>
        <w:t xml:space="preserve">Electronics needs the deepest investigation. </w:t>
      </w:r>
      <w:r>
        <w:rPr>
          <w:rFonts w:ascii="Calibri" w:cs="Calibri" w:eastAsia="Calibri" w:hAnsi="Calibri"/>
          <w:sz w:val="21"/>
          <w:szCs w:val="21"/>
        </w:rPr>
        <w:t xml:space="preserve">It has the lowest average rating (3.59), the highest classified negative sentiment (29.52%) and the highest quality- and condition-related keyword indicators.</w:t>
      </w:r>
    </w:p>
    <w:p>
      <w:pPr>
        <w:pStyle w:val="ListParagraph"/>
        <w:numPr>
          <w:ilvl w:val="0"/>
          <w:numId w:val="2"/>
        </w:numPr>
        <w:spacing w:after="70" w:line="276" w:lineRule="auto"/>
      </w:pPr>
      <w:r>
        <w:rPr>
          <w:rFonts w:ascii="Calibri" w:cs="Calibri" w:eastAsia="Calibri" w:hAnsi="Calibri"/>
          <w:b/>
          <w:bCs/>
          <w:sz w:val="21"/>
          <w:szCs w:val="21"/>
        </w:rPr>
        <w:t xml:space="preserve">Books is comparatively favorable. </w:t>
      </w:r>
      <w:r>
        <w:rPr>
          <w:rFonts w:ascii="Calibri" w:cs="Calibri" w:eastAsia="Calibri" w:hAnsi="Calibri"/>
          <w:sz w:val="21"/>
          <w:szCs w:val="21"/>
        </w:rPr>
        <w:t xml:space="preserve">Average rating is 4.34 with 83.56% positive sentiment and the lowest negative share (6.45%).</w:t>
      </w:r>
    </w:p>
    <w:p>
      <w:pPr>
        <w:pStyle w:val="ListParagraph"/>
        <w:numPr>
          <w:ilvl w:val="0"/>
          <w:numId w:val="2"/>
        </w:numPr>
        <w:spacing w:after="70" w:line="276" w:lineRule="auto"/>
      </w:pPr>
      <w:r>
        <w:rPr>
          <w:rFonts w:ascii="Calibri" w:cs="Calibri" w:eastAsia="Calibri" w:hAnsi="Calibri"/>
          <w:b/>
          <w:bCs/>
          <w:sz w:val="21"/>
          <w:szCs w:val="21"/>
        </w:rPr>
        <w:t xml:space="preserve">Beauty shows moderate dissatisfaction signals </w:t>
      </w:r>
      <w:r>
        <w:rPr>
          <w:rFonts w:ascii="Calibri" w:cs="Calibri" w:eastAsia="Calibri" w:hAnsi="Calibri"/>
          <w:sz w:val="21"/>
          <w:szCs w:val="21"/>
        </w:rPr>
        <w:t xml:space="preserve">(20.71% negative), around quality, product condition and perceived value.</w:t>
      </w:r>
    </w:p>
    <w:p>
      <w:pPr>
        <w:pStyle w:val="ListParagraph"/>
        <w:numPr>
          <w:ilvl w:val="0"/>
          <w:numId w:val="2"/>
        </w:numPr>
        <w:spacing w:after="70" w:line="276" w:lineRule="auto"/>
      </w:pPr>
      <w:r>
        <w:rPr>
          <w:rFonts w:ascii="Calibri" w:cs="Calibri" w:eastAsia="Calibri" w:hAnsi="Calibri"/>
          <w:b/>
          <w:bCs/>
          <w:sz w:val="21"/>
          <w:szCs w:val="21"/>
        </w:rPr>
        <w:t xml:space="preserve">Category averages can hide product-level problems. </w:t>
      </w:r>
      <w:r>
        <w:rPr>
          <w:rFonts w:ascii="Calibri" w:cs="Calibri" w:eastAsia="Calibri" w:hAnsi="Calibri"/>
          <w:sz w:val="21"/>
          <w:szCs w:val="21"/>
        </w:rPr>
        <w:t xml:space="preserve">Some Ebook products have average ratings of about 1.3 to 1.6 despite a healthy category average.</w:t>
      </w:r>
    </w:p>
    <w:p>
      <w:pPr>
        <w:pStyle w:val="ListParagraph"/>
        <w:numPr>
          <w:ilvl w:val="0"/>
          <w:numId w:val="2"/>
        </w:numPr>
        <w:spacing w:after="70" w:line="276" w:lineRule="auto"/>
      </w:pPr>
      <w:r>
        <w:rPr>
          <w:rFonts w:ascii="Calibri" w:cs="Calibri" w:eastAsia="Calibri" w:hAnsi="Calibri"/>
          <w:b/>
          <w:bCs/>
          <w:sz w:val="21"/>
          <w:szCs w:val="21"/>
        </w:rPr>
        <w:t xml:space="preserve">Grocery can now be compared. </w:t>
      </w:r>
      <w:r>
        <w:rPr>
          <w:rFonts w:ascii="Calibri" w:cs="Calibri" w:eastAsia="Calibri" w:hAnsi="Calibri"/>
          <w:sz w:val="21"/>
          <w:szCs w:val="21"/>
        </w:rPr>
        <w:t xml:space="preserve">Rating-derived sentiment shows 77.63% positive, 7.77% neutral and 14.59% negative, placing Grocery third for negative share behind Electronics (29.52%) and Beauty (20.71%). 17 records remain unclassified because ratings are missing.</w:t>
      </w:r>
    </w:p>
    <w:p>
      <w:r>
        <w:br w:type="page"/>
      </w:r>
    </w:p>
    <w:p>
      <w:pPr>
        <w:pStyle w:val="Heading1"/>
        <w:keepNext/>
      </w:pPr>
      <w:r>
        <w:rPr>
          <w:rFonts w:ascii="Calibri" w:cs="Calibri" w:eastAsia="Calibri" w:hAnsi="Calibri"/>
        </w:rPr>
        <w:t xml:space="preserve">1. Overall Dataset Overview</w:t>
      </w:r>
    </w:p>
    <w:p>
      <w:pPr>
        <w:keepNext/>
        <w:spacing w:after="140" w:before="0" w:line="276" w:lineRule="auto"/>
        <w:jc w:val="left"/>
      </w:pPr>
      <w:r>
        <w:rPr>
          <w:rFonts w:ascii="Calibri" w:cs="Calibri" w:eastAsia="Calibri" w:hAnsi="Calibri"/>
          <w:sz w:val="21"/>
          <w:szCs w:val="21"/>
        </w:rPr>
        <w:t xml:space="preserve">The analysis covers the full review dataset stored in the project database and queried with SQL. The table below establishes the scope of the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D0D7DE" w:sz="4"/>
              <w:left w:val="single" w:color="D0D7DE" w:sz="4"/>
              <w:bottom w:val="single" w:color="D0D7DE" w:sz="4"/>
              <w:right w:val="single" w:color="D0D7DE" w:sz="4"/>
            </w:tcBorders>
            <w:shd w:fill="1F3A5F" w:color="auto" w:val="clear"/>
            <w:tcMar>
              <w:top w:type="dxa" w:w="100"/>
              <w:left w:type="dxa" w:w="120"/>
              <w:bottom w:type="dxa" w:w="100"/>
              <w:right w:type="dxa" w:w="120"/>
            </w:tcMar>
            <w:vAlign w:val="center"/>
          </w:tcPr>
          <w:p>
            <w:pPr>
              <w:keepNext/>
              <w:jc w:val="left"/>
            </w:pPr>
            <w:r>
              <w:rPr>
                <w:rFonts w:ascii="Calibri" w:cs="Calibri" w:eastAsia="Calibri" w:hAnsi="Calibri"/>
                <w:b/>
                <w:bCs/>
                <w:color w:val="FFFFFF"/>
                <w:sz w:val="19"/>
                <w:szCs w:val="19"/>
              </w:rPr>
              <w:t xml:space="preserve">Metric</w:t>
            </w:r>
          </w:p>
        </w:tc>
        <w:tc>
          <w:tcPr>
            <w:tcW w:type="dxa" w:w="5426"/>
            <w:tcBorders>
              <w:top w:val="single" w:color="D0D7DE" w:sz="4"/>
              <w:left w:val="single" w:color="D0D7DE" w:sz="4"/>
              <w:bottom w:val="single" w:color="D0D7DE" w:sz="4"/>
              <w:right w:val="single" w:color="D0D7DE" w:sz="4"/>
            </w:tcBorders>
            <w:shd w:fill="1F3A5F" w:color="auto" w:val="clear"/>
            <w:tcMar>
              <w:top w:type="dxa" w:w="100"/>
              <w:left w:type="dxa" w:w="120"/>
              <w:bottom w:type="dxa" w:w="100"/>
              <w:right w:type="dxa" w:w="120"/>
            </w:tcMar>
            <w:vAlign w:val="center"/>
          </w:tcPr>
          <w:p>
            <w:pPr>
              <w:keepNext/>
              <w:jc w:val="left"/>
            </w:pPr>
            <w:r>
              <w:rPr>
                <w:rFonts w:ascii="Calibri" w:cs="Calibri" w:eastAsia="Calibri" w:hAnsi="Calibri"/>
                <w:b/>
                <w:bCs/>
                <w:color w:val="FFFFFF"/>
                <w:sz w:val="19"/>
                <w:szCs w:val="19"/>
              </w:rPr>
              <w:t xml:space="preserve">Value</w:t>
            </w:r>
          </w:p>
        </w:tc>
      </w:tr>
      <w:tr>
        <w:trPr>
          <w:cantSplit/>
        </w:trPr>
        <w:tc>
          <w:tcPr>
            <w:tcW w:type="dxa" w:w="36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left"/>
            </w:pPr>
            <w:r>
              <w:rPr>
                <w:rFonts w:ascii="Calibri" w:cs="Calibri" w:eastAsia="Calibri" w:hAnsi="Calibri"/>
                <w:b/>
                <w:bCs/>
                <w:sz w:val="19"/>
                <w:szCs w:val="19"/>
              </w:rPr>
              <w:t xml:space="preserve">Total reviews</w:t>
            </w:r>
          </w:p>
        </w:tc>
        <w:tc>
          <w:tcPr>
            <w:tcW w:type="dxa" w:w="5426"/>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left"/>
            </w:pPr>
            <w:r>
              <w:rPr>
                <w:rFonts w:ascii="Calibri" w:cs="Calibri" w:eastAsia="Calibri" w:hAnsi="Calibri"/>
                <w:b w:val="false"/>
                <w:bCs w:val="false"/>
                <w:sz w:val="19"/>
                <w:szCs w:val="19"/>
              </w:rPr>
              <w:t xml:space="preserve">661,373</w:t>
            </w:r>
          </w:p>
        </w:tc>
      </w:tr>
      <w:tr>
        <w:trPr>
          <w:cantSplit/>
        </w:trPr>
        <w:tc>
          <w:tcPr>
            <w:tcW w:type="dxa" w:w="3600"/>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left"/>
            </w:pPr>
            <w:r>
              <w:rPr>
                <w:rFonts w:ascii="Calibri" w:cs="Calibri" w:eastAsia="Calibri" w:hAnsi="Calibri"/>
                <w:b/>
                <w:bCs/>
                <w:sz w:val="19"/>
                <w:szCs w:val="19"/>
              </w:rPr>
              <w:t xml:space="preserve">Categories</w:t>
            </w:r>
          </w:p>
        </w:tc>
        <w:tc>
          <w:tcPr>
            <w:tcW w:type="dxa" w:w="5426"/>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left"/>
            </w:pPr>
            <w:r>
              <w:rPr>
                <w:rFonts w:ascii="Calibri" w:cs="Calibri" w:eastAsia="Calibri" w:hAnsi="Calibri"/>
                <w:b w:val="false"/>
                <w:bCs w:val="false"/>
                <w:sz w:val="19"/>
                <w:szCs w:val="19"/>
              </w:rPr>
              <w:t xml:space="preserve">5 (Books, Ebook, Beauty, Electronics, Grocery)</w:t>
            </w:r>
          </w:p>
        </w:tc>
      </w:tr>
      <w:tr>
        <w:trPr>
          <w:cantSplit/>
        </w:trPr>
        <w:tc>
          <w:tcPr>
            <w:tcW w:type="dxa" w:w="36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left"/>
            </w:pPr>
            <w:r>
              <w:rPr>
                <w:rFonts w:ascii="Calibri" w:cs="Calibri" w:eastAsia="Calibri" w:hAnsi="Calibri"/>
                <w:b/>
                <w:bCs/>
                <w:sz w:val="19"/>
                <w:szCs w:val="19"/>
              </w:rPr>
              <w:t xml:space="preserve">Unique products</w:t>
            </w:r>
          </w:p>
        </w:tc>
        <w:tc>
          <w:tcPr>
            <w:tcW w:type="dxa" w:w="5426"/>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left"/>
            </w:pPr>
            <w:r>
              <w:rPr>
                <w:rFonts w:ascii="Calibri" w:cs="Calibri" w:eastAsia="Calibri" w:hAnsi="Calibri"/>
                <w:b w:val="false"/>
                <w:bCs w:val="false"/>
                <w:sz w:val="19"/>
                <w:szCs w:val="19"/>
              </w:rPr>
              <w:t xml:space="preserve">255,229</w:t>
            </w:r>
          </w:p>
        </w:tc>
      </w:tr>
      <w:tr>
        <w:trPr>
          <w:cantSplit/>
        </w:trPr>
        <w:tc>
          <w:tcPr>
            <w:tcW w:type="dxa" w:w="3600"/>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left"/>
            </w:pPr>
            <w:r>
              <w:rPr>
                <w:rFonts w:ascii="Calibri" w:cs="Calibri" w:eastAsia="Calibri" w:hAnsi="Calibri"/>
                <w:b/>
                <w:bCs/>
                <w:sz w:val="19"/>
                <w:szCs w:val="19"/>
              </w:rPr>
              <w:t xml:space="preserve">Unique customers</w:t>
            </w:r>
          </w:p>
        </w:tc>
        <w:tc>
          <w:tcPr>
            <w:tcW w:type="dxa" w:w="5426"/>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left"/>
            </w:pPr>
            <w:r>
              <w:rPr>
                <w:rFonts w:ascii="Calibri" w:cs="Calibri" w:eastAsia="Calibri" w:hAnsi="Calibri"/>
                <w:b w:val="false"/>
                <w:bCs w:val="false"/>
                <w:sz w:val="19"/>
                <w:szCs w:val="19"/>
              </w:rPr>
              <w:t xml:space="preserve">423,006</w:t>
            </w:r>
          </w:p>
        </w:tc>
      </w:tr>
      <w:tr>
        <w:trPr>
          <w:cantSplit/>
        </w:trPr>
        <w:tc>
          <w:tcPr>
            <w:tcW w:type="dxa" w:w="36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val="false"/>
              <w:jc w:val="left"/>
            </w:pPr>
            <w:r>
              <w:rPr>
                <w:rFonts w:ascii="Calibri" w:cs="Calibri" w:eastAsia="Calibri" w:hAnsi="Calibri"/>
                <w:b/>
                <w:bCs/>
                <w:sz w:val="19"/>
                <w:szCs w:val="19"/>
              </w:rPr>
              <w:t xml:space="preserve">Overall average rating</w:t>
            </w:r>
          </w:p>
        </w:tc>
        <w:tc>
          <w:tcPr>
            <w:tcW w:type="dxa" w:w="5426"/>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val="false"/>
              <w:jc w:val="left"/>
            </w:pPr>
            <w:r>
              <w:rPr>
                <w:rFonts w:ascii="Calibri" w:cs="Calibri" w:eastAsia="Calibri" w:hAnsi="Calibri"/>
                <w:b w:val="false"/>
                <w:bCs w:val="false"/>
                <w:sz w:val="19"/>
                <w:szCs w:val="19"/>
              </w:rPr>
              <w:t xml:space="preserve">4.01</w:t>
            </w:r>
          </w:p>
        </w:tc>
      </w:tr>
    </w:tbl>
    <w:p>
      <w:pPr>
        <w:spacing w:after="200" w:before="60" w:line="276" w:lineRule="auto"/>
        <w:jc w:val="left"/>
      </w:pPr>
      <w:r>
        <w:rPr>
          <w:rFonts w:ascii="Calibri" w:cs="Calibri" w:eastAsia="Calibri" w:hAnsi="Calibri"/>
          <w:i/>
          <w:iCs/>
          <w:color w:val="595959"/>
          <w:sz w:val="17"/>
          <w:szCs w:val="17"/>
        </w:rPr>
        <w:t xml:space="preserve">Table 1. Dataset scope.</w:t>
      </w:r>
    </w:p>
    <w:p>
      <w:pPr>
        <w:pStyle w:val="Heading1"/>
        <w:keepNext/>
      </w:pPr>
      <w:r>
        <w:rPr>
          <w:rFonts w:ascii="Calibri" w:cs="Calibri" w:eastAsia="Calibri" w:hAnsi="Calibri"/>
        </w:rPr>
        <w:t xml:space="preserve">2. Category-wise Customer Satisfaction</w:t>
      </w:r>
    </w:p>
    <w:p>
      <w:pPr>
        <w:keepNext/>
        <w:spacing w:after="140" w:before="0" w:line="276" w:lineRule="auto"/>
        <w:jc w:val="left"/>
      </w:pPr>
      <w:r>
        <w:rPr>
          <w:rFonts w:ascii="Calibri" w:cs="Calibri" w:eastAsia="Calibri" w:hAnsi="Calibri"/>
          <w:sz w:val="21"/>
          <w:szCs w:val="21"/>
        </w:rPr>
        <w:t xml:space="preserve">Average ratings were calculated for each category and compared with the overall average of 4.01.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2463"/>
        <w:gridCol w:w="2463"/>
      </w:tblGrid>
      <w:tr>
        <w:trPr>
          <w:cantSplit/>
          <w:tblHeader/>
        </w:trPr>
        <w:tc>
          <w:tcPr>
            <w:tcW w:type="dxa" w:w="1100"/>
            <w:tcBorders>
              <w:top w:val="single" w:color="D0D7DE" w:sz="4"/>
              <w:left w:val="single" w:color="D0D7DE" w:sz="4"/>
              <w:bottom w:val="single" w:color="D0D7DE" w:sz="4"/>
              <w:right w:val="single" w:color="D0D7DE" w:sz="4"/>
            </w:tcBorders>
            <w:shd w:fill="1F3A5F" w:color="auto" w:val="clear"/>
            <w:tcMar>
              <w:top w:type="dxa" w:w="100"/>
              <w:left w:type="dxa" w:w="120"/>
              <w:bottom w:type="dxa" w:w="100"/>
              <w:right w:type="dxa" w:w="120"/>
            </w:tcMar>
            <w:vAlign w:val="center"/>
          </w:tcPr>
          <w:p>
            <w:pPr>
              <w:keepNext/>
              <w:jc w:val="center"/>
            </w:pPr>
            <w:r>
              <w:rPr>
                <w:rFonts w:ascii="Calibri" w:cs="Calibri" w:eastAsia="Calibri" w:hAnsi="Calibri"/>
                <w:b/>
                <w:bCs/>
                <w:color w:val="FFFFFF"/>
                <w:sz w:val="19"/>
                <w:szCs w:val="19"/>
              </w:rPr>
              <w:t xml:space="preserve">Rank</w:t>
            </w:r>
          </w:p>
        </w:tc>
        <w:tc>
          <w:tcPr>
            <w:tcW w:type="dxa" w:w="3000"/>
            <w:tcBorders>
              <w:top w:val="single" w:color="D0D7DE" w:sz="4"/>
              <w:left w:val="single" w:color="D0D7DE" w:sz="4"/>
              <w:bottom w:val="single" w:color="D0D7DE" w:sz="4"/>
              <w:right w:val="single" w:color="D0D7DE" w:sz="4"/>
            </w:tcBorders>
            <w:shd w:fill="1F3A5F" w:color="auto" w:val="clear"/>
            <w:tcMar>
              <w:top w:type="dxa" w:w="100"/>
              <w:left w:type="dxa" w:w="120"/>
              <w:bottom w:type="dxa" w:w="100"/>
              <w:right w:type="dxa" w:w="120"/>
            </w:tcMar>
            <w:vAlign w:val="center"/>
          </w:tcPr>
          <w:p>
            <w:pPr>
              <w:keepNext/>
              <w:jc w:val="left"/>
            </w:pPr>
            <w:r>
              <w:rPr>
                <w:rFonts w:ascii="Calibri" w:cs="Calibri" w:eastAsia="Calibri" w:hAnsi="Calibri"/>
                <w:b/>
                <w:bCs/>
                <w:color w:val="FFFFFF"/>
                <w:sz w:val="19"/>
                <w:szCs w:val="19"/>
              </w:rPr>
              <w:t xml:space="preserve">Category</w:t>
            </w:r>
          </w:p>
        </w:tc>
        <w:tc>
          <w:tcPr>
            <w:tcW w:type="dxa" w:w="2463"/>
            <w:tcBorders>
              <w:top w:val="single" w:color="D0D7DE" w:sz="4"/>
              <w:left w:val="single" w:color="D0D7DE" w:sz="4"/>
              <w:bottom w:val="single" w:color="D0D7DE" w:sz="4"/>
              <w:right w:val="single" w:color="D0D7DE" w:sz="4"/>
            </w:tcBorders>
            <w:shd w:fill="1F3A5F" w:color="auto" w:val="clear"/>
            <w:tcMar>
              <w:top w:type="dxa" w:w="100"/>
              <w:left w:type="dxa" w:w="120"/>
              <w:bottom w:type="dxa" w:w="100"/>
              <w:right w:type="dxa" w:w="120"/>
            </w:tcMar>
            <w:vAlign w:val="center"/>
          </w:tcPr>
          <w:p>
            <w:pPr>
              <w:keepNext/>
              <w:jc w:val="center"/>
            </w:pPr>
            <w:r>
              <w:rPr>
                <w:rFonts w:ascii="Calibri" w:cs="Calibri" w:eastAsia="Calibri" w:hAnsi="Calibri"/>
                <w:b/>
                <w:bCs/>
                <w:color w:val="FFFFFF"/>
                <w:sz w:val="19"/>
                <w:szCs w:val="19"/>
              </w:rPr>
              <w:t xml:space="preserve">Average Rating</w:t>
            </w:r>
          </w:p>
        </w:tc>
        <w:tc>
          <w:tcPr>
            <w:tcW w:type="dxa" w:w="2463"/>
            <w:tcBorders>
              <w:top w:val="single" w:color="D0D7DE" w:sz="4"/>
              <w:left w:val="single" w:color="D0D7DE" w:sz="4"/>
              <w:bottom w:val="single" w:color="D0D7DE" w:sz="4"/>
              <w:right w:val="single" w:color="D0D7DE" w:sz="4"/>
            </w:tcBorders>
            <w:shd w:fill="1F3A5F" w:color="auto" w:val="clear"/>
            <w:tcMar>
              <w:top w:type="dxa" w:w="100"/>
              <w:left w:type="dxa" w:w="120"/>
              <w:bottom w:type="dxa" w:w="100"/>
              <w:right w:type="dxa" w:w="120"/>
            </w:tcMar>
            <w:vAlign w:val="center"/>
          </w:tcPr>
          <w:p>
            <w:pPr>
              <w:keepNext/>
              <w:jc w:val="center"/>
            </w:pPr>
            <w:r>
              <w:rPr>
                <w:rFonts w:ascii="Calibri" w:cs="Calibri" w:eastAsia="Calibri" w:hAnsi="Calibri"/>
                <w:b/>
                <w:bCs/>
                <w:color w:val="FFFFFF"/>
                <w:sz w:val="19"/>
                <w:szCs w:val="19"/>
              </w:rPr>
              <w:t xml:space="preserve">vs. Overall Average</w:t>
            </w:r>
          </w:p>
        </w:tc>
      </w:tr>
      <w:tr>
        <w:trPr>
          <w:cantSplit/>
        </w:trPr>
        <w:tc>
          <w:tcPr>
            <w:tcW w:type="dxa" w:w="11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center"/>
            </w:pPr>
            <w:r>
              <w:rPr>
                <w:rFonts w:ascii="Calibri" w:cs="Calibri" w:eastAsia="Calibri" w:hAnsi="Calibri"/>
                <w:b w:val="false"/>
                <w:bCs w:val="false"/>
                <w:sz w:val="19"/>
                <w:szCs w:val="19"/>
              </w:rPr>
              <w:t xml:space="preserve">1</w:t>
            </w:r>
          </w:p>
        </w:tc>
        <w:tc>
          <w:tcPr>
            <w:tcW w:type="dxa" w:w="30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left"/>
            </w:pPr>
            <w:r>
              <w:rPr>
                <w:rFonts w:ascii="Calibri" w:cs="Calibri" w:eastAsia="Calibri" w:hAnsi="Calibri"/>
                <w:b w:val="false"/>
                <w:bCs w:val="false"/>
                <w:sz w:val="19"/>
                <w:szCs w:val="19"/>
              </w:rPr>
              <w:t xml:space="preserve">Books</w:t>
            </w:r>
          </w:p>
        </w:tc>
        <w:tc>
          <w:tcPr>
            <w:tcW w:type="dxa" w:w="2463"/>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center"/>
            </w:pPr>
            <w:r>
              <w:rPr>
                <w:rFonts w:ascii="Calibri" w:cs="Calibri" w:eastAsia="Calibri" w:hAnsi="Calibri"/>
                <w:b w:val="false"/>
                <w:bCs w:val="false"/>
                <w:sz w:val="19"/>
                <w:szCs w:val="19"/>
              </w:rPr>
              <w:t xml:space="preserve">4.34</w:t>
            </w:r>
          </w:p>
        </w:tc>
        <w:tc>
          <w:tcPr>
            <w:tcW w:type="dxa" w:w="2463"/>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center"/>
            </w:pPr>
            <w:r>
              <w:rPr>
                <w:rFonts w:ascii="Calibri" w:cs="Calibri" w:eastAsia="Calibri" w:hAnsi="Calibri"/>
                <w:b/>
                <w:bCs/>
                <w:color w:val="2E7D32"/>
                <w:sz w:val="19"/>
                <w:szCs w:val="19"/>
              </w:rPr>
              <w:t xml:space="preserve">+0.33</w:t>
            </w:r>
          </w:p>
        </w:tc>
      </w:tr>
      <w:tr>
        <w:trPr>
          <w:cantSplit/>
        </w:trPr>
        <w:tc>
          <w:tcPr>
            <w:tcW w:type="dxa" w:w="1100"/>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center"/>
            </w:pPr>
            <w:r>
              <w:rPr>
                <w:rFonts w:ascii="Calibri" w:cs="Calibri" w:eastAsia="Calibri" w:hAnsi="Calibri"/>
                <w:b w:val="false"/>
                <w:bCs w:val="false"/>
                <w:sz w:val="19"/>
                <w:szCs w:val="19"/>
              </w:rPr>
              <w:t xml:space="preserve">2</w:t>
            </w:r>
          </w:p>
        </w:tc>
        <w:tc>
          <w:tcPr>
            <w:tcW w:type="dxa" w:w="3000"/>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left"/>
            </w:pPr>
            <w:r>
              <w:rPr>
                <w:rFonts w:ascii="Calibri" w:cs="Calibri" w:eastAsia="Calibri" w:hAnsi="Calibri"/>
                <w:b w:val="false"/>
                <w:bCs w:val="false"/>
                <w:sz w:val="19"/>
                <w:szCs w:val="19"/>
              </w:rPr>
              <w:t xml:space="preserve">Grocery</w:t>
            </w:r>
          </w:p>
        </w:tc>
        <w:tc>
          <w:tcPr>
            <w:tcW w:type="dxa" w:w="2463"/>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center"/>
            </w:pPr>
            <w:r>
              <w:rPr>
                <w:rFonts w:ascii="Calibri" w:cs="Calibri" w:eastAsia="Calibri" w:hAnsi="Calibri"/>
                <w:b w:val="false"/>
                <w:bCs w:val="false"/>
                <w:sz w:val="19"/>
                <w:szCs w:val="19"/>
              </w:rPr>
              <w:t xml:space="preserve">4.17</w:t>
            </w:r>
          </w:p>
        </w:tc>
        <w:tc>
          <w:tcPr>
            <w:tcW w:type="dxa" w:w="2463"/>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center"/>
            </w:pPr>
            <w:r>
              <w:rPr>
                <w:rFonts w:ascii="Calibri" w:cs="Calibri" w:eastAsia="Calibri" w:hAnsi="Calibri"/>
                <w:b/>
                <w:bCs/>
                <w:color w:val="2E7D32"/>
                <w:sz w:val="19"/>
                <w:szCs w:val="19"/>
              </w:rPr>
              <w:t xml:space="preserve">+0.16</w:t>
            </w:r>
          </w:p>
        </w:tc>
      </w:tr>
      <w:tr>
        <w:trPr>
          <w:cantSplit/>
        </w:trPr>
        <w:tc>
          <w:tcPr>
            <w:tcW w:type="dxa" w:w="11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center"/>
            </w:pPr>
            <w:r>
              <w:rPr>
                <w:rFonts w:ascii="Calibri" w:cs="Calibri" w:eastAsia="Calibri" w:hAnsi="Calibri"/>
                <w:b w:val="false"/>
                <w:bCs w:val="false"/>
                <w:sz w:val="19"/>
                <w:szCs w:val="19"/>
              </w:rPr>
              <w:t xml:space="preserve">3</w:t>
            </w:r>
          </w:p>
        </w:tc>
        <w:tc>
          <w:tcPr>
            <w:tcW w:type="dxa" w:w="30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left"/>
            </w:pPr>
            <w:r>
              <w:rPr>
                <w:rFonts w:ascii="Calibri" w:cs="Calibri" w:eastAsia="Calibri" w:hAnsi="Calibri"/>
                <w:b w:val="false"/>
                <w:bCs w:val="false"/>
                <w:sz w:val="19"/>
                <w:szCs w:val="19"/>
              </w:rPr>
              <w:t xml:space="preserve">Ebook</w:t>
            </w:r>
          </w:p>
        </w:tc>
        <w:tc>
          <w:tcPr>
            <w:tcW w:type="dxa" w:w="2463"/>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center"/>
            </w:pPr>
            <w:r>
              <w:rPr>
                <w:rFonts w:ascii="Calibri" w:cs="Calibri" w:eastAsia="Calibri" w:hAnsi="Calibri"/>
                <w:b w:val="false"/>
                <w:bCs w:val="false"/>
                <w:sz w:val="19"/>
                <w:szCs w:val="19"/>
              </w:rPr>
              <w:t xml:space="preserve">4.11</w:t>
            </w:r>
          </w:p>
        </w:tc>
        <w:tc>
          <w:tcPr>
            <w:tcW w:type="dxa" w:w="2463"/>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center"/>
            </w:pPr>
            <w:r>
              <w:rPr>
                <w:rFonts w:ascii="Calibri" w:cs="Calibri" w:eastAsia="Calibri" w:hAnsi="Calibri"/>
                <w:b/>
                <w:bCs/>
                <w:color w:val="2E7D32"/>
                <w:sz w:val="19"/>
                <w:szCs w:val="19"/>
              </w:rPr>
              <w:t xml:space="preserve">+0.10</w:t>
            </w:r>
          </w:p>
        </w:tc>
      </w:tr>
      <w:tr>
        <w:trPr>
          <w:cantSplit/>
        </w:trPr>
        <w:tc>
          <w:tcPr>
            <w:tcW w:type="dxa" w:w="1100"/>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center"/>
            </w:pPr>
            <w:r>
              <w:rPr>
                <w:rFonts w:ascii="Calibri" w:cs="Calibri" w:eastAsia="Calibri" w:hAnsi="Calibri"/>
                <w:b w:val="false"/>
                <w:bCs w:val="false"/>
                <w:sz w:val="19"/>
                <w:szCs w:val="19"/>
              </w:rPr>
              <w:t xml:space="preserve">4</w:t>
            </w:r>
          </w:p>
        </w:tc>
        <w:tc>
          <w:tcPr>
            <w:tcW w:type="dxa" w:w="3000"/>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left"/>
            </w:pPr>
            <w:r>
              <w:rPr>
                <w:rFonts w:ascii="Calibri" w:cs="Calibri" w:eastAsia="Calibri" w:hAnsi="Calibri"/>
                <w:b w:val="false"/>
                <w:bCs w:val="false"/>
                <w:sz w:val="19"/>
                <w:szCs w:val="19"/>
              </w:rPr>
              <w:t xml:space="preserve">Beauty</w:t>
            </w:r>
          </w:p>
        </w:tc>
        <w:tc>
          <w:tcPr>
            <w:tcW w:type="dxa" w:w="2463"/>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center"/>
            </w:pPr>
            <w:r>
              <w:rPr>
                <w:rFonts w:ascii="Calibri" w:cs="Calibri" w:eastAsia="Calibri" w:hAnsi="Calibri"/>
                <w:b w:val="false"/>
                <w:bCs w:val="false"/>
                <w:sz w:val="19"/>
                <w:szCs w:val="19"/>
              </w:rPr>
              <w:t xml:space="preserve">3.96</w:t>
            </w:r>
          </w:p>
        </w:tc>
        <w:tc>
          <w:tcPr>
            <w:tcW w:type="dxa" w:w="2463"/>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center"/>
            </w:pPr>
            <w:r>
              <w:rPr>
                <w:rFonts w:ascii="Calibri" w:cs="Calibri" w:eastAsia="Calibri" w:hAnsi="Calibri"/>
                <w:b/>
                <w:bCs/>
                <w:color w:val="C62828"/>
                <w:sz w:val="19"/>
                <w:szCs w:val="19"/>
              </w:rPr>
              <w:t xml:space="preserve">−0.05</w:t>
            </w:r>
          </w:p>
        </w:tc>
      </w:tr>
      <w:tr>
        <w:trPr>
          <w:cantSplit/>
        </w:trPr>
        <w:tc>
          <w:tcPr>
            <w:tcW w:type="dxa" w:w="1100"/>
            <w:tcBorders>
              <w:top w:val="single" w:color="D0D7DE" w:sz="4"/>
              <w:left w:val="single" w:color="D0D7DE" w:sz="4"/>
              <w:bottom w:val="single" w:color="D0D7DE" w:sz="4"/>
              <w:right w:val="single" w:color="D0D7DE" w:sz="4"/>
            </w:tcBorders>
            <w:shd w:fill="FDECEA" w:color="auto" w:val="clear"/>
            <w:tcMar>
              <w:top w:type="dxa" w:w="90"/>
              <w:left w:type="dxa" w:w="120"/>
              <w:bottom w:type="dxa" w:w="90"/>
              <w:right w:type="dxa" w:w="120"/>
            </w:tcMar>
            <w:vAlign w:val="center"/>
          </w:tcPr>
          <w:p>
            <w:pPr>
              <w:keepNext w:val="false"/>
              <w:jc w:val="center"/>
            </w:pPr>
            <w:r>
              <w:rPr>
                <w:rFonts w:ascii="Calibri" w:cs="Calibri" w:eastAsia="Calibri" w:hAnsi="Calibri"/>
                <w:b w:val="false"/>
                <w:bCs w:val="false"/>
                <w:sz w:val="19"/>
                <w:szCs w:val="19"/>
              </w:rPr>
              <w:t xml:space="preserve">5</w:t>
            </w:r>
          </w:p>
        </w:tc>
        <w:tc>
          <w:tcPr>
            <w:tcW w:type="dxa" w:w="3000"/>
            <w:tcBorders>
              <w:top w:val="single" w:color="D0D7DE" w:sz="4"/>
              <w:left w:val="single" w:color="D0D7DE" w:sz="4"/>
              <w:bottom w:val="single" w:color="D0D7DE" w:sz="4"/>
              <w:right w:val="single" w:color="D0D7DE" w:sz="4"/>
            </w:tcBorders>
            <w:shd w:fill="FDECEA" w:color="auto" w:val="clear"/>
            <w:tcMar>
              <w:top w:type="dxa" w:w="90"/>
              <w:left w:type="dxa" w:w="120"/>
              <w:bottom w:type="dxa" w:w="90"/>
              <w:right w:type="dxa" w:w="120"/>
            </w:tcMar>
            <w:vAlign w:val="center"/>
          </w:tcPr>
          <w:p>
            <w:pPr>
              <w:keepNext w:val="false"/>
              <w:jc w:val="left"/>
            </w:pPr>
            <w:r>
              <w:rPr>
                <w:rFonts w:ascii="Calibri" w:cs="Calibri" w:eastAsia="Calibri" w:hAnsi="Calibri"/>
                <w:b w:val="false"/>
                <w:bCs w:val="false"/>
                <w:sz w:val="19"/>
                <w:szCs w:val="19"/>
              </w:rPr>
              <w:t xml:space="preserve">Electronics</w:t>
            </w:r>
          </w:p>
        </w:tc>
        <w:tc>
          <w:tcPr>
            <w:tcW w:type="dxa" w:w="2463"/>
            <w:tcBorders>
              <w:top w:val="single" w:color="D0D7DE" w:sz="4"/>
              <w:left w:val="single" w:color="D0D7DE" w:sz="4"/>
              <w:bottom w:val="single" w:color="D0D7DE" w:sz="4"/>
              <w:right w:val="single" w:color="D0D7DE" w:sz="4"/>
            </w:tcBorders>
            <w:shd w:fill="FDECEA" w:color="auto" w:val="clear"/>
            <w:tcMar>
              <w:top w:type="dxa" w:w="90"/>
              <w:left w:type="dxa" w:w="120"/>
              <w:bottom w:type="dxa" w:w="90"/>
              <w:right w:type="dxa" w:w="120"/>
            </w:tcMar>
            <w:vAlign w:val="center"/>
          </w:tcPr>
          <w:p>
            <w:pPr>
              <w:keepNext w:val="false"/>
              <w:jc w:val="center"/>
            </w:pPr>
            <w:r>
              <w:rPr>
                <w:rFonts w:ascii="Calibri" w:cs="Calibri" w:eastAsia="Calibri" w:hAnsi="Calibri"/>
                <w:b w:val="false"/>
                <w:bCs w:val="false"/>
                <w:sz w:val="19"/>
                <w:szCs w:val="19"/>
              </w:rPr>
              <w:t xml:space="preserve">3.59</w:t>
            </w:r>
          </w:p>
        </w:tc>
        <w:tc>
          <w:tcPr>
            <w:tcW w:type="dxa" w:w="2463"/>
            <w:tcBorders>
              <w:top w:val="single" w:color="D0D7DE" w:sz="4"/>
              <w:left w:val="single" w:color="D0D7DE" w:sz="4"/>
              <w:bottom w:val="single" w:color="D0D7DE" w:sz="4"/>
              <w:right w:val="single" w:color="D0D7DE" w:sz="4"/>
            </w:tcBorders>
            <w:shd w:fill="FDECEA" w:color="auto" w:val="clear"/>
            <w:tcMar>
              <w:top w:type="dxa" w:w="90"/>
              <w:left w:type="dxa" w:w="120"/>
              <w:bottom w:type="dxa" w:w="90"/>
              <w:right w:type="dxa" w:w="120"/>
            </w:tcMar>
            <w:vAlign w:val="center"/>
          </w:tcPr>
          <w:p>
            <w:pPr>
              <w:keepNext w:val="false"/>
              <w:jc w:val="center"/>
            </w:pPr>
            <w:r>
              <w:rPr>
                <w:rFonts w:ascii="Calibri" w:cs="Calibri" w:eastAsia="Calibri" w:hAnsi="Calibri"/>
                <w:b/>
                <w:bCs/>
                <w:color w:val="C62828"/>
                <w:sz w:val="19"/>
                <w:szCs w:val="19"/>
              </w:rPr>
              <w:t xml:space="preserve">−0.42</w:t>
            </w:r>
          </w:p>
        </w:tc>
      </w:tr>
    </w:tbl>
    <w:p>
      <w:pPr>
        <w:spacing w:after="200" w:before="60" w:line="276" w:lineRule="auto"/>
        <w:jc w:val="left"/>
      </w:pPr>
      <w:r>
        <w:rPr>
          <w:rFonts w:ascii="Calibri" w:cs="Calibri" w:eastAsia="Calibri" w:hAnsi="Calibri"/>
          <w:i/>
          <w:iCs/>
          <w:color w:val="595959"/>
          <w:sz w:val="17"/>
          <w:szCs w:val="17"/>
        </w:rPr>
        <w:t xml:space="preserve">Table 2. Average rating by category (SQL Query 3). Differences are calculated against the overall average of 4.01. Averages use rated reviews: Books has 100,084 and Ebook 100,082 rated reviews out of 100,100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5B6" w:sz="24"/>
              <w:bottom w:val="none" w:color="FFFFFF" w:sz="0"/>
              <w:right w:val="none" w:color="FFFFFF" w:sz="0"/>
            </w:tcBorders>
            <w:shd w:fill="EAF1F8" w:color="auto" w:val="clear"/>
            <w:tcMar>
              <w:top w:type="dxa" w:w="140"/>
              <w:left w:type="dxa" w:w="220"/>
              <w:bottom w:type="dxa" w:w="140"/>
              <w:right w:type="dxa" w:w="200"/>
            </w:tcMar>
          </w:tcPr>
          <w:p>
            <w:pPr>
              <w:spacing w:after="60"/>
            </w:pPr>
            <w:r>
              <w:rPr>
                <w:rFonts w:ascii="Calibri" w:cs="Calibri" w:eastAsia="Calibri" w:hAnsi="Calibri"/>
                <w:b/>
                <w:bCs/>
                <w:color w:val="2E75B6"/>
                <w:sz w:val="21"/>
                <w:szCs w:val="21"/>
              </w:rPr>
              <w:t xml:space="preserve">Insight</w:t>
            </w:r>
          </w:p>
          <w:p>
            <w:pPr>
              <w:spacing w:after="0" w:line="276" w:lineRule="auto"/>
            </w:pPr>
            <w:r>
              <w:rPr>
                <w:rFonts w:ascii="Calibri" w:cs="Calibri" w:eastAsia="Calibri" w:hAnsi="Calibri"/>
                <w:sz w:val="20"/>
                <w:szCs w:val="20"/>
              </w:rPr>
              <w:t xml:space="preserve">Customer ratings vary across categories. Books has an average rating of 4.34, while Electronics has an average rating of 3.59. Electronics therefore requires further investigation at the product and review level.</w:t>
            </w:r>
          </w:p>
        </w:tc>
      </w:tr>
    </w:tbl>
    <w:p>
      <w:pPr>
        <w:pStyle w:val="Heading1"/>
        <w:keepNext/>
      </w:pPr>
      <w:r>
        <w:rPr>
          <w:rFonts w:ascii="Calibri" w:cs="Calibri" w:eastAsia="Calibri" w:hAnsi="Calibri"/>
        </w:rPr>
        <w:t xml:space="preserve">3. Sentiment Analysis</w:t>
      </w:r>
    </w:p>
    <w:p>
      <w:pPr>
        <w:keepNext/>
        <w:spacing w:after="140" w:before="0" w:line="276" w:lineRule="auto"/>
        <w:jc w:val="left"/>
      </w:pPr>
      <w:r>
        <w:rPr>
          <w:rFonts w:ascii="Calibri" w:cs="Calibri" w:eastAsia="Calibri" w:hAnsi="Calibri"/>
          <w:sz w:val="21"/>
          <w:szCs w:val="21"/>
        </w:rPr>
        <w:t xml:space="preserve">Sentiment distribution was compared across all five categories. Electronics has the highest share of negative sentiment, while Books has the lowest.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75"/>
        <w:gridCol w:w="2075"/>
        <w:gridCol w:w="2076"/>
      </w:tblGrid>
      <w:tr>
        <w:trPr>
          <w:cantSplit/>
          <w:tblHeader/>
        </w:trPr>
        <w:tc>
          <w:tcPr>
            <w:tcW w:type="dxa" w:w="2800"/>
            <w:tcBorders>
              <w:top w:val="single" w:color="D0D7DE" w:sz="4"/>
              <w:left w:val="single" w:color="D0D7DE" w:sz="4"/>
              <w:bottom w:val="single" w:color="D0D7DE" w:sz="4"/>
              <w:right w:val="single" w:color="D0D7DE" w:sz="4"/>
            </w:tcBorders>
            <w:shd w:fill="1F3A5F" w:color="auto" w:val="clear"/>
            <w:tcMar>
              <w:top w:type="dxa" w:w="100"/>
              <w:left w:type="dxa" w:w="120"/>
              <w:bottom w:type="dxa" w:w="100"/>
              <w:right w:type="dxa" w:w="120"/>
            </w:tcMar>
            <w:vAlign w:val="center"/>
          </w:tcPr>
          <w:p>
            <w:pPr>
              <w:keepNext/>
              <w:jc w:val="left"/>
            </w:pPr>
            <w:r>
              <w:rPr>
                <w:rFonts w:ascii="Calibri" w:cs="Calibri" w:eastAsia="Calibri" w:hAnsi="Calibri"/>
                <w:b/>
                <w:bCs/>
                <w:color w:val="FFFFFF"/>
                <w:sz w:val="19"/>
                <w:szCs w:val="19"/>
              </w:rPr>
              <w:t xml:space="preserve">Category</w:t>
            </w:r>
          </w:p>
        </w:tc>
        <w:tc>
          <w:tcPr>
            <w:tcW w:type="dxa" w:w="2075"/>
            <w:tcBorders>
              <w:top w:val="single" w:color="D0D7DE" w:sz="4"/>
              <w:left w:val="single" w:color="D0D7DE" w:sz="4"/>
              <w:bottom w:val="single" w:color="D0D7DE" w:sz="4"/>
              <w:right w:val="single" w:color="D0D7DE" w:sz="4"/>
            </w:tcBorders>
            <w:shd w:fill="1F3A5F" w:color="auto" w:val="clear"/>
            <w:tcMar>
              <w:top w:type="dxa" w:w="100"/>
              <w:left w:type="dxa" w:w="120"/>
              <w:bottom w:type="dxa" w:w="100"/>
              <w:right w:type="dxa" w:w="120"/>
            </w:tcMar>
            <w:vAlign w:val="center"/>
          </w:tcPr>
          <w:p>
            <w:pPr>
              <w:keepNext/>
              <w:jc w:val="center"/>
            </w:pPr>
            <w:r>
              <w:rPr>
                <w:rFonts w:ascii="Calibri" w:cs="Calibri" w:eastAsia="Calibri" w:hAnsi="Calibri"/>
                <w:b/>
                <w:bCs/>
                <w:color w:val="FFFFFF"/>
                <w:sz w:val="19"/>
                <w:szCs w:val="19"/>
              </w:rPr>
              <w:t xml:space="preserve">Positive %</w:t>
            </w:r>
          </w:p>
        </w:tc>
        <w:tc>
          <w:tcPr>
            <w:tcW w:type="dxa" w:w="2075"/>
            <w:tcBorders>
              <w:top w:val="single" w:color="D0D7DE" w:sz="4"/>
              <w:left w:val="single" w:color="D0D7DE" w:sz="4"/>
              <w:bottom w:val="single" w:color="D0D7DE" w:sz="4"/>
              <w:right w:val="single" w:color="D0D7DE" w:sz="4"/>
            </w:tcBorders>
            <w:shd w:fill="1F3A5F" w:color="auto" w:val="clear"/>
            <w:tcMar>
              <w:top w:type="dxa" w:w="100"/>
              <w:left w:type="dxa" w:w="120"/>
              <w:bottom w:type="dxa" w:w="100"/>
              <w:right w:type="dxa" w:w="120"/>
            </w:tcMar>
            <w:vAlign w:val="center"/>
          </w:tcPr>
          <w:p>
            <w:pPr>
              <w:keepNext/>
              <w:jc w:val="center"/>
            </w:pPr>
            <w:r>
              <w:rPr>
                <w:rFonts w:ascii="Calibri" w:cs="Calibri" w:eastAsia="Calibri" w:hAnsi="Calibri"/>
                <w:b/>
                <w:bCs/>
                <w:color w:val="FFFFFF"/>
                <w:sz w:val="19"/>
                <w:szCs w:val="19"/>
              </w:rPr>
              <w:t xml:space="preserve">Neutral %</w:t>
            </w:r>
          </w:p>
        </w:tc>
        <w:tc>
          <w:tcPr>
            <w:tcW w:type="dxa" w:w="2076"/>
            <w:tcBorders>
              <w:top w:val="single" w:color="D0D7DE" w:sz="4"/>
              <w:left w:val="single" w:color="D0D7DE" w:sz="4"/>
              <w:bottom w:val="single" w:color="D0D7DE" w:sz="4"/>
              <w:right w:val="single" w:color="D0D7DE" w:sz="4"/>
            </w:tcBorders>
            <w:shd w:fill="1F3A5F" w:color="auto" w:val="clear"/>
            <w:tcMar>
              <w:top w:type="dxa" w:w="100"/>
              <w:left w:type="dxa" w:w="120"/>
              <w:bottom w:type="dxa" w:w="100"/>
              <w:right w:type="dxa" w:w="120"/>
            </w:tcMar>
            <w:vAlign w:val="center"/>
          </w:tcPr>
          <w:p>
            <w:pPr>
              <w:keepNext/>
              <w:jc w:val="center"/>
            </w:pPr>
            <w:r>
              <w:rPr>
                <w:rFonts w:ascii="Calibri" w:cs="Calibri" w:eastAsia="Calibri" w:hAnsi="Calibri"/>
                <w:b/>
                <w:bCs/>
                <w:color w:val="FFFFFF"/>
                <w:sz w:val="19"/>
                <w:szCs w:val="19"/>
              </w:rPr>
              <w:t xml:space="preserve">Negative %</w:t>
            </w:r>
          </w:p>
        </w:tc>
      </w:tr>
      <w:tr>
        <w:trPr>
          <w:cantSplit/>
        </w:trPr>
        <w:tc>
          <w:tcPr>
            <w:tcW w:type="dxa" w:w="28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left"/>
            </w:pPr>
            <w:r>
              <w:rPr>
                <w:rFonts w:ascii="Calibri" w:cs="Calibri" w:eastAsia="Calibri" w:hAnsi="Calibri"/>
                <w:b/>
                <w:bCs/>
                <w:sz w:val="19"/>
                <w:szCs w:val="19"/>
              </w:rPr>
              <w:t xml:space="preserve">Books</w:t>
            </w:r>
          </w:p>
        </w:tc>
        <w:tc>
          <w:tcPr>
            <w:tcW w:type="dxa" w:w="2075"/>
            <w:tcBorders>
              <w:top w:val="single" w:color="D0D7DE" w:sz="4"/>
              <w:left w:val="single" w:color="D0D7DE" w:sz="4"/>
              <w:bottom w:val="single" w:color="D0D7DE" w:sz="4"/>
              <w:right w:val="single" w:color="D0D7DE" w:sz="4"/>
            </w:tcBorders>
            <w:shd w:fill="E8F5E9" w:color="auto" w:val="clear"/>
            <w:tcMar>
              <w:top w:type="dxa" w:w="90"/>
              <w:left w:type="dxa" w:w="120"/>
              <w:bottom w:type="dxa" w:w="90"/>
              <w:right w:type="dxa" w:w="120"/>
            </w:tcMar>
            <w:vAlign w:val="center"/>
          </w:tcPr>
          <w:p>
            <w:pPr>
              <w:keepNext/>
              <w:jc w:val="center"/>
            </w:pPr>
            <w:r>
              <w:rPr>
                <w:rFonts w:ascii="Calibri" w:cs="Calibri" w:eastAsia="Calibri" w:hAnsi="Calibri"/>
                <w:b w:val="false"/>
                <w:bCs w:val="false"/>
                <w:sz w:val="19"/>
                <w:szCs w:val="19"/>
              </w:rPr>
              <w:t xml:space="preserve">83.56%</w:t>
            </w:r>
          </w:p>
        </w:tc>
        <w:tc>
          <w:tcPr>
            <w:tcW w:type="dxa" w:w="2075"/>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center"/>
            </w:pPr>
            <w:r>
              <w:rPr>
                <w:rFonts w:ascii="Calibri" w:cs="Calibri" w:eastAsia="Calibri" w:hAnsi="Calibri"/>
                <w:b w:val="false"/>
                <w:bCs w:val="false"/>
                <w:sz w:val="19"/>
                <w:szCs w:val="19"/>
              </w:rPr>
              <w:t xml:space="preserve">10.00%</w:t>
            </w:r>
          </w:p>
        </w:tc>
        <w:tc>
          <w:tcPr>
            <w:tcW w:type="dxa" w:w="2076"/>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center"/>
            </w:pPr>
            <w:r>
              <w:rPr>
                <w:rFonts w:ascii="Calibri" w:cs="Calibri" w:eastAsia="Calibri" w:hAnsi="Calibri"/>
                <w:b w:val="false"/>
                <w:bCs w:val="false"/>
                <w:sz w:val="19"/>
                <w:szCs w:val="19"/>
              </w:rPr>
              <w:t xml:space="preserve">6.45%</w:t>
            </w:r>
          </w:p>
        </w:tc>
      </w:tr>
      <w:tr>
        <w:trPr>
          <w:cantSplit/>
        </w:trPr>
        <w:tc>
          <w:tcPr>
            <w:tcW w:type="dxa" w:w="2800"/>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left"/>
            </w:pPr>
            <w:r>
              <w:rPr>
                <w:rFonts w:ascii="Calibri" w:cs="Calibri" w:eastAsia="Calibri" w:hAnsi="Calibri"/>
                <w:b/>
                <w:bCs/>
                <w:sz w:val="19"/>
                <w:szCs w:val="19"/>
              </w:rPr>
              <w:t xml:space="preserve">Grocery*</w:t>
            </w:r>
          </w:p>
        </w:tc>
        <w:tc>
          <w:tcPr>
            <w:tcW w:type="dxa" w:w="2075"/>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center"/>
            </w:pPr>
            <w:r>
              <w:rPr>
                <w:rFonts w:ascii="Calibri" w:cs="Calibri" w:eastAsia="Calibri" w:hAnsi="Calibri"/>
                <w:b w:val="false"/>
                <w:bCs w:val="false"/>
                <w:sz w:val="19"/>
                <w:szCs w:val="19"/>
              </w:rPr>
              <w:t xml:space="preserve">77.63%</w:t>
            </w:r>
          </w:p>
        </w:tc>
        <w:tc>
          <w:tcPr>
            <w:tcW w:type="dxa" w:w="2075"/>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center"/>
            </w:pPr>
            <w:r>
              <w:rPr>
                <w:rFonts w:ascii="Calibri" w:cs="Calibri" w:eastAsia="Calibri" w:hAnsi="Calibri"/>
                <w:b w:val="false"/>
                <w:bCs w:val="false"/>
                <w:sz w:val="19"/>
                <w:szCs w:val="19"/>
              </w:rPr>
              <w:t xml:space="preserve">7.77%</w:t>
            </w:r>
          </w:p>
        </w:tc>
        <w:tc>
          <w:tcPr>
            <w:tcW w:type="dxa" w:w="2076"/>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center"/>
            </w:pPr>
            <w:r>
              <w:rPr>
                <w:rFonts w:ascii="Calibri" w:cs="Calibri" w:eastAsia="Calibri" w:hAnsi="Calibri"/>
                <w:b w:val="false"/>
                <w:bCs w:val="false"/>
                <w:sz w:val="19"/>
                <w:szCs w:val="19"/>
              </w:rPr>
              <w:t xml:space="preserve">14.59%</w:t>
            </w:r>
          </w:p>
        </w:tc>
      </w:tr>
      <w:tr>
        <w:trPr>
          <w:cantSplit/>
        </w:trPr>
        <w:tc>
          <w:tcPr>
            <w:tcW w:type="dxa" w:w="28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left"/>
            </w:pPr>
            <w:r>
              <w:rPr>
                <w:rFonts w:ascii="Calibri" w:cs="Calibri" w:eastAsia="Calibri" w:hAnsi="Calibri"/>
                <w:b/>
                <w:bCs/>
                <w:sz w:val="19"/>
                <w:szCs w:val="19"/>
              </w:rPr>
              <w:t xml:space="preserve">Ebook</w:t>
            </w:r>
          </w:p>
        </w:tc>
        <w:tc>
          <w:tcPr>
            <w:tcW w:type="dxa" w:w="2075"/>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center"/>
            </w:pPr>
            <w:r>
              <w:rPr>
                <w:rFonts w:ascii="Calibri" w:cs="Calibri" w:eastAsia="Calibri" w:hAnsi="Calibri"/>
                <w:b w:val="false"/>
                <w:bCs w:val="false"/>
                <w:sz w:val="19"/>
                <w:szCs w:val="19"/>
              </w:rPr>
              <w:t xml:space="preserve">76.98%</w:t>
            </w:r>
          </w:p>
        </w:tc>
        <w:tc>
          <w:tcPr>
            <w:tcW w:type="dxa" w:w="2075"/>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center"/>
            </w:pPr>
            <w:r>
              <w:rPr>
                <w:rFonts w:ascii="Calibri" w:cs="Calibri" w:eastAsia="Calibri" w:hAnsi="Calibri"/>
                <w:b w:val="false"/>
                <w:bCs w:val="false"/>
                <w:sz w:val="19"/>
                <w:szCs w:val="19"/>
              </w:rPr>
              <w:t xml:space="preserve">13.79%</w:t>
            </w:r>
          </w:p>
        </w:tc>
        <w:tc>
          <w:tcPr>
            <w:tcW w:type="dxa" w:w="2076"/>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center"/>
            </w:pPr>
            <w:r>
              <w:rPr>
                <w:rFonts w:ascii="Calibri" w:cs="Calibri" w:eastAsia="Calibri" w:hAnsi="Calibri"/>
                <w:b w:val="false"/>
                <w:bCs w:val="false"/>
                <w:sz w:val="19"/>
                <w:szCs w:val="19"/>
              </w:rPr>
              <w:t xml:space="preserve">9.23%</w:t>
            </w:r>
          </w:p>
        </w:tc>
      </w:tr>
      <w:tr>
        <w:trPr>
          <w:cantSplit/>
        </w:trPr>
        <w:tc>
          <w:tcPr>
            <w:tcW w:type="dxa" w:w="2800"/>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left"/>
            </w:pPr>
            <w:r>
              <w:rPr>
                <w:rFonts w:ascii="Calibri" w:cs="Calibri" w:eastAsia="Calibri" w:hAnsi="Calibri"/>
                <w:b/>
                <w:bCs/>
                <w:sz w:val="19"/>
                <w:szCs w:val="19"/>
              </w:rPr>
              <w:t xml:space="preserve">Beauty</w:t>
            </w:r>
          </w:p>
        </w:tc>
        <w:tc>
          <w:tcPr>
            <w:tcW w:type="dxa" w:w="2075"/>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center"/>
            </w:pPr>
            <w:r>
              <w:rPr>
                <w:rFonts w:ascii="Calibri" w:cs="Calibri" w:eastAsia="Calibri" w:hAnsi="Calibri"/>
                <w:b w:val="false"/>
                <w:bCs w:val="false"/>
                <w:sz w:val="19"/>
                <w:szCs w:val="19"/>
              </w:rPr>
              <w:t xml:space="preserve">71.23%</w:t>
            </w:r>
          </w:p>
        </w:tc>
        <w:tc>
          <w:tcPr>
            <w:tcW w:type="dxa" w:w="2075"/>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center"/>
            </w:pPr>
            <w:r>
              <w:rPr>
                <w:rFonts w:ascii="Calibri" w:cs="Calibri" w:eastAsia="Calibri" w:hAnsi="Calibri"/>
                <w:b w:val="false"/>
                <w:bCs w:val="false"/>
                <w:sz w:val="19"/>
                <w:szCs w:val="19"/>
              </w:rPr>
              <w:t xml:space="preserve">8.07%</w:t>
            </w:r>
          </w:p>
        </w:tc>
        <w:tc>
          <w:tcPr>
            <w:tcW w:type="dxa" w:w="2076"/>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center"/>
            </w:pPr>
            <w:r>
              <w:rPr>
                <w:rFonts w:ascii="Calibri" w:cs="Calibri" w:eastAsia="Calibri" w:hAnsi="Calibri"/>
                <w:b w:val="false"/>
                <w:bCs w:val="false"/>
                <w:sz w:val="19"/>
                <w:szCs w:val="19"/>
              </w:rPr>
              <w:t xml:space="preserve">20.71%</w:t>
            </w:r>
          </w:p>
        </w:tc>
      </w:tr>
      <w:tr>
        <w:trPr>
          <w:cantSplit/>
        </w:trPr>
        <w:tc>
          <w:tcPr>
            <w:tcW w:type="dxa" w:w="28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val="false"/>
              <w:jc w:val="left"/>
            </w:pPr>
            <w:r>
              <w:rPr>
                <w:rFonts w:ascii="Calibri" w:cs="Calibri" w:eastAsia="Calibri" w:hAnsi="Calibri"/>
                <w:b/>
                <w:bCs/>
                <w:sz w:val="19"/>
                <w:szCs w:val="19"/>
              </w:rPr>
              <w:t xml:space="preserve">Electronics</w:t>
            </w:r>
          </w:p>
        </w:tc>
        <w:tc>
          <w:tcPr>
            <w:tcW w:type="dxa" w:w="2075"/>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val="false"/>
              <w:jc w:val="center"/>
            </w:pPr>
            <w:r>
              <w:rPr>
                <w:rFonts w:ascii="Calibri" w:cs="Calibri" w:eastAsia="Calibri" w:hAnsi="Calibri"/>
                <w:b w:val="false"/>
                <w:bCs w:val="false"/>
                <w:sz w:val="19"/>
                <w:szCs w:val="19"/>
              </w:rPr>
              <w:t xml:space="preserve">60.41%</w:t>
            </w:r>
          </w:p>
        </w:tc>
        <w:tc>
          <w:tcPr>
            <w:tcW w:type="dxa" w:w="2075"/>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val="false"/>
              <w:jc w:val="center"/>
            </w:pPr>
            <w:r>
              <w:rPr>
                <w:rFonts w:ascii="Calibri" w:cs="Calibri" w:eastAsia="Calibri" w:hAnsi="Calibri"/>
                <w:b w:val="false"/>
                <w:bCs w:val="false"/>
                <w:sz w:val="19"/>
                <w:szCs w:val="19"/>
              </w:rPr>
              <w:t xml:space="preserve">10.07%</w:t>
            </w:r>
          </w:p>
        </w:tc>
        <w:tc>
          <w:tcPr>
            <w:tcW w:type="dxa" w:w="2076"/>
            <w:tcBorders>
              <w:top w:val="single" w:color="D0D7DE" w:sz="4"/>
              <w:left w:val="single" w:color="D0D7DE" w:sz="4"/>
              <w:bottom w:val="single" w:color="D0D7DE" w:sz="4"/>
              <w:right w:val="single" w:color="D0D7DE" w:sz="4"/>
            </w:tcBorders>
            <w:shd w:fill="FDECEA" w:color="auto" w:val="clear"/>
            <w:tcMar>
              <w:top w:type="dxa" w:w="90"/>
              <w:left w:type="dxa" w:w="120"/>
              <w:bottom w:type="dxa" w:w="90"/>
              <w:right w:type="dxa" w:w="120"/>
            </w:tcMar>
            <w:vAlign w:val="center"/>
          </w:tcPr>
          <w:p>
            <w:pPr>
              <w:keepNext w:val="false"/>
              <w:jc w:val="center"/>
            </w:pPr>
            <w:r>
              <w:rPr>
                <w:rFonts w:ascii="Calibri" w:cs="Calibri" w:eastAsia="Calibri" w:hAnsi="Calibri"/>
                <w:b/>
                <w:bCs/>
                <w:sz w:val="19"/>
                <w:szCs w:val="19"/>
              </w:rPr>
              <w:t xml:space="preserve">29.52%</w:t>
            </w:r>
          </w:p>
        </w:tc>
      </w:tr>
    </w:tbl>
    <w:p>
      <w:pPr>
        <w:spacing w:after="200" w:before="60" w:line="276" w:lineRule="auto"/>
        <w:jc w:val="left"/>
      </w:pPr>
      <w:r>
        <w:rPr>
          <w:rFonts w:ascii="Calibri" w:cs="Calibri" w:eastAsia="Calibri" w:hAnsi="Calibri"/>
          <w:i/>
          <w:iCs/>
          <w:color w:val="595959"/>
          <w:sz w:val="17"/>
          <w:szCs w:val="17"/>
        </w:rPr>
        <w:t xml:space="preserve">Table 3. Sentiment share by category (SQL Query 8 after label standardization, and Grocery rating-derived classification). *Grocery sentiment is derived from star ratings; 17 records with missing ratings remain unclassified.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5B6" w:sz="24"/>
              <w:bottom w:val="none" w:color="FFFFFF" w:sz="0"/>
              <w:right w:val="none" w:color="FFFFFF" w:sz="0"/>
            </w:tcBorders>
            <w:shd w:fill="EAF1F8" w:color="auto" w:val="clear"/>
            <w:tcMar>
              <w:top w:type="dxa" w:w="140"/>
              <w:left w:type="dxa" w:w="220"/>
              <w:bottom w:type="dxa" w:w="140"/>
              <w:right w:type="dxa" w:w="200"/>
            </w:tcMar>
          </w:tcPr>
          <w:p>
            <w:pPr>
              <w:spacing w:after="60"/>
            </w:pPr>
            <w:r>
              <w:rPr>
                <w:rFonts w:ascii="Calibri" w:cs="Calibri" w:eastAsia="Calibri" w:hAnsi="Calibri"/>
                <w:b/>
                <w:bCs/>
                <w:color w:val="2E75B6"/>
                <w:sz w:val="21"/>
                <w:szCs w:val="21"/>
              </w:rPr>
              <w:t xml:space="preserve">Insight</w:t>
            </w:r>
          </w:p>
          <w:p>
            <w:pPr>
              <w:spacing w:after="0" w:line="276" w:lineRule="auto"/>
            </w:pPr>
            <w:r>
              <w:rPr>
                <w:rFonts w:ascii="Calibri" w:cs="Calibri" w:eastAsia="Calibri" w:hAnsi="Calibri"/>
                <w:sz w:val="20"/>
                <w:szCs w:val="20"/>
              </w:rPr>
              <w:t xml:space="preserve">Electronics has the highest negative sentiment percentage at 29.52%, followed by Beauty at 20.71% and Grocery at 14.59%. Books has the lowest negative sentiment percentage at 6.45%.</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6A00" w:sz="24"/>
              <w:bottom w:val="none" w:color="FFFFFF" w:sz="0"/>
              <w:right w:val="none" w:color="FFFFFF" w:sz="0"/>
            </w:tcBorders>
            <w:shd w:fill="FFF4E0" w:color="auto" w:val="clear"/>
            <w:tcMar>
              <w:top w:type="dxa" w:w="140"/>
              <w:left w:type="dxa" w:w="220"/>
              <w:bottom w:type="dxa" w:w="140"/>
              <w:right w:type="dxa" w:w="200"/>
            </w:tcMar>
          </w:tcPr>
          <w:p>
            <w:pPr>
              <w:spacing w:after="60"/>
            </w:pPr>
            <w:r>
              <w:rPr>
                <w:rFonts w:ascii="Calibri" w:cs="Calibri" w:eastAsia="Calibri" w:hAnsi="Calibri"/>
                <w:b/>
                <w:bCs/>
                <w:color w:val="B26A00"/>
                <w:sz w:val="21"/>
                <w:szCs w:val="21"/>
              </w:rPr>
              <w:t xml:space="preserve">Grocery sentiment method</w:t>
            </w:r>
          </w:p>
          <w:p>
            <w:pPr>
              <w:spacing w:after="0" w:line="276" w:lineRule="auto"/>
            </w:pPr>
            <w:r>
              <w:rPr>
                <w:rFonts w:ascii="Calibri" w:cs="Calibri" w:eastAsia="Calibri" w:hAnsi="Calibri"/>
                <w:sz w:val="20"/>
                <w:szCs w:val="20"/>
              </w:rPr>
              <w:t xml:space="preserve">Grocery shows 77.63% positive, 7.77% neutral, and 14.59% negative sentiment based on rating-derived sentiment classification. The category can now be included in the five-category sentiment comparison, with 17 records remaining unclassified due to missing ratings. Because Grocery sentiment is derived from ratings, the method should be validated before the figures are treated as final.</w:t>
            </w:r>
          </w:p>
        </w:tc>
      </w:tr>
    </w:tbl>
    <w:p>
      <w:pPr>
        <w:pStyle w:val="Heading1"/>
        <w:keepNext/>
      </w:pPr>
      <w:r>
        <w:rPr>
          <w:rFonts w:ascii="Calibri" w:cs="Calibri" w:eastAsia="Calibri" w:hAnsi="Calibri"/>
        </w:rPr>
        <w:t xml:space="preserve">4. Customer Pain Points</w:t>
      </w:r>
    </w:p>
    <w:p>
      <w:pPr>
        <w:keepNext/>
        <w:spacing w:after="140" w:before="0" w:line="276" w:lineRule="auto"/>
        <w:jc w:val="left"/>
      </w:pPr>
      <w:r>
        <w:rPr>
          <w:rFonts w:ascii="Calibri" w:cs="Calibri" w:eastAsia="Calibri" w:hAnsi="Calibri"/>
          <w:sz w:val="21"/>
          <w:szCs w:val="21"/>
        </w:rPr>
        <w:t xml:space="preserve">Keyword indicators were measured within negative reviews to see which themes appear most often. Values show the share of negative reviews containing terms in each theme.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1700"/>
        <w:gridCol w:w="2000"/>
        <w:gridCol w:w="1600"/>
        <w:gridCol w:w="1500"/>
      </w:tblGrid>
      <w:tr>
        <w:trPr>
          <w:cantSplit/>
          <w:tblHeader/>
        </w:trPr>
        <w:tc>
          <w:tcPr>
            <w:tcW w:type="dxa" w:w="2226"/>
            <w:tcBorders>
              <w:top w:val="single" w:color="D0D7DE" w:sz="4"/>
              <w:left w:val="single" w:color="D0D7DE" w:sz="4"/>
              <w:bottom w:val="single" w:color="D0D7DE" w:sz="4"/>
              <w:right w:val="single" w:color="D0D7DE" w:sz="4"/>
            </w:tcBorders>
            <w:shd w:fill="1F3A5F" w:color="auto" w:val="clear"/>
            <w:tcMar>
              <w:top w:type="dxa" w:w="100"/>
              <w:left w:type="dxa" w:w="120"/>
              <w:bottom w:type="dxa" w:w="100"/>
              <w:right w:type="dxa" w:w="120"/>
            </w:tcMar>
            <w:vAlign w:val="center"/>
          </w:tcPr>
          <w:p>
            <w:pPr>
              <w:keepNext/>
              <w:jc w:val="left"/>
            </w:pPr>
            <w:r>
              <w:rPr>
                <w:rFonts w:ascii="Calibri" w:cs="Calibri" w:eastAsia="Calibri" w:hAnsi="Calibri"/>
                <w:b/>
                <w:bCs/>
                <w:color w:val="FFFFFF"/>
                <w:sz w:val="19"/>
                <w:szCs w:val="19"/>
              </w:rPr>
              <w:t xml:space="preserve">Category</w:t>
            </w:r>
          </w:p>
        </w:tc>
        <w:tc>
          <w:tcPr>
            <w:tcW w:type="dxa" w:w="1700"/>
            <w:tcBorders>
              <w:top w:val="single" w:color="D0D7DE" w:sz="4"/>
              <w:left w:val="single" w:color="D0D7DE" w:sz="4"/>
              <w:bottom w:val="single" w:color="D0D7DE" w:sz="4"/>
              <w:right w:val="single" w:color="D0D7DE" w:sz="4"/>
            </w:tcBorders>
            <w:shd w:fill="1F3A5F" w:color="auto" w:val="clear"/>
            <w:tcMar>
              <w:top w:type="dxa" w:w="100"/>
              <w:left w:type="dxa" w:w="120"/>
              <w:bottom w:type="dxa" w:w="100"/>
              <w:right w:type="dxa" w:w="120"/>
            </w:tcMar>
            <w:vAlign w:val="center"/>
          </w:tcPr>
          <w:p>
            <w:pPr>
              <w:keepNext/>
              <w:jc w:val="center"/>
            </w:pPr>
            <w:r>
              <w:rPr>
                <w:rFonts w:ascii="Calibri" w:cs="Calibri" w:eastAsia="Calibri" w:hAnsi="Calibri"/>
                <w:b/>
                <w:bCs/>
                <w:color w:val="FFFFFF"/>
                <w:sz w:val="19"/>
                <w:szCs w:val="19"/>
              </w:rPr>
              <w:t xml:space="preserve">Quality</w:t>
            </w:r>
          </w:p>
        </w:tc>
        <w:tc>
          <w:tcPr>
            <w:tcW w:type="dxa" w:w="2000"/>
            <w:tcBorders>
              <w:top w:val="single" w:color="D0D7DE" w:sz="4"/>
              <w:left w:val="single" w:color="D0D7DE" w:sz="4"/>
              <w:bottom w:val="single" w:color="D0D7DE" w:sz="4"/>
              <w:right w:val="single" w:color="D0D7DE" w:sz="4"/>
            </w:tcBorders>
            <w:shd w:fill="1F3A5F" w:color="auto" w:val="clear"/>
            <w:tcMar>
              <w:top w:type="dxa" w:w="100"/>
              <w:left w:type="dxa" w:w="120"/>
              <w:bottom w:type="dxa" w:w="100"/>
              <w:right w:type="dxa" w:w="120"/>
            </w:tcMar>
            <w:vAlign w:val="center"/>
          </w:tcPr>
          <w:p>
            <w:pPr>
              <w:keepNext/>
              <w:jc w:val="center"/>
            </w:pPr>
            <w:r>
              <w:rPr>
                <w:rFonts w:ascii="Calibri" w:cs="Calibri" w:eastAsia="Calibri" w:hAnsi="Calibri"/>
                <w:b/>
                <w:bCs/>
                <w:color w:val="FFFFFF"/>
                <w:sz w:val="19"/>
                <w:szCs w:val="19"/>
              </w:rPr>
              <w:t xml:space="preserve">Product Condition</w:t>
            </w:r>
          </w:p>
        </w:tc>
        <w:tc>
          <w:tcPr>
            <w:tcW w:type="dxa" w:w="1600"/>
            <w:tcBorders>
              <w:top w:val="single" w:color="D0D7DE" w:sz="4"/>
              <w:left w:val="single" w:color="D0D7DE" w:sz="4"/>
              <w:bottom w:val="single" w:color="D0D7DE" w:sz="4"/>
              <w:right w:val="single" w:color="D0D7DE" w:sz="4"/>
            </w:tcBorders>
            <w:shd w:fill="1F3A5F" w:color="auto" w:val="clear"/>
            <w:tcMar>
              <w:top w:type="dxa" w:w="100"/>
              <w:left w:type="dxa" w:w="120"/>
              <w:bottom w:type="dxa" w:w="100"/>
              <w:right w:type="dxa" w:w="120"/>
            </w:tcMar>
            <w:vAlign w:val="center"/>
          </w:tcPr>
          <w:p>
            <w:pPr>
              <w:keepNext/>
              <w:jc w:val="center"/>
            </w:pPr>
            <w:r>
              <w:rPr>
                <w:rFonts w:ascii="Calibri" w:cs="Calibri" w:eastAsia="Calibri" w:hAnsi="Calibri"/>
                <w:b/>
                <w:bCs/>
                <w:color w:val="FFFFFF"/>
                <w:sz w:val="19"/>
                <w:szCs w:val="19"/>
              </w:rPr>
              <w:t xml:space="preserve">Authenticity</w:t>
            </w:r>
          </w:p>
        </w:tc>
        <w:tc>
          <w:tcPr>
            <w:tcW w:type="dxa" w:w="1500"/>
            <w:tcBorders>
              <w:top w:val="single" w:color="D0D7DE" w:sz="4"/>
              <w:left w:val="single" w:color="D0D7DE" w:sz="4"/>
              <w:bottom w:val="single" w:color="D0D7DE" w:sz="4"/>
              <w:right w:val="single" w:color="D0D7DE" w:sz="4"/>
            </w:tcBorders>
            <w:shd w:fill="1F3A5F" w:color="auto" w:val="clear"/>
            <w:tcMar>
              <w:top w:type="dxa" w:w="100"/>
              <w:left w:type="dxa" w:w="120"/>
              <w:bottom w:type="dxa" w:w="100"/>
              <w:right w:type="dxa" w:w="120"/>
            </w:tcMar>
            <w:vAlign w:val="center"/>
          </w:tcPr>
          <w:p>
            <w:pPr>
              <w:keepNext/>
              <w:jc w:val="center"/>
            </w:pPr>
            <w:r>
              <w:rPr>
                <w:rFonts w:ascii="Calibri" w:cs="Calibri" w:eastAsia="Calibri" w:hAnsi="Calibri"/>
                <w:b/>
                <w:bCs/>
                <w:color w:val="FFFFFF"/>
                <w:sz w:val="19"/>
                <w:szCs w:val="19"/>
              </w:rPr>
              <w:t xml:space="preserve">Price</w:t>
            </w:r>
          </w:p>
        </w:tc>
      </w:tr>
      <w:tr>
        <w:trPr>
          <w:cantSplit/>
        </w:trPr>
        <w:tc>
          <w:tcPr>
            <w:tcW w:type="dxa" w:w="2226"/>
            <w:tcBorders>
              <w:top w:val="single" w:color="D0D7DE" w:sz="4"/>
              <w:left w:val="single" w:color="D0D7DE" w:sz="4"/>
              <w:bottom w:val="single" w:color="D0D7DE" w:sz="4"/>
              <w:right w:val="single" w:color="D0D7DE" w:sz="4"/>
            </w:tcBorders>
            <w:shd w:fill="FDECEA" w:color="auto" w:val="clear"/>
            <w:tcMar>
              <w:top w:type="dxa" w:w="90"/>
              <w:left w:type="dxa" w:w="120"/>
              <w:bottom w:type="dxa" w:w="90"/>
              <w:right w:type="dxa" w:w="120"/>
            </w:tcMar>
            <w:vAlign w:val="center"/>
          </w:tcPr>
          <w:p>
            <w:pPr>
              <w:keepNext/>
              <w:jc w:val="left"/>
            </w:pPr>
            <w:r>
              <w:rPr>
                <w:rFonts w:ascii="Calibri" w:cs="Calibri" w:eastAsia="Calibri" w:hAnsi="Calibri"/>
                <w:b/>
                <w:bCs/>
                <w:sz w:val="19"/>
                <w:szCs w:val="19"/>
              </w:rPr>
              <w:t xml:space="preserve">Electronics</w:t>
            </w:r>
          </w:p>
        </w:tc>
        <w:tc>
          <w:tcPr>
            <w:tcW w:type="dxa" w:w="1700"/>
            <w:tcBorders>
              <w:top w:val="single" w:color="D0D7DE" w:sz="4"/>
              <w:left w:val="single" w:color="D0D7DE" w:sz="4"/>
              <w:bottom w:val="single" w:color="D0D7DE" w:sz="4"/>
              <w:right w:val="single" w:color="D0D7DE" w:sz="4"/>
            </w:tcBorders>
            <w:shd w:fill="FDECEA" w:color="auto" w:val="clear"/>
            <w:tcMar>
              <w:top w:type="dxa" w:w="90"/>
              <w:left w:type="dxa" w:w="120"/>
              <w:bottom w:type="dxa" w:w="90"/>
              <w:right w:type="dxa" w:w="120"/>
            </w:tcMar>
            <w:vAlign w:val="center"/>
          </w:tcPr>
          <w:p>
            <w:pPr>
              <w:keepNext/>
              <w:jc w:val="center"/>
            </w:pPr>
            <w:r>
              <w:rPr>
                <w:rFonts w:ascii="Calibri" w:cs="Calibri" w:eastAsia="Calibri" w:hAnsi="Calibri"/>
                <w:b/>
                <w:bCs/>
                <w:sz w:val="19"/>
                <w:szCs w:val="19"/>
              </w:rPr>
              <w:t xml:space="preserve">13.15%</w:t>
            </w:r>
          </w:p>
        </w:tc>
        <w:tc>
          <w:tcPr>
            <w:tcW w:type="dxa" w:w="2000"/>
            <w:tcBorders>
              <w:top w:val="single" w:color="D0D7DE" w:sz="4"/>
              <w:left w:val="single" w:color="D0D7DE" w:sz="4"/>
              <w:bottom w:val="single" w:color="D0D7DE" w:sz="4"/>
              <w:right w:val="single" w:color="D0D7DE" w:sz="4"/>
            </w:tcBorders>
            <w:shd w:fill="FDECEA" w:color="auto" w:val="clear"/>
            <w:tcMar>
              <w:top w:type="dxa" w:w="90"/>
              <w:left w:type="dxa" w:w="120"/>
              <w:bottom w:type="dxa" w:w="90"/>
              <w:right w:type="dxa" w:w="120"/>
            </w:tcMar>
            <w:vAlign w:val="center"/>
          </w:tcPr>
          <w:p>
            <w:pPr>
              <w:keepNext/>
              <w:jc w:val="center"/>
            </w:pPr>
            <w:r>
              <w:rPr>
                <w:rFonts w:ascii="Calibri" w:cs="Calibri" w:eastAsia="Calibri" w:hAnsi="Calibri"/>
                <w:b/>
                <w:bCs/>
                <w:sz w:val="19"/>
                <w:szCs w:val="19"/>
              </w:rPr>
              <w:t xml:space="preserve">10.55%</w:t>
            </w:r>
          </w:p>
        </w:tc>
        <w:tc>
          <w:tcPr>
            <w:tcW w:type="dxa" w:w="1600"/>
            <w:tcBorders>
              <w:top w:val="single" w:color="D0D7DE" w:sz="4"/>
              <w:left w:val="single" w:color="D0D7DE" w:sz="4"/>
              <w:bottom w:val="single" w:color="D0D7DE" w:sz="4"/>
              <w:right w:val="single" w:color="D0D7DE" w:sz="4"/>
            </w:tcBorders>
            <w:shd w:fill="FDECEA" w:color="auto" w:val="clear"/>
            <w:tcMar>
              <w:top w:type="dxa" w:w="90"/>
              <w:left w:type="dxa" w:w="120"/>
              <w:bottom w:type="dxa" w:w="90"/>
              <w:right w:type="dxa" w:w="120"/>
            </w:tcMar>
            <w:vAlign w:val="center"/>
          </w:tcPr>
          <w:p>
            <w:pPr>
              <w:keepNext/>
              <w:jc w:val="center"/>
            </w:pPr>
            <w:r>
              <w:rPr>
                <w:rFonts w:ascii="Calibri" w:cs="Calibri" w:eastAsia="Calibri" w:hAnsi="Calibri"/>
                <w:b w:val="false"/>
                <w:bCs w:val="false"/>
                <w:sz w:val="19"/>
                <w:szCs w:val="19"/>
              </w:rPr>
              <w:t xml:space="preserve">1.20%</w:t>
            </w:r>
          </w:p>
        </w:tc>
        <w:tc>
          <w:tcPr>
            <w:tcW w:type="dxa" w:w="1500"/>
            <w:tcBorders>
              <w:top w:val="single" w:color="D0D7DE" w:sz="4"/>
              <w:left w:val="single" w:color="D0D7DE" w:sz="4"/>
              <w:bottom w:val="single" w:color="D0D7DE" w:sz="4"/>
              <w:right w:val="single" w:color="D0D7DE" w:sz="4"/>
            </w:tcBorders>
            <w:shd w:fill="FDECEA" w:color="auto" w:val="clear"/>
            <w:tcMar>
              <w:top w:type="dxa" w:w="90"/>
              <w:left w:type="dxa" w:w="120"/>
              <w:bottom w:type="dxa" w:w="90"/>
              <w:right w:type="dxa" w:w="120"/>
            </w:tcMar>
            <w:vAlign w:val="center"/>
          </w:tcPr>
          <w:p>
            <w:pPr>
              <w:keepNext/>
              <w:jc w:val="center"/>
            </w:pPr>
            <w:r>
              <w:rPr>
                <w:rFonts w:ascii="Calibri" w:cs="Calibri" w:eastAsia="Calibri" w:hAnsi="Calibri"/>
                <w:b/>
                <w:bCs/>
                <w:sz w:val="19"/>
                <w:szCs w:val="19"/>
              </w:rPr>
              <w:t xml:space="preserve">13.97%</w:t>
            </w:r>
          </w:p>
        </w:tc>
      </w:tr>
      <w:tr>
        <w:trPr>
          <w:cantSplit/>
        </w:trPr>
        <w:tc>
          <w:tcPr>
            <w:tcW w:type="dxa" w:w="2226"/>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left"/>
            </w:pPr>
            <w:r>
              <w:rPr>
                <w:rFonts w:ascii="Calibri" w:cs="Calibri" w:eastAsia="Calibri" w:hAnsi="Calibri"/>
                <w:b/>
                <w:bCs/>
                <w:sz w:val="19"/>
                <w:szCs w:val="19"/>
              </w:rPr>
              <w:t xml:space="preserve">Beauty</w:t>
            </w:r>
          </w:p>
        </w:tc>
        <w:tc>
          <w:tcPr>
            <w:tcW w:type="dxa" w:w="1700"/>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center"/>
            </w:pPr>
            <w:r>
              <w:rPr>
                <w:rFonts w:ascii="Calibri" w:cs="Calibri" w:eastAsia="Calibri" w:hAnsi="Calibri"/>
                <w:b w:val="false"/>
                <w:bCs w:val="false"/>
                <w:sz w:val="19"/>
                <w:szCs w:val="19"/>
              </w:rPr>
              <w:t xml:space="preserve">5.18%</w:t>
            </w:r>
          </w:p>
        </w:tc>
        <w:tc>
          <w:tcPr>
            <w:tcW w:type="dxa" w:w="2000"/>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center"/>
            </w:pPr>
            <w:r>
              <w:rPr>
                <w:rFonts w:ascii="Calibri" w:cs="Calibri" w:eastAsia="Calibri" w:hAnsi="Calibri"/>
                <w:b w:val="false"/>
                <w:bCs w:val="false"/>
                <w:sz w:val="19"/>
                <w:szCs w:val="19"/>
              </w:rPr>
              <w:t xml:space="preserve">4.96%</w:t>
            </w:r>
          </w:p>
        </w:tc>
        <w:tc>
          <w:tcPr>
            <w:tcW w:type="dxa" w:w="1600"/>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center"/>
            </w:pPr>
            <w:r>
              <w:rPr>
                <w:rFonts w:ascii="Calibri" w:cs="Calibri" w:eastAsia="Calibri" w:hAnsi="Calibri"/>
                <w:b w:val="false"/>
                <w:bCs w:val="false"/>
                <w:sz w:val="19"/>
                <w:szCs w:val="19"/>
              </w:rPr>
              <w:t xml:space="preserve">1.35%</w:t>
            </w:r>
          </w:p>
        </w:tc>
        <w:tc>
          <w:tcPr>
            <w:tcW w:type="dxa" w:w="1500"/>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center"/>
            </w:pPr>
            <w:r>
              <w:rPr>
                <w:rFonts w:ascii="Calibri" w:cs="Calibri" w:eastAsia="Calibri" w:hAnsi="Calibri"/>
                <w:b w:val="false"/>
                <w:bCs w:val="false"/>
                <w:sz w:val="19"/>
                <w:szCs w:val="19"/>
              </w:rPr>
              <w:t xml:space="preserve">5.03%</w:t>
            </w:r>
          </w:p>
        </w:tc>
      </w:tr>
      <w:tr>
        <w:trPr>
          <w:cantSplit/>
        </w:trPr>
        <w:tc>
          <w:tcPr>
            <w:tcW w:type="dxa" w:w="2226"/>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left"/>
            </w:pPr>
            <w:r>
              <w:rPr>
                <w:rFonts w:ascii="Calibri" w:cs="Calibri" w:eastAsia="Calibri" w:hAnsi="Calibri"/>
                <w:b/>
                <w:bCs/>
                <w:sz w:val="19"/>
                <w:szCs w:val="19"/>
              </w:rPr>
              <w:t xml:space="preserve">Books</w:t>
            </w:r>
          </w:p>
        </w:tc>
        <w:tc>
          <w:tcPr>
            <w:tcW w:type="dxa" w:w="17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center"/>
            </w:pPr>
            <w:r>
              <w:rPr>
                <w:rFonts w:ascii="Calibri" w:cs="Calibri" w:eastAsia="Calibri" w:hAnsi="Calibri"/>
                <w:b w:val="false"/>
                <w:bCs w:val="false"/>
                <w:sz w:val="19"/>
                <w:szCs w:val="19"/>
              </w:rPr>
              <w:t xml:space="preserve">3.39%</w:t>
            </w:r>
          </w:p>
        </w:tc>
        <w:tc>
          <w:tcPr>
            <w:tcW w:type="dxa" w:w="20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center"/>
            </w:pPr>
            <w:r>
              <w:rPr>
                <w:rFonts w:ascii="Calibri" w:cs="Calibri" w:eastAsia="Calibri" w:hAnsi="Calibri"/>
                <w:b w:val="false"/>
                <w:bCs w:val="false"/>
                <w:sz w:val="19"/>
                <w:szCs w:val="19"/>
              </w:rPr>
              <w:t xml:space="preserve">0.92%</w:t>
            </w:r>
          </w:p>
        </w:tc>
        <w:tc>
          <w:tcPr>
            <w:tcW w:type="dxa" w:w="16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center"/>
            </w:pPr>
            <w:r>
              <w:rPr>
                <w:rFonts w:ascii="Calibri" w:cs="Calibri" w:eastAsia="Calibri" w:hAnsi="Calibri"/>
                <w:b w:val="false"/>
                <w:bCs w:val="false"/>
                <w:sz w:val="19"/>
                <w:szCs w:val="19"/>
              </w:rPr>
              <w:t xml:space="preserve">0.65%</w:t>
            </w:r>
          </w:p>
        </w:tc>
        <w:tc>
          <w:tcPr>
            <w:tcW w:type="dxa" w:w="15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center"/>
            </w:pPr>
            <w:r>
              <w:rPr>
                <w:rFonts w:ascii="Calibri" w:cs="Calibri" w:eastAsia="Calibri" w:hAnsi="Calibri"/>
                <w:b w:val="false"/>
                <w:bCs w:val="false"/>
                <w:sz w:val="19"/>
                <w:szCs w:val="19"/>
              </w:rPr>
              <w:t xml:space="preserve">5.16%</w:t>
            </w:r>
          </w:p>
        </w:tc>
      </w:tr>
      <w:tr>
        <w:trPr>
          <w:cantSplit/>
        </w:trPr>
        <w:tc>
          <w:tcPr>
            <w:tcW w:type="dxa" w:w="2226"/>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val="false"/>
              <w:jc w:val="left"/>
            </w:pPr>
            <w:r>
              <w:rPr>
                <w:rFonts w:ascii="Calibri" w:cs="Calibri" w:eastAsia="Calibri" w:hAnsi="Calibri"/>
                <w:b/>
                <w:bCs/>
                <w:sz w:val="19"/>
                <w:szCs w:val="19"/>
              </w:rPr>
              <w:t xml:space="preserve">Ebook</w:t>
            </w:r>
          </w:p>
        </w:tc>
        <w:tc>
          <w:tcPr>
            <w:tcW w:type="dxa" w:w="1700"/>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val="false"/>
              <w:jc w:val="center"/>
            </w:pPr>
            <w:r>
              <w:rPr>
                <w:rFonts w:ascii="Calibri" w:cs="Calibri" w:eastAsia="Calibri" w:hAnsi="Calibri"/>
                <w:b w:val="false"/>
                <w:bCs w:val="false"/>
                <w:sz w:val="19"/>
                <w:szCs w:val="19"/>
              </w:rPr>
              <w:t xml:space="preserve">1.31%</w:t>
            </w:r>
          </w:p>
        </w:tc>
        <w:tc>
          <w:tcPr>
            <w:tcW w:type="dxa" w:w="2000"/>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val="false"/>
              <w:jc w:val="center"/>
            </w:pPr>
            <w:r>
              <w:rPr>
                <w:rFonts w:ascii="Calibri" w:cs="Calibri" w:eastAsia="Calibri" w:hAnsi="Calibri"/>
                <w:b w:val="false"/>
                <w:bCs w:val="false"/>
                <w:sz w:val="19"/>
                <w:szCs w:val="19"/>
              </w:rPr>
              <w:t xml:space="preserve">0.95%</w:t>
            </w:r>
          </w:p>
        </w:tc>
        <w:tc>
          <w:tcPr>
            <w:tcW w:type="dxa" w:w="1600"/>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val="false"/>
              <w:jc w:val="center"/>
            </w:pPr>
            <w:r>
              <w:rPr>
                <w:rFonts w:ascii="Calibri" w:cs="Calibri" w:eastAsia="Calibri" w:hAnsi="Calibri"/>
                <w:b w:val="false"/>
                <w:bCs w:val="false"/>
                <w:sz w:val="19"/>
                <w:szCs w:val="19"/>
              </w:rPr>
              <w:t xml:space="preserve">0.51%</w:t>
            </w:r>
          </w:p>
        </w:tc>
        <w:tc>
          <w:tcPr>
            <w:tcW w:type="dxa" w:w="1500"/>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val="false"/>
              <w:jc w:val="center"/>
            </w:pPr>
            <w:r>
              <w:rPr>
                <w:rFonts w:ascii="Calibri" w:cs="Calibri" w:eastAsia="Calibri" w:hAnsi="Calibri"/>
                <w:b w:val="false"/>
                <w:bCs w:val="false"/>
                <w:sz w:val="19"/>
                <w:szCs w:val="19"/>
              </w:rPr>
              <w:t xml:space="preserve">3.86%</w:t>
            </w:r>
          </w:p>
        </w:tc>
      </w:tr>
    </w:tbl>
    <w:p>
      <w:pPr>
        <w:spacing w:after="200" w:before="60" w:line="276" w:lineRule="auto"/>
        <w:jc w:val="left"/>
      </w:pPr>
      <w:r>
        <w:rPr>
          <w:rFonts w:ascii="Calibri" w:cs="Calibri" w:eastAsia="Calibri" w:hAnsi="Calibri"/>
          <w:i/>
          <w:iCs/>
          <w:color w:val="595959"/>
          <w:sz w:val="17"/>
          <w:szCs w:val="17"/>
        </w:rPr>
        <w:t xml:space="preserve">Table 4. Keyword-based pain-point indicators (SQL Query 27), as a share of each category's negative reviews (Electronics 45,362; Beauty 26,397; Books 6,439; Ebook 9,221). These totals are from the Query 27 run, before the 34 misspelled records were standardized (Books is now 6,455 and Ebook 9,239). Authenticity and Price percentages are calculated from the keyword counts in the same query output (count divided by negative reviews). Grocery is not included because Query 27 was run before Grocery sentiment was derived.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5B6" w:sz="24"/>
              <w:bottom w:val="none" w:color="FFFFFF" w:sz="0"/>
              <w:right w:val="none" w:color="FFFFFF" w:sz="0"/>
            </w:tcBorders>
            <w:shd w:fill="EAF1F8" w:color="auto" w:val="clear"/>
            <w:tcMar>
              <w:top w:type="dxa" w:w="140"/>
              <w:left w:type="dxa" w:w="220"/>
              <w:bottom w:type="dxa" w:w="140"/>
              <w:right w:type="dxa" w:w="200"/>
            </w:tcMar>
          </w:tcPr>
          <w:p>
            <w:pPr>
              <w:spacing w:after="60"/>
            </w:pPr>
            <w:r>
              <w:rPr>
                <w:rFonts w:ascii="Calibri" w:cs="Calibri" w:eastAsia="Calibri" w:hAnsi="Calibri"/>
                <w:b/>
                <w:bCs/>
                <w:color w:val="2E75B6"/>
                <w:sz w:val="21"/>
                <w:szCs w:val="21"/>
              </w:rPr>
              <w:t xml:space="preserve">Interpretation</w:t>
            </w:r>
          </w:p>
          <w:p>
            <w:pPr>
              <w:spacing w:after="0" w:line="276" w:lineRule="auto"/>
            </w:pPr>
            <w:r>
              <w:rPr>
                <w:rFonts w:ascii="Calibri" w:cs="Calibri" w:eastAsia="Calibri" w:hAnsi="Calibri"/>
                <w:sz w:val="20"/>
                <w:szCs w:val="20"/>
              </w:rPr>
              <w:t xml:space="preserve">Keyword-based analysis of negative reviews indicates that Electronics contains a higher proportion of quality- and product-condition-related terms compared with the other categories shown. These indicators will be validated through review-text analysis before being treated as confirmed customer pain points. Price-related terms are also frequent in Electronics negative reviews (13.97%). Like the other themes, the price and authenticity figures are keyword matches, not confirmed complaints.</w:t>
            </w:r>
          </w:p>
        </w:tc>
      </w:tr>
    </w:tbl>
    <w:p>
      <w:pPr>
        <w:pStyle w:val="Heading1"/>
        <w:keepNext/>
      </w:pPr>
      <w:r>
        <w:rPr>
          <w:rFonts w:ascii="Calibri" w:cs="Calibri" w:eastAsia="Calibri" w:hAnsi="Calibri"/>
        </w:rPr>
        <w:t xml:space="preserve">5. High-Impact Customer Feedback</w:t>
      </w:r>
    </w:p>
    <w:p>
      <w:pPr>
        <w:keepNext/>
        <w:spacing w:after="140" w:before="0" w:line="276" w:lineRule="auto"/>
        <w:jc w:val="left"/>
      </w:pPr>
      <w:r>
        <w:rPr>
          <w:rFonts w:ascii="Calibri" w:cs="Calibri" w:eastAsia="Calibri" w:hAnsi="Calibri"/>
          <w:sz w:val="21"/>
          <w:szCs w:val="21"/>
        </w:rPr>
        <w:t xml:space="preserve">Reviews with a high number of helpful votes received greater engagement from other customers, making them useful candidates for further qualitative investigation.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600"/>
        <w:gridCol w:w="4426"/>
      </w:tblGrid>
      <w:tr>
        <w:trPr>
          <w:cantSplit/>
          <w:tblHeader/>
        </w:trPr>
        <w:tc>
          <w:tcPr>
            <w:tcW w:type="dxa" w:w="1700"/>
            <w:tcBorders>
              <w:top w:val="single" w:color="D0D7DE" w:sz="4"/>
              <w:left w:val="single" w:color="D0D7DE" w:sz="4"/>
              <w:bottom w:val="single" w:color="D0D7DE" w:sz="4"/>
              <w:right w:val="single" w:color="D0D7DE" w:sz="4"/>
            </w:tcBorders>
            <w:shd w:fill="1F3A5F" w:color="auto" w:val="clear"/>
            <w:tcMar>
              <w:top w:type="dxa" w:w="100"/>
              <w:left w:type="dxa" w:w="120"/>
              <w:bottom w:type="dxa" w:w="100"/>
              <w:right w:type="dxa" w:w="120"/>
            </w:tcMar>
            <w:vAlign w:val="center"/>
          </w:tcPr>
          <w:p>
            <w:pPr>
              <w:keepNext/>
              <w:jc w:val="left"/>
            </w:pPr>
            <w:r>
              <w:rPr>
                <w:rFonts w:ascii="Calibri" w:cs="Calibri" w:eastAsia="Calibri" w:hAnsi="Calibri"/>
                <w:b/>
                <w:bCs/>
                <w:color w:val="FFFFFF"/>
                <w:sz w:val="19"/>
                <w:szCs w:val="19"/>
              </w:rPr>
              <w:t xml:space="preserve">Category</w:t>
            </w:r>
          </w:p>
        </w:tc>
        <w:tc>
          <w:tcPr>
            <w:tcW w:type="dxa" w:w="1300"/>
            <w:tcBorders>
              <w:top w:val="single" w:color="D0D7DE" w:sz="4"/>
              <w:left w:val="single" w:color="D0D7DE" w:sz="4"/>
              <w:bottom w:val="single" w:color="D0D7DE" w:sz="4"/>
              <w:right w:val="single" w:color="D0D7DE" w:sz="4"/>
            </w:tcBorders>
            <w:shd w:fill="1F3A5F" w:color="auto" w:val="clear"/>
            <w:tcMar>
              <w:top w:type="dxa" w:w="100"/>
              <w:left w:type="dxa" w:w="120"/>
              <w:bottom w:type="dxa" w:w="100"/>
              <w:right w:type="dxa" w:w="120"/>
            </w:tcMar>
            <w:vAlign w:val="center"/>
          </w:tcPr>
          <w:p>
            <w:pPr>
              <w:keepNext/>
              <w:jc w:val="center"/>
            </w:pPr>
            <w:r>
              <w:rPr>
                <w:rFonts w:ascii="Calibri" w:cs="Calibri" w:eastAsia="Calibri" w:hAnsi="Calibri"/>
                <w:b/>
                <w:bCs/>
                <w:color w:val="FFFFFF"/>
                <w:sz w:val="19"/>
                <w:szCs w:val="19"/>
              </w:rPr>
              <w:t xml:space="preserve">Star Rating</w:t>
            </w:r>
          </w:p>
        </w:tc>
        <w:tc>
          <w:tcPr>
            <w:tcW w:type="dxa" w:w="1600"/>
            <w:tcBorders>
              <w:top w:val="single" w:color="D0D7DE" w:sz="4"/>
              <w:left w:val="single" w:color="D0D7DE" w:sz="4"/>
              <w:bottom w:val="single" w:color="D0D7DE" w:sz="4"/>
              <w:right w:val="single" w:color="D0D7DE" w:sz="4"/>
            </w:tcBorders>
            <w:shd w:fill="1F3A5F" w:color="auto" w:val="clear"/>
            <w:tcMar>
              <w:top w:type="dxa" w:w="100"/>
              <w:left w:type="dxa" w:w="120"/>
              <w:bottom w:type="dxa" w:w="100"/>
              <w:right w:type="dxa" w:w="120"/>
            </w:tcMar>
            <w:vAlign w:val="center"/>
          </w:tcPr>
          <w:p>
            <w:pPr>
              <w:keepNext/>
              <w:jc w:val="center"/>
            </w:pPr>
            <w:r>
              <w:rPr>
                <w:rFonts w:ascii="Calibri" w:cs="Calibri" w:eastAsia="Calibri" w:hAnsi="Calibri"/>
                <w:b/>
                <w:bCs/>
                <w:color w:val="FFFFFF"/>
                <w:sz w:val="19"/>
                <w:szCs w:val="19"/>
              </w:rPr>
              <w:t xml:space="preserve">Helpful Votes</w:t>
            </w:r>
          </w:p>
        </w:tc>
        <w:tc>
          <w:tcPr>
            <w:tcW w:type="dxa" w:w="4426"/>
            <w:tcBorders>
              <w:top w:val="single" w:color="D0D7DE" w:sz="4"/>
              <w:left w:val="single" w:color="D0D7DE" w:sz="4"/>
              <w:bottom w:val="single" w:color="D0D7DE" w:sz="4"/>
              <w:right w:val="single" w:color="D0D7DE" w:sz="4"/>
            </w:tcBorders>
            <w:shd w:fill="1F3A5F" w:color="auto" w:val="clear"/>
            <w:tcMar>
              <w:top w:type="dxa" w:w="100"/>
              <w:left w:type="dxa" w:w="120"/>
              <w:bottom w:type="dxa" w:w="100"/>
              <w:right w:type="dxa" w:w="120"/>
            </w:tcMar>
            <w:vAlign w:val="center"/>
          </w:tcPr>
          <w:p>
            <w:pPr>
              <w:keepNext/>
              <w:jc w:val="left"/>
            </w:pPr>
            <w:r>
              <w:rPr>
                <w:rFonts w:ascii="Calibri" w:cs="Calibri" w:eastAsia="Calibri" w:hAnsi="Calibri"/>
                <w:b/>
                <w:bCs/>
                <w:color w:val="FFFFFF"/>
                <w:sz w:val="19"/>
                <w:szCs w:val="19"/>
              </w:rPr>
              <w:t xml:space="preserve">Review Headline</w:t>
            </w:r>
          </w:p>
        </w:tc>
      </w:tr>
      <w:tr>
        <w:trPr>
          <w:cantSplit/>
        </w:trPr>
        <w:tc>
          <w:tcPr>
            <w:tcW w:type="dxa" w:w="17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left"/>
            </w:pPr>
            <w:r>
              <w:rPr>
                <w:rFonts w:ascii="Calibri" w:cs="Calibri" w:eastAsia="Calibri" w:hAnsi="Calibri"/>
                <w:b/>
                <w:bCs/>
                <w:sz w:val="19"/>
                <w:szCs w:val="19"/>
              </w:rPr>
              <w:t xml:space="preserve">Electronics</w:t>
            </w:r>
          </w:p>
        </w:tc>
        <w:tc>
          <w:tcPr>
            <w:tcW w:type="dxa" w:w="13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center"/>
            </w:pPr>
            <w:r>
              <w:rPr>
                <w:rFonts w:ascii="Calibri" w:cs="Calibri" w:eastAsia="Calibri" w:hAnsi="Calibri"/>
                <w:b w:val="false"/>
                <w:bCs w:val="false"/>
                <w:sz w:val="19"/>
                <w:szCs w:val="19"/>
              </w:rPr>
              <w:t xml:space="preserve">1</w:t>
            </w:r>
          </w:p>
        </w:tc>
        <w:tc>
          <w:tcPr>
            <w:tcW w:type="dxa" w:w="16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center"/>
            </w:pPr>
            <w:r>
              <w:rPr>
                <w:rFonts w:ascii="Calibri" w:cs="Calibri" w:eastAsia="Calibri" w:hAnsi="Calibri"/>
                <w:b w:val="false"/>
                <w:bCs w:val="false"/>
                <w:sz w:val="19"/>
                <w:szCs w:val="19"/>
              </w:rPr>
              <w:t xml:space="preserve">2,347</w:t>
            </w:r>
          </w:p>
        </w:tc>
        <w:tc>
          <w:tcPr>
            <w:tcW w:type="dxa" w:w="4426"/>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left"/>
            </w:pPr>
            <w:r>
              <w:rPr>
                <w:rFonts w:ascii="Calibri" w:cs="Calibri" w:eastAsia="Calibri" w:hAnsi="Calibri"/>
                <w:b w:val="false"/>
                <w:bCs w:val="false"/>
                <w:sz w:val="19"/>
                <w:szCs w:val="19"/>
              </w:rPr>
              <w:t xml:space="preserve">"BE CAREFUL BEFORE YOU DEICED TO BUY…"</w:t>
            </w:r>
          </w:p>
        </w:tc>
      </w:tr>
      <w:tr>
        <w:trPr>
          <w:cantSplit/>
        </w:trPr>
        <w:tc>
          <w:tcPr>
            <w:tcW w:type="dxa" w:w="1700"/>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left"/>
            </w:pPr>
            <w:r>
              <w:rPr>
                <w:rFonts w:ascii="Calibri" w:cs="Calibri" w:eastAsia="Calibri" w:hAnsi="Calibri"/>
                <w:b/>
                <w:bCs/>
                <w:sz w:val="19"/>
                <w:szCs w:val="19"/>
              </w:rPr>
              <w:t xml:space="preserve">Electronics</w:t>
            </w:r>
          </w:p>
        </w:tc>
        <w:tc>
          <w:tcPr>
            <w:tcW w:type="dxa" w:w="1300"/>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center"/>
            </w:pPr>
            <w:r>
              <w:rPr>
                <w:rFonts w:ascii="Calibri" w:cs="Calibri" w:eastAsia="Calibri" w:hAnsi="Calibri"/>
                <w:b w:val="false"/>
                <w:bCs w:val="false"/>
                <w:sz w:val="19"/>
                <w:szCs w:val="19"/>
              </w:rPr>
              <w:t xml:space="preserve">1</w:t>
            </w:r>
          </w:p>
        </w:tc>
        <w:tc>
          <w:tcPr>
            <w:tcW w:type="dxa" w:w="1600"/>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center"/>
            </w:pPr>
            <w:r>
              <w:rPr>
                <w:rFonts w:ascii="Calibri" w:cs="Calibri" w:eastAsia="Calibri" w:hAnsi="Calibri"/>
                <w:b w:val="false"/>
                <w:bCs w:val="false"/>
                <w:sz w:val="19"/>
                <w:szCs w:val="19"/>
              </w:rPr>
              <w:t xml:space="preserve">1,637</w:t>
            </w:r>
          </w:p>
        </w:tc>
        <w:tc>
          <w:tcPr>
            <w:tcW w:type="dxa" w:w="4426"/>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left"/>
            </w:pPr>
            <w:r>
              <w:rPr>
                <w:rFonts w:ascii="Calibri" w:cs="Calibri" w:eastAsia="Calibri" w:hAnsi="Calibri"/>
                <w:b w:val="false"/>
                <w:bCs w:val="false"/>
                <w:sz w:val="19"/>
                <w:szCs w:val="19"/>
              </w:rPr>
              <w:t xml:space="preserve">"CANNOT DETECT MOTION AT NIGHT!!"</w:t>
            </w:r>
          </w:p>
        </w:tc>
      </w:tr>
      <w:tr>
        <w:trPr>
          <w:cantSplit/>
        </w:trPr>
        <w:tc>
          <w:tcPr>
            <w:tcW w:type="dxa" w:w="17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val="false"/>
              <w:jc w:val="left"/>
            </w:pPr>
            <w:r>
              <w:rPr>
                <w:rFonts w:ascii="Calibri" w:cs="Calibri" w:eastAsia="Calibri" w:hAnsi="Calibri"/>
                <w:b/>
                <w:bCs/>
                <w:sz w:val="19"/>
                <w:szCs w:val="19"/>
              </w:rPr>
              <w:t xml:space="preserve">Electronics</w:t>
            </w:r>
          </w:p>
        </w:tc>
        <w:tc>
          <w:tcPr>
            <w:tcW w:type="dxa" w:w="13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val="false"/>
              <w:jc w:val="center"/>
            </w:pPr>
            <w:r>
              <w:rPr>
                <w:rFonts w:ascii="Calibri" w:cs="Calibri" w:eastAsia="Calibri" w:hAnsi="Calibri"/>
                <w:b w:val="false"/>
                <w:bCs w:val="false"/>
                <w:sz w:val="19"/>
                <w:szCs w:val="19"/>
              </w:rPr>
              <w:t xml:space="preserve">1</w:t>
            </w:r>
          </w:p>
        </w:tc>
        <w:tc>
          <w:tcPr>
            <w:tcW w:type="dxa" w:w="16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val="false"/>
              <w:jc w:val="center"/>
            </w:pPr>
            <w:r>
              <w:rPr>
                <w:rFonts w:ascii="Calibri" w:cs="Calibri" w:eastAsia="Calibri" w:hAnsi="Calibri"/>
                <w:b w:val="false"/>
                <w:bCs w:val="false"/>
                <w:sz w:val="19"/>
                <w:szCs w:val="19"/>
              </w:rPr>
              <w:t xml:space="preserve">1,610</w:t>
            </w:r>
          </w:p>
        </w:tc>
        <w:tc>
          <w:tcPr>
            <w:tcW w:type="dxa" w:w="4426"/>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val="false"/>
              <w:jc w:val="left"/>
            </w:pPr>
            <w:r>
              <w:rPr>
                <w:rFonts w:ascii="Calibri" w:cs="Calibri" w:eastAsia="Calibri" w:hAnsi="Calibri"/>
                <w:b w:val="false"/>
                <w:bCs w:val="false"/>
                <w:sz w:val="19"/>
                <w:szCs w:val="19"/>
              </w:rPr>
              <w:t xml:space="preserve">"Not even close to ready- Quite literally wo…"</w:t>
            </w:r>
          </w:p>
        </w:tc>
      </w:tr>
    </w:tbl>
    <w:p>
      <w:pPr>
        <w:spacing w:after="200" w:before="60" w:line="276" w:lineRule="auto"/>
        <w:jc w:val="left"/>
      </w:pPr>
      <w:r>
        <w:rPr>
          <w:rFonts w:ascii="Calibri" w:cs="Calibri" w:eastAsia="Calibri" w:hAnsi="Calibri"/>
          <w:i/>
          <w:iCs/>
          <w:color w:val="595959"/>
          <w:sz w:val="17"/>
          <w:szCs w:val="17"/>
        </w:rPr>
        <w:t xml:space="preserve">Table 5. Highly helpful 1-star Electronics reviews (SQL Query 28). Headlines are shortened as displayed in the query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5B6" w:sz="24"/>
              <w:bottom w:val="none" w:color="FFFFFF" w:sz="0"/>
              <w:right w:val="none" w:color="FFFFFF" w:sz="0"/>
            </w:tcBorders>
            <w:shd w:fill="EAF1F8" w:color="auto" w:val="clear"/>
            <w:tcMar>
              <w:top w:type="dxa" w:w="140"/>
              <w:left w:type="dxa" w:w="220"/>
              <w:bottom w:type="dxa" w:w="140"/>
              <w:right w:type="dxa" w:w="200"/>
            </w:tcMar>
          </w:tcPr>
          <w:p>
            <w:pPr>
              <w:spacing w:after="60"/>
            </w:pPr>
            <w:r>
              <w:rPr>
                <w:rFonts w:ascii="Calibri" w:cs="Calibri" w:eastAsia="Calibri" w:hAnsi="Calibri"/>
                <w:b/>
                <w:bCs/>
                <w:color w:val="2E75B6"/>
                <w:sz w:val="21"/>
                <w:szCs w:val="21"/>
              </w:rPr>
              <w:t xml:space="preserve">Insight</w:t>
            </w:r>
          </w:p>
          <w:p>
            <w:pPr>
              <w:spacing w:after="0" w:line="276" w:lineRule="auto"/>
            </w:pPr>
            <w:r>
              <w:rPr>
                <w:rFonts w:ascii="Calibri" w:cs="Calibri" w:eastAsia="Calibri" w:hAnsi="Calibri"/>
                <w:sz w:val="20"/>
                <w:szCs w:val="20"/>
              </w:rPr>
              <w:t xml:space="preserve">Several highly helpful negative reviews were identified in Electronics. The visible review themes include product functionality, product readiness, and customer expectations. These reviews can be prioritized for qualitative investigation.</w:t>
            </w:r>
          </w:p>
        </w:tc>
      </w:tr>
    </w:tbl>
    <w:p>
      <w:pPr>
        <w:pStyle w:val="Heading1"/>
        <w:keepNext/>
      </w:pPr>
      <w:r>
        <w:rPr>
          <w:rFonts w:ascii="Calibri" w:cs="Calibri" w:eastAsia="Calibri" w:hAnsi="Calibri"/>
        </w:rPr>
        <w:t xml:space="preserve">6. Product-Level Findings</w:t>
      </w:r>
    </w:p>
    <w:p>
      <w:pPr>
        <w:keepNext/>
        <w:spacing w:after="140" w:before="0" w:line="276" w:lineRule="auto"/>
        <w:jc w:val="left"/>
      </w:pPr>
      <w:r>
        <w:rPr>
          <w:rFonts w:ascii="Calibri" w:cs="Calibri" w:eastAsia="Calibri" w:hAnsi="Calibri"/>
          <w:sz w:val="21"/>
          <w:szCs w:val="21"/>
        </w:rPr>
        <w:t xml:space="preserve">Category-level figures were compared with product-level results to test whether averages hide localized problems. Ebook is a clear 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3726"/>
      </w:tblGrid>
      <w:tr>
        <w:trPr>
          <w:cantSplit/>
          <w:tblHeader/>
        </w:trPr>
        <w:tc>
          <w:tcPr>
            <w:tcW w:type="dxa" w:w="2400"/>
            <w:tcBorders>
              <w:top w:val="single" w:color="D0D7DE" w:sz="4"/>
              <w:left w:val="single" w:color="D0D7DE" w:sz="4"/>
              <w:bottom w:val="single" w:color="D0D7DE" w:sz="4"/>
              <w:right w:val="single" w:color="D0D7DE" w:sz="4"/>
            </w:tcBorders>
            <w:shd w:fill="1F3A5F" w:color="auto" w:val="clear"/>
            <w:tcMar>
              <w:top w:type="dxa" w:w="100"/>
              <w:left w:type="dxa" w:w="120"/>
              <w:bottom w:type="dxa" w:w="100"/>
              <w:right w:type="dxa" w:w="120"/>
            </w:tcMar>
            <w:vAlign w:val="center"/>
          </w:tcPr>
          <w:p>
            <w:pPr>
              <w:keepNext/>
              <w:jc w:val="left"/>
            </w:pPr>
            <w:r>
              <w:rPr>
                <w:rFonts w:ascii="Calibri" w:cs="Calibri" w:eastAsia="Calibri" w:hAnsi="Calibri"/>
                <w:b/>
                <w:bCs/>
                <w:color w:val="FFFFFF"/>
                <w:sz w:val="19"/>
                <w:szCs w:val="19"/>
              </w:rPr>
              <w:t xml:space="preserve">Measure</w:t>
            </w:r>
          </w:p>
        </w:tc>
        <w:tc>
          <w:tcPr>
            <w:tcW w:type="dxa" w:w="2900"/>
            <w:tcBorders>
              <w:top w:val="single" w:color="D0D7DE" w:sz="4"/>
              <w:left w:val="single" w:color="D0D7DE" w:sz="4"/>
              <w:bottom w:val="single" w:color="D0D7DE" w:sz="4"/>
              <w:right w:val="single" w:color="D0D7DE" w:sz="4"/>
            </w:tcBorders>
            <w:shd w:fill="1F3A5F" w:color="auto" w:val="clear"/>
            <w:tcMar>
              <w:top w:type="dxa" w:w="100"/>
              <w:left w:type="dxa" w:w="120"/>
              <w:bottom w:type="dxa" w:w="100"/>
              <w:right w:type="dxa" w:w="120"/>
            </w:tcMar>
            <w:vAlign w:val="center"/>
          </w:tcPr>
          <w:p>
            <w:pPr>
              <w:keepNext/>
              <w:jc w:val="center"/>
            </w:pPr>
            <w:r>
              <w:rPr>
                <w:rFonts w:ascii="Calibri" w:cs="Calibri" w:eastAsia="Calibri" w:hAnsi="Calibri"/>
                <w:b/>
                <w:bCs/>
                <w:color w:val="FFFFFF"/>
                <w:sz w:val="19"/>
                <w:szCs w:val="19"/>
              </w:rPr>
              <w:t xml:space="preserve">Ebook Category Overall</w:t>
            </w:r>
          </w:p>
        </w:tc>
        <w:tc>
          <w:tcPr>
            <w:tcW w:type="dxa" w:w="3726"/>
            <w:tcBorders>
              <w:top w:val="single" w:color="D0D7DE" w:sz="4"/>
              <w:left w:val="single" w:color="D0D7DE" w:sz="4"/>
              <w:bottom w:val="single" w:color="D0D7DE" w:sz="4"/>
              <w:right w:val="single" w:color="D0D7DE" w:sz="4"/>
            </w:tcBorders>
            <w:shd w:fill="1F3A5F" w:color="auto" w:val="clear"/>
            <w:tcMar>
              <w:top w:type="dxa" w:w="100"/>
              <w:left w:type="dxa" w:w="120"/>
              <w:bottom w:type="dxa" w:w="100"/>
              <w:right w:type="dxa" w:w="120"/>
            </w:tcMar>
            <w:vAlign w:val="center"/>
          </w:tcPr>
          <w:p>
            <w:pPr>
              <w:keepNext/>
              <w:jc w:val="center"/>
            </w:pPr>
            <w:r>
              <w:rPr>
                <w:rFonts w:ascii="Calibri" w:cs="Calibri" w:eastAsia="Calibri" w:hAnsi="Calibri"/>
                <w:b/>
                <w:bCs/>
                <w:color w:val="FFFFFF"/>
                <w:sz w:val="19"/>
                <w:szCs w:val="19"/>
              </w:rPr>
              <w:t xml:space="preserve">Ebook Products Flagged in Query 23</w:t>
            </w:r>
          </w:p>
        </w:tc>
      </w:tr>
      <w:tr>
        <w:trPr>
          <w:cantSplit/>
        </w:trPr>
        <w:tc>
          <w:tcPr>
            <w:tcW w:type="dxa" w:w="24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left"/>
            </w:pPr>
            <w:r>
              <w:rPr>
                <w:rFonts w:ascii="Calibri" w:cs="Calibri" w:eastAsia="Calibri" w:hAnsi="Calibri"/>
                <w:b/>
                <w:bCs/>
                <w:sz w:val="19"/>
                <w:szCs w:val="19"/>
              </w:rPr>
              <w:t xml:space="preserve">Average rating</w:t>
            </w:r>
          </w:p>
        </w:tc>
        <w:tc>
          <w:tcPr>
            <w:tcW w:type="dxa" w:w="29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center"/>
            </w:pPr>
            <w:r>
              <w:rPr>
                <w:rFonts w:ascii="Calibri" w:cs="Calibri" w:eastAsia="Calibri" w:hAnsi="Calibri"/>
                <w:b w:val="false"/>
                <w:bCs w:val="false"/>
                <w:sz w:val="19"/>
                <w:szCs w:val="19"/>
              </w:rPr>
              <w:t xml:space="preserve">4.11</w:t>
            </w:r>
          </w:p>
        </w:tc>
        <w:tc>
          <w:tcPr>
            <w:tcW w:type="dxa" w:w="3726"/>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center"/>
            </w:pPr>
            <w:r>
              <w:rPr>
                <w:rFonts w:ascii="Calibri" w:cs="Calibri" w:eastAsia="Calibri" w:hAnsi="Calibri"/>
                <w:b w:val="false"/>
                <w:bCs w:val="false"/>
                <w:sz w:val="19"/>
                <w:szCs w:val="19"/>
              </w:rPr>
              <w:t xml:space="preserve">1.34 to 1.61 (top 8 shown)</w:t>
            </w:r>
          </w:p>
        </w:tc>
      </w:tr>
      <w:tr>
        <w:trPr>
          <w:cantSplit/>
        </w:trPr>
        <w:tc>
          <w:tcPr>
            <w:tcW w:type="dxa" w:w="2400"/>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left"/>
            </w:pPr>
            <w:r>
              <w:rPr>
                <w:rFonts w:ascii="Calibri" w:cs="Calibri" w:eastAsia="Calibri" w:hAnsi="Calibri"/>
                <w:b/>
                <w:bCs/>
                <w:sz w:val="19"/>
                <w:szCs w:val="19"/>
              </w:rPr>
              <w:t xml:space="preserve">Negative sentiment</w:t>
            </w:r>
          </w:p>
        </w:tc>
        <w:tc>
          <w:tcPr>
            <w:tcW w:type="dxa" w:w="2900"/>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center"/>
            </w:pPr>
            <w:r>
              <w:rPr>
                <w:rFonts w:ascii="Calibri" w:cs="Calibri" w:eastAsia="Calibri" w:hAnsi="Calibri"/>
                <w:b w:val="false"/>
                <w:bCs w:val="false"/>
                <w:sz w:val="19"/>
                <w:szCs w:val="19"/>
              </w:rPr>
              <w:t xml:space="preserve">9.23%</w:t>
            </w:r>
          </w:p>
        </w:tc>
        <w:tc>
          <w:tcPr>
            <w:tcW w:type="dxa" w:w="3726"/>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center"/>
            </w:pPr>
            <w:r>
              <w:rPr>
                <w:rFonts w:ascii="Calibri" w:cs="Calibri" w:eastAsia="Calibri" w:hAnsi="Calibri"/>
                <w:b w:val="false"/>
                <w:bCs w:val="false"/>
                <w:sz w:val="19"/>
                <w:szCs w:val="19"/>
              </w:rPr>
              <w:t xml:space="preserve">34 to 55 negative reviews per product</w:t>
            </w:r>
          </w:p>
        </w:tc>
      </w:tr>
      <w:tr>
        <w:trPr>
          <w:cantSplit/>
        </w:trPr>
        <w:tc>
          <w:tcPr>
            <w:tcW w:type="dxa" w:w="24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val="false"/>
              <w:jc w:val="left"/>
            </w:pPr>
            <w:r>
              <w:rPr>
                <w:rFonts w:ascii="Calibri" w:cs="Calibri" w:eastAsia="Calibri" w:hAnsi="Calibri"/>
                <w:b/>
                <w:bCs/>
                <w:sz w:val="19"/>
                <w:szCs w:val="19"/>
              </w:rPr>
              <w:t xml:space="preserve">Reading</w:t>
            </w:r>
          </w:p>
        </w:tc>
        <w:tc>
          <w:tcPr>
            <w:tcW w:type="dxa" w:w="29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val="false"/>
              <w:jc w:val="center"/>
            </w:pPr>
            <w:r>
              <w:rPr>
                <w:rFonts w:ascii="Calibri" w:cs="Calibri" w:eastAsia="Calibri" w:hAnsi="Calibri"/>
                <w:b w:val="false"/>
                <w:bCs w:val="false"/>
                <w:sz w:val="19"/>
                <w:szCs w:val="19"/>
              </w:rPr>
              <w:t xml:space="preserve">Generally favorable</w:t>
            </w:r>
          </w:p>
        </w:tc>
        <w:tc>
          <w:tcPr>
            <w:tcW w:type="dxa" w:w="3726"/>
            <w:tcBorders>
              <w:top w:val="single" w:color="D0D7DE" w:sz="4"/>
              <w:left w:val="single" w:color="D0D7DE" w:sz="4"/>
              <w:bottom w:val="single" w:color="D0D7DE" w:sz="4"/>
              <w:right w:val="single" w:color="D0D7DE" w:sz="4"/>
            </w:tcBorders>
            <w:shd w:fill="FFF4E0" w:color="auto" w:val="clear"/>
            <w:tcMar>
              <w:top w:type="dxa" w:w="90"/>
              <w:left w:type="dxa" w:w="120"/>
              <w:bottom w:type="dxa" w:w="90"/>
              <w:right w:type="dxa" w:w="120"/>
            </w:tcMar>
            <w:vAlign w:val="center"/>
          </w:tcPr>
          <w:p>
            <w:pPr>
              <w:keepNext w:val="false"/>
              <w:jc w:val="center"/>
            </w:pPr>
            <w:r>
              <w:rPr>
                <w:rFonts w:ascii="Calibri" w:cs="Calibri" w:eastAsia="Calibri" w:hAnsi="Calibri"/>
                <w:b w:val="false"/>
                <w:bCs w:val="false"/>
                <w:sz w:val="19"/>
                <w:szCs w:val="19"/>
              </w:rPr>
              <w:t xml:space="preserve">Products requiring further investigation</w:t>
            </w:r>
          </w:p>
        </w:tc>
      </w:tr>
    </w:tbl>
    <w:p>
      <w:pPr>
        <w:spacing w:after="200" w:before="60" w:line="276" w:lineRule="auto"/>
        <w:jc w:val="left"/>
      </w:pPr>
      <w:r>
        <w:rPr>
          <w:rFonts w:ascii="Calibri" w:cs="Calibri" w:eastAsia="Calibri" w:hAnsi="Calibri"/>
          <w:i/>
          <w:iCs/>
          <w:color w:val="595959"/>
          <w:sz w:val="17"/>
          <w:szCs w:val="17"/>
        </w:rPr>
        <w:t xml:space="preserve">Table 6. Ebook category averages versus product-level results (SQL Query 23).</w:t>
      </w:r>
    </w:p>
    <w:p>
      <w:pPr>
        <w:keepNext/>
        <w:spacing w:after="140" w:before="0" w:line="276" w:lineRule="auto"/>
        <w:jc w:val="left"/>
      </w:pPr>
      <w:r>
        <w:rPr>
          <w:rFonts w:ascii="Calibri" w:cs="Calibri" w:eastAsia="Calibri" w:hAnsi="Calibri"/>
          <w:sz w:val="21"/>
          <w:szCs w:val="21"/>
        </w:rPr>
        <w:t xml:space="preserve">The Ebook products with the most negative reviews are listed below. All eight have average ratings well under the category average of 4.11.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2463"/>
        <w:gridCol w:w="2463"/>
      </w:tblGrid>
      <w:tr>
        <w:trPr>
          <w:cantSplit/>
          <w:tblHeader/>
        </w:trPr>
        <w:tc>
          <w:tcPr>
            <w:tcW w:type="dxa" w:w="1100"/>
            <w:tcBorders>
              <w:top w:val="single" w:color="D0D7DE" w:sz="4"/>
              <w:left w:val="single" w:color="D0D7DE" w:sz="4"/>
              <w:bottom w:val="single" w:color="D0D7DE" w:sz="4"/>
              <w:right w:val="single" w:color="D0D7DE" w:sz="4"/>
            </w:tcBorders>
            <w:shd w:fill="1F3A5F" w:color="auto" w:val="clear"/>
            <w:tcMar>
              <w:top w:type="dxa" w:w="100"/>
              <w:left w:type="dxa" w:w="120"/>
              <w:bottom w:type="dxa" w:w="100"/>
              <w:right w:type="dxa" w:w="120"/>
            </w:tcMar>
            <w:vAlign w:val="center"/>
          </w:tcPr>
          <w:p>
            <w:pPr>
              <w:keepNext/>
              <w:jc w:val="center"/>
            </w:pPr>
            <w:r>
              <w:rPr>
                <w:rFonts w:ascii="Calibri" w:cs="Calibri" w:eastAsia="Calibri" w:hAnsi="Calibri"/>
                <w:b/>
                <w:bCs/>
                <w:color w:val="FFFFFF"/>
                <w:sz w:val="19"/>
                <w:szCs w:val="19"/>
              </w:rPr>
              <w:t xml:space="preserve">Rank</w:t>
            </w:r>
          </w:p>
        </w:tc>
        <w:tc>
          <w:tcPr>
            <w:tcW w:type="dxa" w:w="3000"/>
            <w:tcBorders>
              <w:top w:val="single" w:color="D0D7DE" w:sz="4"/>
              <w:left w:val="single" w:color="D0D7DE" w:sz="4"/>
              <w:bottom w:val="single" w:color="D0D7DE" w:sz="4"/>
              <w:right w:val="single" w:color="D0D7DE" w:sz="4"/>
            </w:tcBorders>
            <w:shd w:fill="1F3A5F" w:color="auto" w:val="clear"/>
            <w:tcMar>
              <w:top w:type="dxa" w:w="100"/>
              <w:left w:type="dxa" w:w="120"/>
              <w:bottom w:type="dxa" w:w="100"/>
              <w:right w:type="dxa" w:w="120"/>
            </w:tcMar>
            <w:vAlign w:val="center"/>
          </w:tcPr>
          <w:p>
            <w:pPr>
              <w:keepNext/>
              <w:jc w:val="left"/>
            </w:pPr>
            <w:r>
              <w:rPr>
                <w:rFonts w:ascii="Calibri" w:cs="Calibri" w:eastAsia="Calibri" w:hAnsi="Calibri"/>
                <w:b/>
                <w:bCs/>
                <w:color w:val="FFFFFF"/>
                <w:sz w:val="19"/>
                <w:szCs w:val="19"/>
              </w:rPr>
              <w:t xml:space="preserve">Product ID</w:t>
            </w:r>
          </w:p>
        </w:tc>
        <w:tc>
          <w:tcPr>
            <w:tcW w:type="dxa" w:w="2463"/>
            <w:tcBorders>
              <w:top w:val="single" w:color="D0D7DE" w:sz="4"/>
              <w:left w:val="single" w:color="D0D7DE" w:sz="4"/>
              <w:bottom w:val="single" w:color="D0D7DE" w:sz="4"/>
              <w:right w:val="single" w:color="D0D7DE" w:sz="4"/>
            </w:tcBorders>
            <w:shd w:fill="1F3A5F" w:color="auto" w:val="clear"/>
            <w:tcMar>
              <w:top w:type="dxa" w:w="100"/>
              <w:left w:type="dxa" w:w="120"/>
              <w:bottom w:type="dxa" w:w="100"/>
              <w:right w:type="dxa" w:w="120"/>
            </w:tcMar>
            <w:vAlign w:val="center"/>
          </w:tcPr>
          <w:p>
            <w:pPr>
              <w:keepNext/>
              <w:jc w:val="center"/>
            </w:pPr>
            <w:r>
              <w:rPr>
                <w:rFonts w:ascii="Calibri" w:cs="Calibri" w:eastAsia="Calibri" w:hAnsi="Calibri"/>
                <w:b/>
                <w:bCs/>
                <w:color w:val="FFFFFF"/>
                <w:sz w:val="19"/>
                <w:szCs w:val="19"/>
              </w:rPr>
              <w:t xml:space="preserve">Negative Reviews</w:t>
            </w:r>
          </w:p>
        </w:tc>
        <w:tc>
          <w:tcPr>
            <w:tcW w:type="dxa" w:w="2463"/>
            <w:tcBorders>
              <w:top w:val="single" w:color="D0D7DE" w:sz="4"/>
              <w:left w:val="single" w:color="D0D7DE" w:sz="4"/>
              <w:bottom w:val="single" w:color="D0D7DE" w:sz="4"/>
              <w:right w:val="single" w:color="D0D7DE" w:sz="4"/>
            </w:tcBorders>
            <w:shd w:fill="1F3A5F" w:color="auto" w:val="clear"/>
            <w:tcMar>
              <w:top w:type="dxa" w:w="100"/>
              <w:left w:type="dxa" w:w="120"/>
              <w:bottom w:type="dxa" w:w="100"/>
              <w:right w:type="dxa" w:w="120"/>
            </w:tcMar>
            <w:vAlign w:val="center"/>
          </w:tcPr>
          <w:p>
            <w:pPr>
              <w:keepNext/>
              <w:jc w:val="center"/>
            </w:pPr>
            <w:r>
              <w:rPr>
                <w:rFonts w:ascii="Calibri" w:cs="Calibri" w:eastAsia="Calibri" w:hAnsi="Calibri"/>
                <w:b/>
                <w:bCs/>
                <w:color w:val="FFFFFF"/>
                <w:sz w:val="19"/>
                <w:szCs w:val="19"/>
              </w:rPr>
              <w:t xml:space="preserve">Average Rating</w:t>
            </w:r>
          </w:p>
        </w:tc>
      </w:tr>
      <w:tr>
        <w:trPr>
          <w:cantSplit/>
        </w:trPr>
        <w:tc>
          <w:tcPr>
            <w:tcW w:type="dxa" w:w="11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center"/>
            </w:pPr>
            <w:r>
              <w:rPr>
                <w:rFonts w:ascii="Calibri" w:cs="Calibri" w:eastAsia="Calibri" w:hAnsi="Calibri"/>
                <w:sz w:val="19"/>
                <w:szCs w:val="19"/>
              </w:rPr>
              <w:t xml:space="preserve">1</w:t>
            </w:r>
          </w:p>
        </w:tc>
        <w:tc>
          <w:tcPr>
            <w:tcW w:type="dxa" w:w="30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left"/>
            </w:pPr>
            <w:r>
              <w:rPr>
                <w:rFonts w:ascii="Calibri" w:cs="Calibri" w:eastAsia="Calibri" w:hAnsi="Calibri"/>
                <w:sz w:val="19"/>
                <w:szCs w:val="19"/>
              </w:rPr>
              <w:t xml:space="preserve">B005C5YZ86</w:t>
            </w:r>
          </w:p>
        </w:tc>
        <w:tc>
          <w:tcPr>
            <w:tcW w:type="dxa" w:w="2463"/>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center"/>
            </w:pPr>
            <w:r>
              <w:rPr>
                <w:rFonts w:ascii="Calibri" w:cs="Calibri" w:eastAsia="Calibri" w:hAnsi="Calibri"/>
                <w:sz w:val="19"/>
                <w:szCs w:val="19"/>
              </w:rPr>
              <w:t xml:space="preserve">55</w:t>
            </w:r>
          </w:p>
        </w:tc>
        <w:tc>
          <w:tcPr>
            <w:tcW w:type="dxa" w:w="2463"/>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center"/>
            </w:pPr>
            <w:r>
              <w:rPr>
                <w:rFonts w:ascii="Calibri" w:cs="Calibri" w:eastAsia="Calibri" w:hAnsi="Calibri"/>
                <w:sz w:val="19"/>
                <w:szCs w:val="19"/>
              </w:rPr>
              <w:t xml:space="preserve">1.51</w:t>
            </w:r>
          </w:p>
        </w:tc>
      </w:tr>
      <w:tr>
        <w:trPr>
          <w:cantSplit/>
        </w:trPr>
        <w:tc>
          <w:tcPr>
            <w:tcW w:type="dxa" w:w="1100"/>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center"/>
            </w:pPr>
            <w:r>
              <w:rPr>
                <w:rFonts w:ascii="Calibri" w:cs="Calibri" w:eastAsia="Calibri" w:hAnsi="Calibri"/>
                <w:sz w:val="19"/>
                <w:szCs w:val="19"/>
              </w:rPr>
              <w:t xml:space="preserve">2</w:t>
            </w:r>
          </w:p>
        </w:tc>
        <w:tc>
          <w:tcPr>
            <w:tcW w:type="dxa" w:w="3000"/>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left"/>
            </w:pPr>
            <w:r>
              <w:rPr>
                <w:rFonts w:ascii="Calibri" w:cs="Calibri" w:eastAsia="Calibri" w:hAnsi="Calibri"/>
                <w:sz w:val="19"/>
                <w:szCs w:val="19"/>
              </w:rPr>
              <w:t xml:space="preserve">B003XVYJ2S</w:t>
            </w:r>
          </w:p>
        </w:tc>
        <w:tc>
          <w:tcPr>
            <w:tcW w:type="dxa" w:w="2463"/>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center"/>
            </w:pPr>
            <w:r>
              <w:rPr>
                <w:rFonts w:ascii="Calibri" w:cs="Calibri" w:eastAsia="Calibri" w:hAnsi="Calibri"/>
                <w:sz w:val="19"/>
                <w:szCs w:val="19"/>
              </w:rPr>
              <w:t xml:space="preserve">51</w:t>
            </w:r>
          </w:p>
        </w:tc>
        <w:tc>
          <w:tcPr>
            <w:tcW w:type="dxa" w:w="2463"/>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center"/>
            </w:pPr>
            <w:r>
              <w:rPr>
                <w:rFonts w:ascii="Calibri" w:cs="Calibri" w:eastAsia="Calibri" w:hAnsi="Calibri"/>
                <w:sz w:val="19"/>
                <w:szCs w:val="19"/>
              </w:rPr>
              <w:t xml:space="preserve">1.49</w:t>
            </w:r>
          </w:p>
        </w:tc>
      </w:tr>
      <w:tr>
        <w:trPr>
          <w:cantSplit/>
        </w:trPr>
        <w:tc>
          <w:tcPr>
            <w:tcW w:type="dxa" w:w="11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center"/>
            </w:pPr>
            <w:r>
              <w:rPr>
                <w:rFonts w:ascii="Calibri" w:cs="Calibri" w:eastAsia="Calibri" w:hAnsi="Calibri"/>
                <w:sz w:val="19"/>
                <w:szCs w:val="19"/>
              </w:rPr>
              <w:t xml:space="preserve">3</w:t>
            </w:r>
          </w:p>
        </w:tc>
        <w:tc>
          <w:tcPr>
            <w:tcW w:type="dxa" w:w="30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left"/>
            </w:pPr>
            <w:r>
              <w:rPr>
                <w:rFonts w:ascii="Calibri" w:cs="Calibri" w:eastAsia="Calibri" w:hAnsi="Calibri"/>
                <w:sz w:val="19"/>
                <w:szCs w:val="19"/>
              </w:rPr>
              <w:t xml:space="preserve">B0038KX8S0</w:t>
            </w:r>
          </w:p>
        </w:tc>
        <w:tc>
          <w:tcPr>
            <w:tcW w:type="dxa" w:w="2463"/>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center"/>
            </w:pPr>
            <w:r>
              <w:rPr>
                <w:rFonts w:ascii="Calibri" w:cs="Calibri" w:eastAsia="Calibri" w:hAnsi="Calibri"/>
                <w:sz w:val="19"/>
                <w:szCs w:val="19"/>
              </w:rPr>
              <w:t xml:space="preserve">49</w:t>
            </w:r>
          </w:p>
        </w:tc>
        <w:tc>
          <w:tcPr>
            <w:tcW w:type="dxa" w:w="2463"/>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center"/>
            </w:pPr>
            <w:r>
              <w:rPr>
                <w:rFonts w:ascii="Calibri" w:cs="Calibri" w:eastAsia="Calibri" w:hAnsi="Calibri"/>
                <w:sz w:val="19"/>
                <w:szCs w:val="19"/>
              </w:rPr>
              <w:t xml:space="preserve">1.61</w:t>
            </w:r>
          </w:p>
        </w:tc>
      </w:tr>
      <w:tr>
        <w:trPr>
          <w:cantSplit/>
        </w:trPr>
        <w:tc>
          <w:tcPr>
            <w:tcW w:type="dxa" w:w="1100"/>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center"/>
            </w:pPr>
            <w:r>
              <w:rPr>
                <w:rFonts w:ascii="Calibri" w:cs="Calibri" w:eastAsia="Calibri" w:hAnsi="Calibri"/>
                <w:sz w:val="19"/>
                <w:szCs w:val="19"/>
              </w:rPr>
              <w:t xml:space="preserve">4</w:t>
            </w:r>
          </w:p>
        </w:tc>
        <w:tc>
          <w:tcPr>
            <w:tcW w:type="dxa" w:w="3000"/>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left"/>
            </w:pPr>
            <w:r>
              <w:rPr>
                <w:rFonts w:ascii="Calibri" w:cs="Calibri" w:eastAsia="Calibri" w:hAnsi="Calibri"/>
                <w:sz w:val="19"/>
                <w:szCs w:val="19"/>
              </w:rPr>
              <w:t xml:space="preserve">B003FL6X52</w:t>
            </w:r>
          </w:p>
        </w:tc>
        <w:tc>
          <w:tcPr>
            <w:tcW w:type="dxa" w:w="2463"/>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center"/>
            </w:pPr>
            <w:r>
              <w:rPr>
                <w:rFonts w:ascii="Calibri" w:cs="Calibri" w:eastAsia="Calibri" w:hAnsi="Calibri"/>
                <w:sz w:val="19"/>
                <w:szCs w:val="19"/>
              </w:rPr>
              <w:t xml:space="preserve">41</w:t>
            </w:r>
          </w:p>
        </w:tc>
        <w:tc>
          <w:tcPr>
            <w:tcW w:type="dxa" w:w="2463"/>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center"/>
            </w:pPr>
            <w:r>
              <w:rPr>
                <w:rFonts w:ascii="Calibri" w:cs="Calibri" w:eastAsia="Calibri" w:hAnsi="Calibri"/>
                <w:sz w:val="19"/>
                <w:szCs w:val="19"/>
              </w:rPr>
              <w:t xml:space="preserve">1.34</w:t>
            </w:r>
          </w:p>
        </w:tc>
      </w:tr>
      <w:tr>
        <w:trPr>
          <w:cantSplit/>
        </w:trPr>
        <w:tc>
          <w:tcPr>
            <w:tcW w:type="dxa" w:w="11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center"/>
            </w:pPr>
            <w:r>
              <w:rPr>
                <w:rFonts w:ascii="Calibri" w:cs="Calibri" w:eastAsia="Calibri" w:hAnsi="Calibri"/>
                <w:sz w:val="19"/>
                <w:szCs w:val="19"/>
              </w:rPr>
              <w:t xml:space="preserve">5</w:t>
            </w:r>
          </w:p>
        </w:tc>
        <w:tc>
          <w:tcPr>
            <w:tcW w:type="dxa" w:w="30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left"/>
            </w:pPr>
            <w:r>
              <w:rPr>
                <w:rFonts w:ascii="Calibri" w:cs="Calibri" w:eastAsia="Calibri" w:hAnsi="Calibri"/>
                <w:sz w:val="19"/>
                <w:szCs w:val="19"/>
              </w:rPr>
              <w:t xml:space="preserve">B004C44556</w:t>
            </w:r>
          </w:p>
        </w:tc>
        <w:tc>
          <w:tcPr>
            <w:tcW w:type="dxa" w:w="2463"/>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center"/>
            </w:pPr>
            <w:r>
              <w:rPr>
                <w:rFonts w:ascii="Calibri" w:cs="Calibri" w:eastAsia="Calibri" w:hAnsi="Calibri"/>
                <w:sz w:val="19"/>
                <w:szCs w:val="19"/>
              </w:rPr>
              <w:t xml:space="preserve">40</w:t>
            </w:r>
          </w:p>
        </w:tc>
        <w:tc>
          <w:tcPr>
            <w:tcW w:type="dxa" w:w="2463"/>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center"/>
            </w:pPr>
            <w:r>
              <w:rPr>
                <w:rFonts w:ascii="Calibri" w:cs="Calibri" w:eastAsia="Calibri" w:hAnsi="Calibri"/>
                <w:sz w:val="19"/>
                <w:szCs w:val="19"/>
              </w:rPr>
              <w:t xml:space="preserve">1.45</w:t>
            </w:r>
          </w:p>
        </w:tc>
      </w:tr>
      <w:tr>
        <w:trPr>
          <w:cantSplit/>
        </w:trPr>
        <w:tc>
          <w:tcPr>
            <w:tcW w:type="dxa" w:w="1100"/>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center"/>
            </w:pPr>
            <w:r>
              <w:rPr>
                <w:rFonts w:ascii="Calibri" w:cs="Calibri" w:eastAsia="Calibri" w:hAnsi="Calibri"/>
                <w:sz w:val="19"/>
                <w:szCs w:val="19"/>
              </w:rPr>
              <w:t xml:space="preserve">6</w:t>
            </w:r>
          </w:p>
        </w:tc>
        <w:tc>
          <w:tcPr>
            <w:tcW w:type="dxa" w:w="3000"/>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left"/>
            </w:pPr>
            <w:r>
              <w:rPr>
                <w:rFonts w:ascii="Calibri" w:cs="Calibri" w:eastAsia="Calibri" w:hAnsi="Calibri"/>
                <w:sz w:val="19"/>
                <w:szCs w:val="19"/>
              </w:rPr>
              <w:t xml:space="preserve">B003RWS5Q4</w:t>
            </w:r>
          </w:p>
        </w:tc>
        <w:tc>
          <w:tcPr>
            <w:tcW w:type="dxa" w:w="2463"/>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center"/>
            </w:pPr>
            <w:r>
              <w:rPr>
                <w:rFonts w:ascii="Calibri" w:cs="Calibri" w:eastAsia="Calibri" w:hAnsi="Calibri"/>
                <w:sz w:val="19"/>
                <w:szCs w:val="19"/>
              </w:rPr>
              <w:t xml:space="preserve">38</w:t>
            </w:r>
          </w:p>
        </w:tc>
        <w:tc>
          <w:tcPr>
            <w:tcW w:type="dxa" w:w="2463"/>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center"/>
            </w:pPr>
            <w:r>
              <w:rPr>
                <w:rFonts w:ascii="Calibri" w:cs="Calibri" w:eastAsia="Calibri" w:hAnsi="Calibri"/>
                <w:sz w:val="19"/>
                <w:szCs w:val="19"/>
              </w:rPr>
              <w:t xml:space="preserve">1.61</w:t>
            </w:r>
          </w:p>
        </w:tc>
      </w:tr>
      <w:tr>
        <w:trPr>
          <w:cantSplit/>
        </w:trPr>
        <w:tc>
          <w:tcPr>
            <w:tcW w:type="dxa" w:w="11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center"/>
            </w:pPr>
            <w:r>
              <w:rPr>
                <w:rFonts w:ascii="Calibri" w:cs="Calibri" w:eastAsia="Calibri" w:hAnsi="Calibri"/>
                <w:sz w:val="19"/>
                <w:szCs w:val="19"/>
              </w:rPr>
              <w:t xml:space="preserve">7</w:t>
            </w:r>
          </w:p>
        </w:tc>
        <w:tc>
          <w:tcPr>
            <w:tcW w:type="dxa" w:w="30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left"/>
            </w:pPr>
            <w:r>
              <w:rPr>
                <w:rFonts w:ascii="Calibri" w:cs="Calibri" w:eastAsia="Calibri" w:hAnsi="Calibri"/>
                <w:sz w:val="19"/>
                <w:szCs w:val="19"/>
              </w:rPr>
              <w:t xml:space="preserve">B0054H1I7S</w:t>
            </w:r>
          </w:p>
        </w:tc>
        <w:tc>
          <w:tcPr>
            <w:tcW w:type="dxa" w:w="2463"/>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center"/>
            </w:pPr>
            <w:r>
              <w:rPr>
                <w:rFonts w:ascii="Calibri" w:cs="Calibri" w:eastAsia="Calibri" w:hAnsi="Calibri"/>
                <w:sz w:val="19"/>
                <w:szCs w:val="19"/>
              </w:rPr>
              <w:t xml:space="preserve">36</w:t>
            </w:r>
          </w:p>
        </w:tc>
        <w:tc>
          <w:tcPr>
            <w:tcW w:type="dxa" w:w="2463"/>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center"/>
            </w:pPr>
            <w:r>
              <w:rPr>
                <w:rFonts w:ascii="Calibri" w:cs="Calibri" w:eastAsia="Calibri" w:hAnsi="Calibri"/>
                <w:sz w:val="19"/>
                <w:szCs w:val="19"/>
              </w:rPr>
              <w:t xml:space="preserve">1.50</w:t>
            </w:r>
          </w:p>
        </w:tc>
      </w:tr>
      <w:tr>
        <w:trPr>
          <w:cantSplit/>
        </w:trPr>
        <w:tc>
          <w:tcPr>
            <w:tcW w:type="dxa" w:w="1100"/>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val="false"/>
              <w:jc w:val="center"/>
            </w:pPr>
            <w:r>
              <w:rPr>
                <w:rFonts w:ascii="Calibri" w:cs="Calibri" w:eastAsia="Calibri" w:hAnsi="Calibri"/>
                <w:sz w:val="19"/>
                <w:szCs w:val="19"/>
              </w:rPr>
              <w:t xml:space="preserve">8</w:t>
            </w:r>
          </w:p>
        </w:tc>
        <w:tc>
          <w:tcPr>
            <w:tcW w:type="dxa" w:w="3000"/>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val="false"/>
              <w:jc w:val="left"/>
            </w:pPr>
            <w:r>
              <w:rPr>
                <w:rFonts w:ascii="Calibri" w:cs="Calibri" w:eastAsia="Calibri" w:hAnsi="Calibri"/>
                <w:sz w:val="19"/>
                <w:szCs w:val="19"/>
              </w:rPr>
              <w:t xml:space="preserve">B004U34BZS</w:t>
            </w:r>
          </w:p>
        </w:tc>
        <w:tc>
          <w:tcPr>
            <w:tcW w:type="dxa" w:w="2463"/>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val="false"/>
              <w:jc w:val="center"/>
            </w:pPr>
            <w:r>
              <w:rPr>
                <w:rFonts w:ascii="Calibri" w:cs="Calibri" w:eastAsia="Calibri" w:hAnsi="Calibri"/>
                <w:sz w:val="19"/>
                <w:szCs w:val="19"/>
              </w:rPr>
              <w:t xml:space="preserve">34</w:t>
            </w:r>
          </w:p>
        </w:tc>
        <w:tc>
          <w:tcPr>
            <w:tcW w:type="dxa" w:w="2463"/>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val="false"/>
              <w:jc w:val="center"/>
            </w:pPr>
            <w:r>
              <w:rPr>
                <w:rFonts w:ascii="Calibri" w:cs="Calibri" w:eastAsia="Calibri" w:hAnsi="Calibri"/>
                <w:sz w:val="19"/>
                <w:szCs w:val="19"/>
              </w:rPr>
              <w:t xml:space="preserve">1.44</w:t>
            </w:r>
          </w:p>
        </w:tc>
      </w:tr>
    </w:tbl>
    <w:p>
      <w:pPr>
        <w:spacing w:after="200" w:before="60" w:line="276" w:lineRule="auto"/>
        <w:jc w:val="left"/>
      </w:pPr>
      <w:r>
        <w:rPr>
          <w:rFonts w:ascii="Calibri" w:cs="Calibri" w:eastAsia="Calibri" w:hAnsi="Calibri"/>
          <w:i/>
          <w:iCs/>
          <w:color w:val="595959"/>
          <w:sz w:val="17"/>
          <w:szCs w:val="17"/>
        </w:rPr>
        <w:t xml:space="preserve">Table 7. Ebook products with the most negative reviews (top 8 rows of SQL Query 23). Product titles are blank in the source data, so product IDs are shown.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5B6" w:sz="24"/>
              <w:bottom w:val="none" w:color="FFFFFF" w:sz="0"/>
              <w:right w:val="none" w:color="FFFFFF" w:sz="0"/>
            </w:tcBorders>
            <w:shd w:fill="EAF1F8" w:color="auto" w:val="clear"/>
            <w:tcMar>
              <w:top w:type="dxa" w:w="140"/>
              <w:left w:type="dxa" w:w="220"/>
              <w:bottom w:type="dxa" w:w="140"/>
              <w:right w:type="dxa" w:w="200"/>
            </w:tcMar>
          </w:tcPr>
          <w:p>
            <w:pPr>
              <w:spacing w:after="60"/>
            </w:pPr>
            <w:r>
              <w:rPr>
                <w:rFonts w:ascii="Calibri" w:cs="Calibri" w:eastAsia="Calibri" w:hAnsi="Calibri"/>
                <w:b/>
                <w:bCs/>
                <w:color w:val="2E75B6"/>
                <w:sz w:val="21"/>
                <w:szCs w:val="21"/>
              </w:rPr>
              <w:t xml:space="preserve">Insight</w:t>
            </w:r>
          </w:p>
          <w:p>
            <w:pPr>
              <w:spacing w:after="0" w:line="276" w:lineRule="auto"/>
            </w:pPr>
            <w:r>
              <w:rPr>
                <w:rFonts w:ascii="Calibri" w:cs="Calibri" w:eastAsia="Calibri" w:hAnsi="Calibri"/>
                <w:sz w:val="20"/>
                <w:szCs w:val="20"/>
              </w:rPr>
              <w:t xml:space="preserve">Several Ebook products were identified with relatively high negative-review counts and low average ratings. This demonstrates that category-level averages can conceal dissatisfaction associated with individual products, so product-level analysis should be used instead of relying only on category averages.</w:t>
            </w:r>
          </w:p>
        </w:tc>
      </w:tr>
    </w:tbl>
    <w:p>
      <w:pPr>
        <w:pStyle w:val="Heading1"/>
        <w:keepNext/>
      </w:pPr>
      <w:r>
        <w:rPr>
          <w:rFonts w:ascii="Calibri" w:cs="Calibri" w:eastAsia="Calibri" w:hAnsi="Calibri"/>
        </w:rPr>
        <w:t xml:space="preserve">7. Data Quality Validation</w:t>
      </w:r>
    </w:p>
    <w:p>
      <w:pPr>
        <w:keepNext/>
        <w:spacing w:after="140" w:before="0" w:line="276" w:lineRule="auto"/>
        <w:jc w:val="left"/>
      </w:pPr>
      <w:r>
        <w:rPr>
          <w:rFonts w:ascii="Calibri" w:cs="Calibri" w:eastAsia="Calibri" w:hAnsi="Calibri"/>
          <w:sz w:val="21"/>
          <w:szCs w:val="21"/>
        </w:rPr>
        <w:t xml:space="preserve">Data-quality checks were run before business conclusions were drawn. The issues below affected how the sentiment results should be read; the Grocery issue has since been addressed.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600"/>
        <w:gridCol w:w="2426"/>
      </w:tblGrid>
      <w:tr>
        <w:trPr>
          <w:cantSplit/>
          <w:tblHeader/>
        </w:trPr>
        <w:tc>
          <w:tcPr>
            <w:tcW w:type="dxa" w:w="2500"/>
            <w:tcBorders>
              <w:top w:val="single" w:color="D0D7DE" w:sz="4"/>
              <w:left w:val="single" w:color="D0D7DE" w:sz="4"/>
              <w:bottom w:val="single" w:color="D0D7DE" w:sz="4"/>
              <w:right w:val="single" w:color="D0D7DE" w:sz="4"/>
            </w:tcBorders>
            <w:shd w:fill="1F3A5F" w:color="auto" w:val="clear"/>
            <w:tcMar>
              <w:top w:type="dxa" w:w="100"/>
              <w:left w:type="dxa" w:w="120"/>
              <w:bottom w:type="dxa" w:w="100"/>
              <w:right w:type="dxa" w:w="120"/>
            </w:tcMar>
            <w:vAlign w:val="center"/>
          </w:tcPr>
          <w:p>
            <w:pPr>
              <w:keepNext/>
              <w:jc w:val="left"/>
            </w:pPr>
            <w:r>
              <w:rPr>
                <w:rFonts w:ascii="Calibri" w:cs="Calibri" w:eastAsia="Calibri" w:hAnsi="Calibri"/>
                <w:b/>
                <w:bCs/>
                <w:color w:val="FFFFFF"/>
                <w:sz w:val="19"/>
                <w:szCs w:val="19"/>
              </w:rPr>
              <w:t xml:space="preserve">Issue</w:t>
            </w:r>
          </w:p>
        </w:tc>
        <w:tc>
          <w:tcPr>
            <w:tcW w:type="dxa" w:w="1500"/>
            <w:tcBorders>
              <w:top w:val="single" w:color="D0D7DE" w:sz="4"/>
              <w:left w:val="single" w:color="D0D7DE" w:sz="4"/>
              <w:bottom w:val="single" w:color="D0D7DE" w:sz="4"/>
              <w:right w:val="single" w:color="D0D7DE" w:sz="4"/>
            </w:tcBorders>
            <w:shd w:fill="1F3A5F" w:color="auto" w:val="clear"/>
            <w:tcMar>
              <w:top w:type="dxa" w:w="100"/>
              <w:left w:type="dxa" w:w="120"/>
              <w:bottom w:type="dxa" w:w="100"/>
              <w:right w:type="dxa" w:w="120"/>
            </w:tcMar>
            <w:vAlign w:val="center"/>
          </w:tcPr>
          <w:p>
            <w:pPr>
              <w:keepNext/>
              <w:jc w:val="center"/>
            </w:pPr>
            <w:r>
              <w:rPr>
                <w:rFonts w:ascii="Calibri" w:cs="Calibri" w:eastAsia="Calibri" w:hAnsi="Calibri"/>
                <w:b/>
                <w:bCs/>
                <w:color w:val="FFFFFF"/>
                <w:sz w:val="19"/>
                <w:szCs w:val="19"/>
              </w:rPr>
              <w:t xml:space="preserve">Records Affected</w:t>
            </w:r>
          </w:p>
        </w:tc>
        <w:tc>
          <w:tcPr>
            <w:tcW w:type="dxa" w:w="2600"/>
            <w:tcBorders>
              <w:top w:val="single" w:color="D0D7DE" w:sz="4"/>
              <w:left w:val="single" w:color="D0D7DE" w:sz="4"/>
              <w:bottom w:val="single" w:color="D0D7DE" w:sz="4"/>
              <w:right w:val="single" w:color="D0D7DE" w:sz="4"/>
            </w:tcBorders>
            <w:shd w:fill="1F3A5F" w:color="auto" w:val="clear"/>
            <w:tcMar>
              <w:top w:type="dxa" w:w="100"/>
              <w:left w:type="dxa" w:w="120"/>
              <w:bottom w:type="dxa" w:w="100"/>
              <w:right w:type="dxa" w:w="120"/>
            </w:tcMar>
            <w:vAlign w:val="center"/>
          </w:tcPr>
          <w:p>
            <w:pPr>
              <w:keepNext/>
              <w:jc w:val="left"/>
            </w:pPr>
            <w:r>
              <w:rPr>
                <w:rFonts w:ascii="Calibri" w:cs="Calibri" w:eastAsia="Calibri" w:hAnsi="Calibri"/>
                <w:b/>
                <w:bCs/>
                <w:color w:val="FFFFFF"/>
                <w:sz w:val="19"/>
                <w:szCs w:val="19"/>
              </w:rPr>
              <w:t xml:space="preserve">Impact</w:t>
            </w:r>
          </w:p>
        </w:tc>
        <w:tc>
          <w:tcPr>
            <w:tcW w:type="dxa" w:w="2426"/>
            <w:tcBorders>
              <w:top w:val="single" w:color="D0D7DE" w:sz="4"/>
              <w:left w:val="single" w:color="D0D7DE" w:sz="4"/>
              <w:bottom w:val="single" w:color="D0D7DE" w:sz="4"/>
              <w:right w:val="single" w:color="D0D7DE" w:sz="4"/>
            </w:tcBorders>
            <w:shd w:fill="1F3A5F" w:color="auto" w:val="clear"/>
            <w:tcMar>
              <w:top w:type="dxa" w:w="100"/>
              <w:left w:type="dxa" w:w="120"/>
              <w:bottom w:type="dxa" w:w="100"/>
              <w:right w:type="dxa" w:w="120"/>
            </w:tcMar>
            <w:vAlign w:val="center"/>
          </w:tcPr>
          <w:p>
            <w:pPr>
              <w:keepNext/>
              <w:jc w:val="left"/>
            </w:pPr>
            <w:r>
              <w:rPr>
                <w:rFonts w:ascii="Calibri" w:cs="Calibri" w:eastAsia="Calibri" w:hAnsi="Calibri"/>
                <w:b/>
                <w:bCs/>
                <w:color w:val="FFFFFF"/>
                <w:sz w:val="19"/>
                <w:szCs w:val="19"/>
              </w:rPr>
              <w:t xml:space="preserve">Recommended Action</w:t>
            </w:r>
          </w:p>
        </w:tc>
      </w:tr>
      <w:tr>
        <w:trPr>
          <w:cantSplit/>
        </w:trPr>
        <w:tc>
          <w:tcPr>
            <w:tcW w:type="dxa" w:w="25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left"/>
            </w:pPr>
            <w:r>
              <w:rPr>
                <w:rFonts w:ascii="Calibri" w:cs="Calibri" w:eastAsia="Calibri" w:hAnsi="Calibri"/>
                <w:b/>
                <w:bCs/>
                <w:sz w:val="19"/>
                <w:szCs w:val="19"/>
              </w:rPr>
              <w:t xml:space="preserve">NULL sentiment values in Grocery (source data)</w:t>
            </w:r>
          </w:p>
        </w:tc>
        <w:tc>
          <w:tcPr>
            <w:tcW w:type="dxa" w:w="15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center"/>
            </w:pPr>
            <w:r>
              <w:rPr>
                <w:rFonts w:ascii="Calibri" w:cs="Calibri" w:eastAsia="Calibri" w:hAnsi="Calibri"/>
                <w:b w:val="false"/>
                <w:bCs w:val="false"/>
                <w:sz w:val="19"/>
                <w:szCs w:val="19"/>
              </w:rPr>
              <w:t xml:space="preserve">180,018</w:t>
            </w:r>
          </w:p>
        </w:tc>
        <w:tc>
          <w:tcPr>
            <w:tcW w:type="dxa" w:w="26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left"/>
            </w:pPr>
            <w:r>
              <w:rPr>
                <w:rFonts w:ascii="Calibri" w:cs="Calibri" w:eastAsia="Calibri" w:hAnsi="Calibri"/>
                <w:b w:val="false"/>
                <w:bCs w:val="false"/>
                <w:sz w:val="19"/>
                <w:szCs w:val="19"/>
              </w:rPr>
              <w:t xml:space="preserve">Sentiment was derived from ratings for 180,001 records, so Grocery now appears in the sentiment comparison</w:t>
            </w:r>
          </w:p>
        </w:tc>
        <w:tc>
          <w:tcPr>
            <w:tcW w:type="dxa" w:w="2426"/>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left"/>
            </w:pPr>
            <w:r>
              <w:rPr>
                <w:rFonts w:ascii="Calibri" w:cs="Calibri" w:eastAsia="Calibri" w:hAnsi="Calibri"/>
                <w:b w:val="false"/>
                <w:bCs w:val="false"/>
                <w:sz w:val="19"/>
                <w:szCs w:val="19"/>
              </w:rPr>
              <w:t xml:space="preserve">Validate the rating-derived methodology</w:t>
            </w:r>
          </w:p>
        </w:tc>
      </w:tr>
      <w:tr>
        <w:trPr>
          <w:cantSplit/>
        </w:trPr>
        <w:tc>
          <w:tcPr>
            <w:tcW w:type="dxa" w:w="2500"/>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left"/>
            </w:pPr>
            <w:r>
              <w:rPr>
                <w:rFonts w:ascii="Calibri" w:cs="Calibri" w:eastAsia="Calibri" w:hAnsi="Calibri"/>
                <w:b/>
                <w:bCs/>
                <w:sz w:val="19"/>
                <w:szCs w:val="19"/>
              </w:rPr>
              <w:t xml:space="preserve">Grocery records with missing ratings</w:t>
            </w:r>
          </w:p>
        </w:tc>
        <w:tc>
          <w:tcPr>
            <w:tcW w:type="dxa" w:w="1500"/>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center"/>
            </w:pPr>
            <w:r>
              <w:rPr>
                <w:rFonts w:ascii="Calibri" w:cs="Calibri" w:eastAsia="Calibri" w:hAnsi="Calibri"/>
                <w:b w:val="false"/>
                <w:bCs w:val="false"/>
                <w:sz w:val="19"/>
                <w:szCs w:val="19"/>
              </w:rPr>
              <w:t xml:space="preserve">17</w:t>
            </w:r>
          </w:p>
        </w:tc>
        <w:tc>
          <w:tcPr>
            <w:tcW w:type="dxa" w:w="2600"/>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left"/>
            </w:pPr>
            <w:r>
              <w:rPr>
                <w:rFonts w:ascii="Calibri" w:cs="Calibri" w:eastAsia="Calibri" w:hAnsi="Calibri"/>
                <w:b w:val="false"/>
                <w:bCs w:val="false"/>
                <w:sz w:val="19"/>
                <w:szCs w:val="19"/>
              </w:rPr>
              <w:t xml:space="preserve">Sentiment cannot be derived, so these records remain unclassified</w:t>
            </w:r>
          </w:p>
        </w:tc>
        <w:tc>
          <w:tcPr>
            <w:tcW w:type="dxa" w:w="2426"/>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left"/>
            </w:pPr>
            <w:r>
              <w:rPr>
                <w:rFonts w:ascii="Calibri" w:cs="Calibri" w:eastAsia="Calibri" w:hAnsi="Calibri"/>
                <w:b w:val="false"/>
                <w:bCs w:val="false"/>
                <w:sz w:val="19"/>
                <w:szCs w:val="19"/>
              </w:rPr>
              <w:t xml:space="preserve">Keep documented as unclassified</w:t>
            </w:r>
          </w:p>
        </w:tc>
      </w:tr>
      <w:tr>
        <w:trPr>
          <w:cantSplit/>
        </w:trPr>
        <w:tc>
          <w:tcPr>
            <w:tcW w:type="dxa" w:w="25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val="false"/>
              <w:jc w:val="left"/>
            </w:pPr>
            <w:r>
              <w:rPr>
                <w:rFonts w:ascii="Calibri" w:cs="Calibri" w:eastAsia="Calibri" w:hAnsi="Calibri"/>
                <w:b/>
                <w:bCs/>
                <w:sz w:val="19"/>
                <w:szCs w:val="19"/>
              </w:rPr>
              <w:t xml:space="preserve">Misspelled label "negaitve"</w:t>
            </w:r>
          </w:p>
        </w:tc>
        <w:tc>
          <w:tcPr>
            <w:tcW w:type="dxa" w:w="15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val="false"/>
              <w:jc w:val="center"/>
            </w:pPr>
            <w:r>
              <w:rPr>
                <w:rFonts w:ascii="Calibri" w:cs="Calibri" w:eastAsia="Calibri" w:hAnsi="Calibri"/>
                <w:b w:val="false"/>
                <w:bCs w:val="false"/>
                <w:sz w:val="19"/>
                <w:szCs w:val="19"/>
              </w:rPr>
              <w:t xml:space="preserve">34</w:t>
            </w:r>
          </w:p>
        </w:tc>
        <w:tc>
          <w:tcPr>
            <w:tcW w:type="dxa" w:w="26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val="false"/>
              <w:jc w:val="left"/>
            </w:pPr>
            <w:r>
              <w:rPr>
                <w:rFonts w:ascii="Calibri" w:cs="Calibri" w:eastAsia="Calibri" w:hAnsi="Calibri"/>
                <w:b w:val="false"/>
                <w:bCs w:val="false"/>
                <w:sz w:val="19"/>
                <w:szCs w:val="19"/>
              </w:rPr>
              <w:t xml:space="preserve">Before standardization, these 34 records were not counted under the standard "negative" label</w:t>
            </w:r>
          </w:p>
        </w:tc>
        <w:tc>
          <w:tcPr>
            <w:tcW w:type="dxa" w:w="2426"/>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val="false"/>
              <w:jc w:val="left"/>
            </w:pPr>
            <w:r>
              <w:rPr>
                <w:rFonts w:ascii="Calibri" w:cs="Calibri" w:eastAsia="Calibri" w:hAnsi="Calibri"/>
                <w:b w:val="false"/>
                <w:bCs w:val="false"/>
                <w:sz w:val="19"/>
                <w:szCs w:val="19"/>
              </w:rPr>
              <w:t xml:space="preserve">Completed: standardized the label to "negative"</w:t>
            </w:r>
          </w:p>
        </w:tc>
      </w:tr>
    </w:tbl>
    <w:p>
      <w:pPr>
        <w:spacing w:after="200" w:before="60" w:line="276" w:lineRule="auto"/>
        <w:jc w:val="left"/>
      </w:pPr>
      <w:r>
        <w:rPr>
          <w:rFonts w:ascii="Calibri" w:cs="Calibri" w:eastAsia="Calibri" w:hAnsi="Calibri"/>
          <w:i/>
          <w:iCs/>
          <w:color w:val="595959"/>
          <w:sz w:val="17"/>
          <w:szCs w:val="17"/>
        </w:rPr>
        <w:t xml:space="preserve">Table 8. Data-quality issues identified during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6A00" w:sz="24"/>
              <w:bottom w:val="none" w:color="FFFFFF" w:sz="0"/>
              <w:right w:val="none" w:color="FFFFFF" w:sz="0"/>
            </w:tcBorders>
            <w:shd w:fill="FFF4E0" w:color="auto" w:val="clear"/>
            <w:tcMar>
              <w:top w:type="dxa" w:w="140"/>
              <w:left w:type="dxa" w:w="220"/>
              <w:bottom w:type="dxa" w:w="140"/>
              <w:right w:type="dxa" w:w="200"/>
            </w:tcMar>
          </w:tcPr>
          <w:p>
            <w:pPr>
              <w:spacing w:after="60"/>
            </w:pPr>
            <w:r>
              <w:rPr>
                <w:rFonts w:ascii="Calibri" w:cs="Calibri" w:eastAsia="Calibri" w:hAnsi="Calibri"/>
                <w:b/>
                <w:bCs/>
                <w:color w:val="B26A00"/>
                <w:sz w:val="21"/>
                <w:szCs w:val="21"/>
              </w:rPr>
              <w:t xml:space="preserve">Update</w:t>
            </w:r>
          </w:p>
          <w:p>
            <w:pPr>
              <w:spacing w:after="0" w:line="276" w:lineRule="auto"/>
            </w:pPr>
            <w:r>
              <w:rPr>
                <w:rFonts w:ascii="Calibri" w:cs="Calibri" w:eastAsia="Calibri" w:hAnsi="Calibri"/>
                <w:sz w:val="20"/>
                <w:szCs w:val="20"/>
              </w:rPr>
              <w:t xml:space="preserve">Grocery sentiment was originally missing for all 180,018 records. It has now been derived from star ratings for 180,001 records, and the remaining 17 are unclassified because ratings are missing. Because the classification is rating-derived, the method should be validated before the figures are treated as final.</w:t>
            </w:r>
          </w:p>
        </w:tc>
      </w:tr>
    </w:tbl>
    <w:p>
      <w:pPr>
        <w:pStyle w:val="Heading1"/>
        <w:keepNext/>
      </w:pPr>
      <w:r>
        <w:rPr>
          <w:rFonts w:ascii="Calibri" w:cs="Calibri" w:eastAsia="Calibri" w:hAnsi="Calibri"/>
        </w:rPr>
        <w:t xml:space="preserve">8. Key Business Insights</w:t>
      </w:r>
    </w:p>
    <w:p>
      <w:pPr>
        <w:pStyle w:val="Heading2"/>
        <w:keepNext/>
      </w:pPr>
      <w:r>
        <w:rPr>
          <w:rFonts w:ascii="Calibri" w:cs="Calibri" w:eastAsia="Calibri" w:hAnsi="Calibri"/>
        </w:rPr>
        <w:t xml:space="preserve">Insight 1: Electronics requires deeper investigation</w:t>
      </w:r>
    </w:p>
    <w:p>
      <w:pPr>
        <w:keepNext/>
        <w:spacing w:after="60" w:before="0" w:line="276" w:lineRule="auto"/>
        <w:jc w:val="left"/>
      </w:pPr>
      <w:r>
        <w:rPr>
          <w:rFonts w:ascii="Calibri" w:cs="Calibri" w:eastAsia="Calibri" w:hAnsi="Calibri"/>
          <w:b/>
          <w:bCs/>
          <w:color w:val="1F3A5F"/>
          <w:sz w:val="21"/>
          <w:szCs w:val="21"/>
        </w:rPr>
        <w:t xml:space="preserve">Evidence</w:t>
      </w:r>
    </w:p>
    <w:p>
      <w:pPr>
        <w:pStyle w:val="ListParagraph"/>
        <w:numPr>
          <w:ilvl w:val="0"/>
          <w:numId w:val="2"/>
        </w:numPr>
        <w:spacing w:after="70" w:line="276" w:lineRule="auto"/>
      </w:pPr>
      <w:r>
        <w:rPr>
          <w:rFonts w:ascii="Calibri" w:cs="Calibri" w:eastAsia="Calibri" w:hAnsi="Calibri"/>
          <w:sz w:val="21"/>
          <w:szCs w:val="21"/>
        </w:rPr>
        <w:t xml:space="preserve">Average rating: 3.59</w:t>
      </w:r>
    </w:p>
    <w:p>
      <w:pPr>
        <w:pStyle w:val="ListParagraph"/>
        <w:numPr>
          <w:ilvl w:val="0"/>
          <w:numId w:val="2"/>
        </w:numPr>
        <w:spacing w:after="70" w:line="276" w:lineRule="auto"/>
      </w:pPr>
      <w:r>
        <w:rPr>
          <w:rFonts w:ascii="Calibri" w:cs="Calibri" w:eastAsia="Calibri" w:hAnsi="Calibri"/>
          <w:sz w:val="21"/>
          <w:szCs w:val="21"/>
        </w:rPr>
        <w:t xml:space="preserve">Negative-review percentage: 29.52%</w:t>
      </w:r>
    </w:p>
    <w:p>
      <w:pPr>
        <w:pStyle w:val="ListParagraph"/>
        <w:numPr>
          <w:ilvl w:val="0"/>
          <w:numId w:val="2"/>
        </w:numPr>
        <w:spacing w:after="70" w:line="276" w:lineRule="auto"/>
      </w:pPr>
      <w:r>
        <w:rPr>
          <w:rFonts w:ascii="Calibri" w:cs="Calibri" w:eastAsia="Calibri" w:hAnsi="Calibri"/>
          <w:sz w:val="21"/>
          <w:szCs w:val="21"/>
        </w:rPr>
        <w:t xml:space="preserve">Quality-related keyword indicator: 13.15%</w:t>
      </w:r>
    </w:p>
    <w:p>
      <w:pPr>
        <w:pStyle w:val="ListParagraph"/>
        <w:numPr>
          <w:ilvl w:val="0"/>
          <w:numId w:val="2"/>
        </w:numPr>
        <w:spacing w:after="70" w:line="276" w:lineRule="auto"/>
      </w:pPr>
      <w:r>
        <w:rPr>
          <w:rFonts w:ascii="Calibri" w:cs="Calibri" w:eastAsia="Calibri" w:hAnsi="Calibri"/>
          <w:sz w:val="21"/>
          <w:szCs w:val="21"/>
        </w:rPr>
        <w:t xml:space="preserve">Product-condition keyword indicator: 10.55%</w:t>
      </w:r>
    </w:p>
    <w:p>
      <w:pPr>
        <w:pStyle w:val="ListParagraph"/>
        <w:numPr>
          <w:ilvl w:val="0"/>
          <w:numId w:val="2"/>
        </w:numPr>
        <w:spacing w:after="70" w:line="276" w:lineRule="auto"/>
      </w:pPr>
      <w:r>
        <w:rPr>
          <w:rFonts w:ascii="Calibri" w:cs="Calibri" w:eastAsia="Calibri" w:hAnsi="Calibri"/>
          <w:sz w:val="21"/>
          <w:szCs w:val="21"/>
        </w:rPr>
        <w:t xml:space="preserve">Price-related keyword indicator: 13.97%</w:t>
      </w:r>
    </w:p>
    <w:p>
      <w:pPr>
        <w:pStyle w:val="ListParagraph"/>
        <w:numPr>
          <w:ilvl w:val="0"/>
          <w:numId w:val="2"/>
        </w:numPr>
        <w:spacing w:after="70" w:line="276" w:lineRule="auto"/>
      </w:pPr>
      <w:r>
        <w:rPr>
          <w:rFonts w:ascii="Calibri" w:cs="Calibri" w:eastAsia="Calibri" w:hAnsi="Calibri"/>
          <w:sz w:val="21"/>
          <w:szCs w:val="21"/>
        </w:rPr>
        <w:t xml:space="preserve">High-helpfulness negative reviews include performance and functionality concerns</w:t>
      </w:r>
    </w:p>
    <w:p>
      <w:pPr>
        <w:spacing w:after="80" w:before="80" w:line="276" w:lineRule="auto"/>
        <w:jc w:val="left"/>
      </w:pPr>
      <w:r>
        <w:rPr>
          <w:rFonts w:ascii="Calibri" w:cs="Calibri" w:eastAsia="Calibri" w:hAnsi="Calibri"/>
          <w:b/>
          <w:bCs/>
          <w:color w:val="1F3A5F"/>
          <w:sz w:val="21"/>
          <w:szCs w:val="21"/>
        </w:rPr>
        <w:t xml:space="preserve">Business implication: </w:t>
      </w:r>
      <w:r>
        <w:rPr>
          <w:rFonts w:ascii="Calibri" w:cs="Calibri" w:eastAsia="Calibri" w:hAnsi="Calibri"/>
          <w:sz w:val="21"/>
          <w:szCs w:val="21"/>
        </w:rPr>
        <w:t xml:space="preserve">Electronics shows several signals of customer dissatisfaction, particularly around product quality and functionality.</w:t>
      </w:r>
    </w:p>
    <w:p>
      <w:pPr>
        <w:spacing w:after="200" w:before="0" w:line="276" w:lineRule="auto"/>
        <w:jc w:val="left"/>
      </w:pPr>
      <w:r>
        <w:rPr>
          <w:rFonts w:ascii="Calibri" w:cs="Calibri" w:eastAsia="Calibri" w:hAnsi="Calibri"/>
          <w:b/>
          <w:bCs/>
          <w:color w:val="1F3A5F"/>
          <w:sz w:val="21"/>
          <w:szCs w:val="21"/>
        </w:rPr>
        <w:t xml:space="preserve">Suggested action: </w:t>
      </w:r>
      <w:r>
        <w:rPr>
          <w:rFonts w:ascii="Calibri" w:cs="Calibri" w:eastAsia="Calibri" w:hAnsi="Calibri"/>
          <w:sz w:val="21"/>
          <w:szCs w:val="21"/>
        </w:rPr>
        <w:t xml:space="preserve">Analyze Electronics negative reviews at product level and identify recurring performance or quality issues.</w:t>
      </w:r>
    </w:p>
    <w:p>
      <w:pPr>
        <w:pStyle w:val="Heading2"/>
        <w:keepNext/>
      </w:pPr>
      <w:r>
        <w:rPr>
          <w:rFonts w:ascii="Calibri" w:cs="Calibri" w:eastAsia="Calibri" w:hAnsi="Calibri"/>
        </w:rPr>
        <w:t xml:space="preserve">Insight 2: Beauty shows moderate dissatisfaction signals</w:t>
      </w:r>
    </w:p>
    <w:p>
      <w:pPr>
        <w:keepNext/>
        <w:spacing w:after="60" w:before="0" w:line="276" w:lineRule="auto"/>
        <w:jc w:val="left"/>
      </w:pPr>
      <w:r>
        <w:rPr>
          <w:rFonts w:ascii="Calibri" w:cs="Calibri" w:eastAsia="Calibri" w:hAnsi="Calibri"/>
          <w:b/>
          <w:bCs/>
          <w:color w:val="1F3A5F"/>
          <w:sz w:val="21"/>
          <w:szCs w:val="21"/>
        </w:rPr>
        <w:t xml:space="preserve">Evidence</w:t>
      </w:r>
    </w:p>
    <w:p>
      <w:pPr>
        <w:pStyle w:val="ListParagraph"/>
        <w:numPr>
          <w:ilvl w:val="0"/>
          <w:numId w:val="2"/>
        </w:numPr>
        <w:spacing w:after="70" w:line="276" w:lineRule="auto"/>
      </w:pPr>
      <w:r>
        <w:rPr>
          <w:rFonts w:ascii="Calibri" w:cs="Calibri" w:eastAsia="Calibri" w:hAnsi="Calibri"/>
          <w:sz w:val="21"/>
          <w:szCs w:val="21"/>
        </w:rPr>
        <w:t xml:space="preserve">Average rating: 3.96</w:t>
      </w:r>
    </w:p>
    <w:p>
      <w:pPr>
        <w:pStyle w:val="ListParagraph"/>
        <w:numPr>
          <w:ilvl w:val="0"/>
          <w:numId w:val="2"/>
        </w:numPr>
        <w:spacing w:after="70" w:line="276" w:lineRule="auto"/>
      </w:pPr>
      <w:r>
        <w:rPr>
          <w:rFonts w:ascii="Calibri" w:cs="Calibri" w:eastAsia="Calibri" w:hAnsi="Calibri"/>
          <w:sz w:val="21"/>
          <w:szCs w:val="21"/>
        </w:rPr>
        <w:t xml:space="preserve">Negative-review percentage: 20.71%</w:t>
      </w:r>
    </w:p>
    <w:p>
      <w:pPr>
        <w:pStyle w:val="ListParagraph"/>
        <w:numPr>
          <w:ilvl w:val="0"/>
          <w:numId w:val="2"/>
        </w:numPr>
        <w:spacing w:after="70" w:line="276" w:lineRule="auto"/>
      </w:pPr>
      <w:r>
        <w:rPr>
          <w:rFonts w:ascii="Calibri" w:cs="Calibri" w:eastAsia="Calibri" w:hAnsi="Calibri"/>
          <w:sz w:val="21"/>
          <w:szCs w:val="21"/>
        </w:rPr>
        <w:t xml:space="preserve">Quality-related keyword indicator: 5.18%</w:t>
      </w:r>
    </w:p>
    <w:p>
      <w:pPr>
        <w:pStyle w:val="ListParagraph"/>
        <w:numPr>
          <w:ilvl w:val="0"/>
          <w:numId w:val="2"/>
        </w:numPr>
        <w:spacing w:after="70" w:line="276" w:lineRule="auto"/>
      </w:pPr>
      <w:r>
        <w:rPr>
          <w:rFonts w:ascii="Calibri" w:cs="Calibri" w:eastAsia="Calibri" w:hAnsi="Calibri"/>
          <w:sz w:val="21"/>
          <w:szCs w:val="21"/>
        </w:rPr>
        <w:t xml:space="preserve">Product-condition indicator: 4.96%</w:t>
      </w:r>
    </w:p>
    <w:p>
      <w:pPr>
        <w:pStyle w:val="ListParagraph"/>
        <w:numPr>
          <w:ilvl w:val="0"/>
          <w:numId w:val="2"/>
        </w:numPr>
        <w:spacing w:after="70" w:line="276" w:lineRule="auto"/>
      </w:pPr>
      <w:r>
        <w:rPr>
          <w:rFonts w:ascii="Calibri" w:cs="Calibri" w:eastAsia="Calibri" w:hAnsi="Calibri"/>
          <w:sz w:val="21"/>
          <w:szCs w:val="21"/>
        </w:rPr>
        <w:t xml:space="preserve">Price-related keyword indicator: 5.03%</w:t>
      </w:r>
    </w:p>
    <w:p>
      <w:pPr>
        <w:spacing w:after="80" w:before="80" w:line="276" w:lineRule="auto"/>
        <w:jc w:val="left"/>
      </w:pPr>
      <w:r>
        <w:rPr>
          <w:rFonts w:ascii="Calibri" w:cs="Calibri" w:eastAsia="Calibri" w:hAnsi="Calibri"/>
          <w:b/>
          <w:bCs/>
          <w:color w:val="1F3A5F"/>
          <w:sz w:val="21"/>
          <w:szCs w:val="21"/>
        </w:rPr>
        <w:t xml:space="preserve">Business implication: </w:t>
      </w:r>
      <w:r>
        <w:rPr>
          <w:rFonts w:ascii="Calibri" w:cs="Calibri" w:eastAsia="Calibri" w:hAnsi="Calibri"/>
          <w:sz w:val="21"/>
          <w:szCs w:val="21"/>
        </w:rPr>
        <w:t xml:space="preserve">Beauty feedback contains several areas that could be investigated, particularly product quality, condition and perceived value.</w:t>
      </w:r>
    </w:p>
    <w:p>
      <w:pPr>
        <w:spacing w:after="200" w:before="0" w:line="276" w:lineRule="auto"/>
        <w:jc w:val="left"/>
      </w:pPr>
      <w:r>
        <w:rPr>
          <w:rFonts w:ascii="Calibri" w:cs="Calibri" w:eastAsia="Calibri" w:hAnsi="Calibri"/>
          <w:b/>
          <w:bCs/>
          <w:color w:val="1F3A5F"/>
          <w:sz w:val="21"/>
          <w:szCs w:val="21"/>
        </w:rPr>
        <w:t xml:space="preserve">Suggested action: </w:t>
      </w:r>
      <w:r>
        <w:rPr>
          <w:rFonts w:ascii="Calibri" w:cs="Calibri" w:eastAsia="Calibri" w:hAnsi="Calibri"/>
          <w:sz w:val="21"/>
          <w:szCs w:val="21"/>
        </w:rPr>
        <w:t xml:space="preserve">Analyze the specific Beauty products and recurring complaint themes.</w:t>
      </w:r>
    </w:p>
    <w:p>
      <w:pPr>
        <w:pStyle w:val="Heading2"/>
        <w:keepNext/>
      </w:pPr>
      <w:r>
        <w:rPr>
          <w:rFonts w:ascii="Calibri" w:cs="Calibri" w:eastAsia="Calibri" w:hAnsi="Calibri"/>
        </w:rPr>
        <w:t xml:space="preserve">Insight 3: Books shows comparatively favorable feedback</w:t>
      </w:r>
    </w:p>
    <w:p>
      <w:pPr>
        <w:keepNext/>
        <w:spacing w:after="60" w:before="0" w:line="276" w:lineRule="auto"/>
        <w:jc w:val="left"/>
      </w:pPr>
      <w:r>
        <w:rPr>
          <w:rFonts w:ascii="Calibri" w:cs="Calibri" w:eastAsia="Calibri" w:hAnsi="Calibri"/>
          <w:b/>
          <w:bCs/>
          <w:color w:val="1F3A5F"/>
          <w:sz w:val="21"/>
          <w:szCs w:val="21"/>
        </w:rPr>
        <w:t xml:space="preserve">Evidence</w:t>
      </w:r>
    </w:p>
    <w:p>
      <w:pPr>
        <w:pStyle w:val="ListParagraph"/>
        <w:numPr>
          <w:ilvl w:val="0"/>
          <w:numId w:val="2"/>
        </w:numPr>
        <w:spacing w:after="70" w:line="276" w:lineRule="auto"/>
      </w:pPr>
      <w:r>
        <w:rPr>
          <w:rFonts w:ascii="Calibri" w:cs="Calibri" w:eastAsia="Calibri" w:hAnsi="Calibri"/>
          <w:sz w:val="21"/>
          <w:szCs w:val="21"/>
        </w:rPr>
        <w:t xml:space="preserve">Average rating: 4.34</w:t>
      </w:r>
    </w:p>
    <w:p>
      <w:pPr>
        <w:pStyle w:val="ListParagraph"/>
        <w:numPr>
          <w:ilvl w:val="0"/>
          <w:numId w:val="2"/>
        </w:numPr>
        <w:spacing w:after="70" w:line="276" w:lineRule="auto"/>
      </w:pPr>
      <w:r>
        <w:rPr>
          <w:rFonts w:ascii="Calibri" w:cs="Calibri" w:eastAsia="Calibri" w:hAnsi="Calibri"/>
          <w:sz w:val="21"/>
          <w:szCs w:val="21"/>
        </w:rPr>
        <w:t xml:space="preserve">Positive sentiment: 83.56%</w:t>
      </w:r>
    </w:p>
    <w:p>
      <w:pPr>
        <w:pStyle w:val="ListParagraph"/>
        <w:numPr>
          <w:ilvl w:val="0"/>
          <w:numId w:val="2"/>
        </w:numPr>
        <w:spacing w:after="70" w:line="276" w:lineRule="auto"/>
      </w:pPr>
      <w:r>
        <w:rPr>
          <w:rFonts w:ascii="Calibri" w:cs="Calibri" w:eastAsia="Calibri" w:hAnsi="Calibri"/>
          <w:sz w:val="21"/>
          <w:szCs w:val="21"/>
        </w:rPr>
        <w:t xml:space="preserve">Negative sentiment: 6.45%</w:t>
      </w:r>
    </w:p>
    <w:p>
      <w:pPr>
        <w:spacing w:after="80" w:before="80" w:line="276" w:lineRule="auto"/>
        <w:jc w:val="left"/>
      </w:pPr>
      <w:r>
        <w:rPr>
          <w:rFonts w:ascii="Calibri" w:cs="Calibri" w:eastAsia="Calibri" w:hAnsi="Calibri"/>
          <w:b/>
          <w:bCs/>
          <w:color w:val="1F3A5F"/>
          <w:sz w:val="21"/>
          <w:szCs w:val="21"/>
        </w:rPr>
        <w:t xml:space="preserve">Business implication: </w:t>
      </w:r>
      <w:r>
        <w:rPr>
          <w:rFonts w:ascii="Calibri" w:cs="Calibri" w:eastAsia="Calibri" w:hAnsi="Calibri"/>
          <w:sz w:val="21"/>
          <w:szCs w:val="21"/>
        </w:rPr>
        <w:t xml:space="preserve">The available sentiment and rating data indicate generally favorable feedback for Books.</w:t>
      </w:r>
    </w:p>
    <w:p>
      <w:pPr>
        <w:spacing w:after="120"/>
      </w:pPr>
    </w:p>
    <w:p>
      <w:pPr>
        <w:pStyle w:val="Heading2"/>
        <w:keepNext/>
      </w:pPr>
      <w:r>
        <w:rPr>
          <w:rFonts w:ascii="Calibri" w:cs="Calibri" w:eastAsia="Calibri" w:hAnsi="Calibri"/>
        </w:rPr>
        <w:t xml:space="preserve">Insight 4: Ebook has some product-level dissatisfaction</w:t>
      </w:r>
    </w:p>
    <w:p>
      <w:pPr>
        <w:keepNext/>
        <w:spacing w:after="60" w:before="0" w:line="276" w:lineRule="auto"/>
        <w:jc w:val="left"/>
      </w:pPr>
      <w:r>
        <w:rPr>
          <w:rFonts w:ascii="Calibri" w:cs="Calibri" w:eastAsia="Calibri" w:hAnsi="Calibri"/>
          <w:b/>
          <w:bCs/>
          <w:color w:val="1F3A5F"/>
          <w:sz w:val="21"/>
          <w:szCs w:val="21"/>
        </w:rPr>
        <w:t xml:space="preserve">Evidence</w:t>
      </w:r>
    </w:p>
    <w:p>
      <w:pPr>
        <w:pStyle w:val="ListParagraph"/>
        <w:numPr>
          <w:ilvl w:val="0"/>
          <w:numId w:val="2"/>
        </w:numPr>
        <w:spacing w:after="70" w:line="276" w:lineRule="auto"/>
      </w:pPr>
      <w:r>
        <w:rPr>
          <w:rFonts w:ascii="Calibri" w:cs="Calibri" w:eastAsia="Calibri" w:hAnsi="Calibri"/>
          <w:sz w:val="21"/>
          <w:szCs w:val="21"/>
        </w:rPr>
        <w:t xml:space="preserve">Overall average rating of 4.11 and negative sentiment of 9.23%</w:t>
      </w:r>
    </w:p>
    <w:p>
      <w:pPr>
        <w:pStyle w:val="ListParagraph"/>
        <w:numPr>
          <w:ilvl w:val="0"/>
          <w:numId w:val="2"/>
        </w:numPr>
        <w:spacing w:after="70" w:line="276" w:lineRule="auto"/>
      </w:pPr>
      <w:r>
        <w:rPr>
          <w:rFonts w:ascii="Calibri" w:cs="Calibri" w:eastAsia="Calibri" w:hAnsi="Calibri"/>
          <w:sz w:val="21"/>
          <w:szCs w:val="21"/>
        </w:rPr>
        <w:t xml:space="preserve">Query 23 identified individual products with many negative reviews and average ratings around 1.3 to 1.6</w:t>
      </w:r>
    </w:p>
    <w:p>
      <w:pPr>
        <w:spacing w:after="80" w:before="80" w:line="276" w:lineRule="auto"/>
        <w:jc w:val="left"/>
      </w:pPr>
      <w:r>
        <w:rPr>
          <w:rFonts w:ascii="Calibri" w:cs="Calibri" w:eastAsia="Calibri" w:hAnsi="Calibri"/>
          <w:b/>
          <w:bCs/>
          <w:color w:val="1F3A5F"/>
          <w:sz w:val="21"/>
          <w:szCs w:val="21"/>
        </w:rPr>
        <w:t xml:space="preserve">Business implication: </w:t>
      </w:r>
      <w:r>
        <w:rPr>
          <w:rFonts w:ascii="Calibri" w:cs="Calibri" w:eastAsia="Calibri" w:hAnsi="Calibri"/>
          <w:sz w:val="21"/>
          <w:szCs w:val="21"/>
        </w:rPr>
        <w:t xml:space="preserve">Overall category averages can hide problems affecting individual products.</w:t>
      </w:r>
    </w:p>
    <w:p>
      <w:pPr>
        <w:spacing w:after="200" w:before="0" w:line="276" w:lineRule="auto"/>
        <w:jc w:val="left"/>
      </w:pPr>
      <w:r>
        <w:rPr>
          <w:rFonts w:ascii="Calibri" w:cs="Calibri" w:eastAsia="Calibri" w:hAnsi="Calibri"/>
          <w:b/>
          <w:bCs/>
          <w:color w:val="1F3A5F"/>
          <w:sz w:val="21"/>
          <w:szCs w:val="21"/>
        </w:rPr>
        <w:t xml:space="preserve">Suggested action: </w:t>
      </w:r>
      <w:r>
        <w:rPr>
          <w:rFonts w:ascii="Calibri" w:cs="Calibri" w:eastAsia="Calibri" w:hAnsi="Calibri"/>
          <w:sz w:val="21"/>
          <w:szCs w:val="21"/>
        </w:rPr>
        <w:t xml:space="preserve">Use product-level analysis rather than relying only on category averages.</w:t>
      </w:r>
    </w:p>
    <w:p>
      <w:pPr>
        <w:pStyle w:val="Heading2"/>
        <w:keepNext/>
      </w:pPr>
      <w:r>
        <w:rPr>
          <w:rFonts w:ascii="Calibri" w:cs="Calibri" w:eastAsia="Calibri" w:hAnsi="Calibri"/>
        </w:rPr>
        <w:t xml:space="preserve">Insight 5: Data quality was documented and Grocery sentiment resolved</w:t>
      </w:r>
    </w:p>
    <w:p>
      <w:pPr>
        <w:keepNext/>
        <w:spacing w:after="60" w:before="0" w:line="276" w:lineRule="auto"/>
        <w:jc w:val="left"/>
      </w:pPr>
      <w:r>
        <w:rPr>
          <w:rFonts w:ascii="Calibri" w:cs="Calibri" w:eastAsia="Calibri" w:hAnsi="Calibri"/>
          <w:b/>
          <w:bCs/>
          <w:color w:val="1F3A5F"/>
          <w:sz w:val="21"/>
          <w:szCs w:val="21"/>
        </w:rPr>
        <w:t xml:space="preserve">Evidence</w:t>
      </w:r>
    </w:p>
    <w:p>
      <w:pPr>
        <w:pStyle w:val="ListParagraph"/>
        <w:numPr>
          <w:ilvl w:val="0"/>
          <w:numId w:val="2"/>
        </w:numPr>
        <w:spacing w:after="70" w:line="276" w:lineRule="auto"/>
      </w:pPr>
      <w:r>
        <w:rPr>
          <w:rFonts w:ascii="Calibri" w:cs="Calibri" w:eastAsia="Calibri" w:hAnsi="Calibri"/>
          <w:sz w:val="21"/>
          <w:szCs w:val="21"/>
        </w:rPr>
        <w:t xml:space="preserve">180,018 Grocery reviews had NULL sentiment in the source data</w:t>
      </w:r>
    </w:p>
    <w:p>
      <w:pPr>
        <w:pStyle w:val="ListParagraph"/>
        <w:numPr>
          <w:ilvl w:val="0"/>
          <w:numId w:val="2"/>
        </w:numPr>
        <w:spacing w:after="70" w:line="276" w:lineRule="auto"/>
      </w:pPr>
      <w:r>
        <w:rPr>
          <w:rFonts w:ascii="Calibri" w:cs="Calibri" w:eastAsia="Calibri" w:hAnsi="Calibri"/>
          <w:sz w:val="21"/>
          <w:szCs w:val="21"/>
        </w:rPr>
        <w:t xml:space="preserve">Sentiment was derived from ratings for 180,001 Grocery records</w:t>
      </w:r>
    </w:p>
    <w:p>
      <w:pPr>
        <w:pStyle w:val="ListParagraph"/>
        <w:numPr>
          <w:ilvl w:val="0"/>
          <w:numId w:val="2"/>
        </w:numPr>
        <w:spacing w:after="70" w:line="276" w:lineRule="auto"/>
      </w:pPr>
      <w:r>
        <w:rPr>
          <w:rFonts w:ascii="Calibri" w:cs="Calibri" w:eastAsia="Calibri" w:hAnsi="Calibri"/>
          <w:sz w:val="21"/>
          <w:szCs w:val="21"/>
        </w:rPr>
        <w:t xml:space="preserve">17 Grocery records remain unclassified because ratings are missing</w:t>
      </w:r>
    </w:p>
    <w:p>
      <w:pPr>
        <w:pStyle w:val="ListParagraph"/>
        <w:numPr>
          <w:ilvl w:val="0"/>
          <w:numId w:val="2"/>
        </w:numPr>
        <w:spacing w:after="70" w:line="276" w:lineRule="auto"/>
      </w:pPr>
      <w:r>
        <w:rPr>
          <w:rFonts w:ascii="Calibri" w:cs="Calibri" w:eastAsia="Calibri" w:hAnsi="Calibri"/>
          <w:sz w:val="21"/>
          <w:szCs w:val="21"/>
        </w:rPr>
        <w:t xml:space="preserve">34 records contain "negaitve" instead of "negative"</w:t>
      </w:r>
    </w:p>
    <w:p>
      <w:pPr>
        <w:spacing w:after="80" w:before="80" w:line="276" w:lineRule="auto"/>
        <w:jc w:val="left"/>
      </w:pPr>
      <w:r>
        <w:rPr>
          <w:rFonts w:ascii="Calibri" w:cs="Calibri" w:eastAsia="Calibri" w:hAnsi="Calibri"/>
          <w:b/>
          <w:bCs/>
          <w:color w:val="1F3A5F"/>
          <w:sz w:val="21"/>
          <w:szCs w:val="21"/>
        </w:rPr>
        <w:t xml:space="preserve">Business implication: </w:t>
      </w:r>
      <w:r>
        <w:rPr>
          <w:rFonts w:ascii="Calibri" w:cs="Calibri" w:eastAsia="Calibri" w:hAnsi="Calibri"/>
          <w:sz w:val="21"/>
          <w:szCs w:val="21"/>
        </w:rPr>
        <w:t xml:space="preserve">Documenting and resolving these issues shows that data-quality validation was performed before business conclusions were drawn.</w:t>
      </w:r>
    </w:p>
    <w:p>
      <w:pPr>
        <w:spacing w:after="200" w:before="0" w:line="276" w:lineRule="auto"/>
        <w:jc w:val="left"/>
      </w:pPr>
      <w:r>
        <w:rPr>
          <w:rFonts w:ascii="Calibri" w:cs="Calibri" w:eastAsia="Calibri" w:hAnsi="Calibri"/>
          <w:b/>
          <w:bCs/>
          <w:color w:val="1F3A5F"/>
          <w:sz w:val="21"/>
          <w:szCs w:val="21"/>
        </w:rPr>
        <w:t xml:space="preserve">Action: </w:t>
      </w:r>
      <w:r>
        <w:rPr>
          <w:rFonts w:ascii="Calibri" w:cs="Calibri" w:eastAsia="Calibri" w:hAnsi="Calibri"/>
          <w:sz w:val="21"/>
          <w:szCs w:val="21"/>
        </w:rPr>
        <w:t xml:space="preserve">The misspelled label has been standardized. The rating-derived Grocery sentiment should be validated before being treated as final.</w:t>
      </w:r>
    </w:p>
    <w:p>
      <w:pPr>
        <w:pStyle w:val="Heading2"/>
        <w:keepNext/>
      </w:pPr>
      <w:r>
        <w:rPr>
          <w:rFonts w:ascii="Calibri" w:cs="Calibri" w:eastAsia="Calibri" w:hAnsi="Calibri"/>
        </w:rPr>
        <w:t xml:space="preserve">Insight 6: Grocery sentiment is now available</w:t>
      </w:r>
    </w:p>
    <w:p>
      <w:pPr>
        <w:keepNext/>
        <w:spacing w:after="60" w:before="0" w:line="276" w:lineRule="auto"/>
        <w:jc w:val="left"/>
      </w:pPr>
      <w:r>
        <w:rPr>
          <w:rFonts w:ascii="Calibri" w:cs="Calibri" w:eastAsia="Calibri" w:hAnsi="Calibri"/>
          <w:b/>
          <w:bCs/>
          <w:color w:val="1F3A5F"/>
          <w:sz w:val="21"/>
          <w:szCs w:val="21"/>
        </w:rPr>
        <w:t xml:space="preserve">Evidence</w:t>
      </w:r>
    </w:p>
    <w:p>
      <w:pPr>
        <w:pStyle w:val="ListParagraph"/>
        <w:numPr>
          <w:ilvl w:val="0"/>
          <w:numId w:val="2"/>
        </w:numPr>
        <w:spacing w:after="70" w:line="276" w:lineRule="auto"/>
      </w:pPr>
      <w:r>
        <w:rPr>
          <w:rFonts w:ascii="Calibri" w:cs="Calibri" w:eastAsia="Calibri" w:hAnsi="Calibri"/>
          <w:sz w:val="21"/>
          <w:szCs w:val="21"/>
        </w:rPr>
        <w:t xml:space="preserve">Positive sentiment: 77.63%</w:t>
      </w:r>
    </w:p>
    <w:p>
      <w:pPr>
        <w:pStyle w:val="ListParagraph"/>
        <w:numPr>
          <w:ilvl w:val="0"/>
          <w:numId w:val="2"/>
        </w:numPr>
        <w:spacing w:after="70" w:line="276" w:lineRule="auto"/>
      </w:pPr>
      <w:r>
        <w:rPr>
          <w:rFonts w:ascii="Calibri" w:cs="Calibri" w:eastAsia="Calibri" w:hAnsi="Calibri"/>
          <w:sz w:val="21"/>
          <w:szCs w:val="21"/>
        </w:rPr>
        <w:t xml:space="preserve">Neutral sentiment: 7.77%</w:t>
      </w:r>
    </w:p>
    <w:p>
      <w:pPr>
        <w:pStyle w:val="ListParagraph"/>
        <w:numPr>
          <w:ilvl w:val="0"/>
          <w:numId w:val="2"/>
        </w:numPr>
        <w:spacing w:after="70" w:line="276" w:lineRule="auto"/>
      </w:pPr>
      <w:r>
        <w:rPr>
          <w:rFonts w:ascii="Calibri" w:cs="Calibri" w:eastAsia="Calibri" w:hAnsi="Calibri"/>
          <w:sz w:val="21"/>
          <w:szCs w:val="21"/>
        </w:rPr>
        <w:t xml:space="preserve">Negative sentiment: 14.59%</w:t>
      </w:r>
    </w:p>
    <w:p>
      <w:pPr>
        <w:pStyle w:val="ListParagraph"/>
        <w:numPr>
          <w:ilvl w:val="0"/>
          <w:numId w:val="2"/>
        </w:numPr>
        <w:spacing w:after="70" w:line="276" w:lineRule="auto"/>
      </w:pPr>
      <w:r>
        <w:rPr>
          <w:rFonts w:ascii="Calibri" w:cs="Calibri" w:eastAsia="Calibri" w:hAnsi="Calibri"/>
          <w:sz w:val="21"/>
          <w:szCs w:val="21"/>
        </w:rPr>
        <w:t xml:space="preserve">Sentiment is rating-derived; 17 records are unclassified due to missing ratings</w:t>
      </w:r>
    </w:p>
    <w:p>
      <w:pPr>
        <w:spacing w:after="80" w:before="80" w:line="276" w:lineRule="auto"/>
        <w:jc w:val="left"/>
      </w:pPr>
      <w:r>
        <w:rPr>
          <w:rFonts w:ascii="Calibri" w:cs="Calibri" w:eastAsia="Calibri" w:hAnsi="Calibri"/>
          <w:b/>
          <w:bCs/>
          <w:color w:val="1F3A5F"/>
          <w:sz w:val="21"/>
          <w:szCs w:val="21"/>
        </w:rPr>
        <w:t xml:space="preserve">Business implication: </w:t>
      </w:r>
      <w:r>
        <w:rPr>
          <w:rFonts w:ascii="Calibri" w:cs="Calibri" w:eastAsia="Calibri" w:hAnsi="Calibri"/>
          <w:sz w:val="21"/>
          <w:szCs w:val="21"/>
        </w:rPr>
        <w:t xml:space="preserve">Grocery has a lower negative share than Electronics and Beauty but a higher one than Ebook and Books, so it can now be included in the five-category sentiment comparison.</w:t>
      </w:r>
    </w:p>
    <w:p>
      <w:pPr>
        <w:spacing w:after="200" w:before="0" w:line="276" w:lineRule="auto"/>
        <w:jc w:val="left"/>
      </w:pPr>
      <w:r>
        <w:rPr>
          <w:rFonts w:ascii="Calibri" w:cs="Calibri" w:eastAsia="Calibri" w:hAnsi="Calibri"/>
          <w:b/>
          <w:bCs/>
          <w:color w:val="1F3A5F"/>
          <w:sz w:val="21"/>
          <w:szCs w:val="21"/>
        </w:rPr>
        <w:t xml:space="preserve">Suggested action: </w:t>
      </w:r>
      <w:r>
        <w:rPr>
          <w:rFonts w:ascii="Calibri" w:cs="Calibri" w:eastAsia="Calibri" w:hAnsi="Calibri"/>
          <w:sz w:val="21"/>
          <w:szCs w:val="21"/>
        </w:rPr>
        <w:t xml:space="preserve">Validate the rating-derived sentiment methodology and investigate Grocery's negative reviews.</w:t>
      </w:r>
    </w:p>
    <w:p>
      <w:pPr>
        <w:pStyle w:val="Heading1"/>
        <w:keepNext/>
      </w:pPr>
      <w:r>
        <w:rPr>
          <w:rFonts w:ascii="Calibri" w:cs="Calibri" w:eastAsia="Calibri" w:hAnsi="Calibri"/>
        </w:rPr>
        <w:t xml:space="preserve">9. Consolidated Business Insights</w:t>
      </w:r>
    </w:p>
    <w:p>
      <w:pPr>
        <w:keepNext/>
        <w:spacing w:after="140" w:before="0" w:line="276" w:lineRule="auto"/>
        <w:jc w:val="left"/>
      </w:pPr>
      <w:r>
        <w:rPr>
          <w:rFonts w:ascii="Calibri" w:cs="Calibri" w:eastAsia="Calibri" w:hAnsi="Calibri"/>
          <w:sz w:val="21"/>
          <w:szCs w:val="21"/>
        </w:rPr>
        <w:t xml:space="preserve">The table below brings the findings together, linking each piece of evidence to its business implication and a recommended 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1300"/>
        <w:gridCol w:w="2200"/>
        <w:gridCol w:w="2226"/>
      </w:tblGrid>
      <w:tr>
        <w:trPr>
          <w:cantSplit/>
          <w:tblHeader/>
        </w:trPr>
        <w:tc>
          <w:tcPr>
            <w:tcW w:type="dxa" w:w="1300"/>
            <w:tcBorders>
              <w:top w:val="single" w:color="D0D7DE" w:sz="4"/>
              <w:left w:val="single" w:color="D0D7DE" w:sz="4"/>
              <w:bottom w:val="single" w:color="D0D7DE" w:sz="4"/>
              <w:right w:val="single" w:color="D0D7DE" w:sz="4"/>
            </w:tcBorders>
            <w:shd w:fill="1F3A5F" w:color="auto" w:val="clear"/>
            <w:tcMar>
              <w:top w:type="dxa" w:w="100"/>
              <w:left w:type="dxa" w:w="120"/>
              <w:bottom w:type="dxa" w:w="100"/>
              <w:right w:type="dxa" w:w="120"/>
            </w:tcMar>
            <w:vAlign w:val="center"/>
          </w:tcPr>
          <w:p>
            <w:pPr>
              <w:keepNext/>
              <w:jc w:val="left"/>
            </w:pPr>
            <w:r>
              <w:rPr>
                <w:rFonts w:ascii="Calibri" w:cs="Calibri" w:eastAsia="Calibri" w:hAnsi="Calibri"/>
                <w:b/>
                <w:bCs/>
                <w:color w:val="FFFFFF"/>
                <w:sz w:val="18"/>
                <w:szCs w:val="18"/>
              </w:rPr>
              <w:t xml:space="preserve">Area</w:t>
            </w:r>
          </w:p>
        </w:tc>
        <w:tc>
          <w:tcPr>
            <w:tcW w:type="dxa" w:w="2000"/>
            <w:tcBorders>
              <w:top w:val="single" w:color="D0D7DE" w:sz="4"/>
              <w:left w:val="single" w:color="D0D7DE" w:sz="4"/>
              <w:bottom w:val="single" w:color="D0D7DE" w:sz="4"/>
              <w:right w:val="single" w:color="D0D7DE" w:sz="4"/>
            </w:tcBorders>
            <w:shd w:fill="1F3A5F" w:color="auto" w:val="clear"/>
            <w:tcMar>
              <w:top w:type="dxa" w:w="100"/>
              <w:left w:type="dxa" w:w="120"/>
              <w:bottom w:type="dxa" w:w="100"/>
              <w:right w:type="dxa" w:w="120"/>
            </w:tcMar>
            <w:vAlign w:val="center"/>
          </w:tcPr>
          <w:p>
            <w:pPr>
              <w:keepNext/>
              <w:jc w:val="left"/>
            </w:pPr>
            <w:r>
              <w:rPr>
                <w:rFonts w:ascii="Calibri" w:cs="Calibri" w:eastAsia="Calibri" w:hAnsi="Calibri"/>
                <w:b/>
                <w:bCs/>
                <w:color w:val="FFFFFF"/>
                <w:sz w:val="18"/>
                <w:szCs w:val="18"/>
              </w:rPr>
              <w:t xml:space="preserve">Finding</w:t>
            </w:r>
          </w:p>
        </w:tc>
        <w:tc>
          <w:tcPr>
            <w:tcW w:type="dxa" w:w="1300"/>
            <w:tcBorders>
              <w:top w:val="single" w:color="D0D7DE" w:sz="4"/>
              <w:left w:val="single" w:color="D0D7DE" w:sz="4"/>
              <w:bottom w:val="single" w:color="D0D7DE" w:sz="4"/>
              <w:right w:val="single" w:color="D0D7DE" w:sz="4"/>
            </w:tcBorders>
            <w:shd w:fill="1F3A5F" w:color="auto" w:val="clear"/>
            <w:tcMar>
              <w:top w:type="dxa" w:w="100"/>
              <w:left w:type="dxa" w:w="120"/>
              <w:bottom w:type="dxa" w:w="100"/>
              <w:right w:type="dxa" w:w="120"/>
            </w:tcMar>
            <w:vAlign w:val="center"/>
          </w:tcPr>
          <w:p>
            <w:pPr>
              <w:keepNext/>
              <w:jc w:val="left"/>
            </w:pPr>
            <w:r>
              <w:rPr>
                <w:rFonts w:ascii="Calibri" w:cs="Calibri" w:eastAsia="Calibri" w:hAnsi="Calibri"/>
                <w:b/>
                <w:bCs/>
                <w:color w:val="FFFFFF"/>
                <w:sz w:val="18"/>
                <w:szCs w:val="18"/>
              </w:rPr>
              <w:t xml:space="preserve">Evidence</w:t>
            </w:r>
          </w:p>
        </w:tc>
        <w:tc>
          <w:tcPr>
            <w:tcW w:type="dxa" w:w="2200"/>
            <w:tcBorders>
              <w:top w:val="single" w:color="D0D7DE" w:sz="4"/>
              <w:left w:val="single" w:color="D0D7DE" w:sz="4"/>
              <w:bottom w:val="single" w:color="D0D7DE" w:sz="4"/>
              <w:right w:val="single" w:color="D0D7DE" w:sz="4"/>
            </w:tcBorders>
            <w:shd w:fill="1F3A5F" w:color="auto" w:val="clear"/>
            <w:tcMar>
              <w:top w:type="dxa" w:w="100"/>
              <w:left w:type="dxa" w:w="120"/>
              <w:bottom w:type="dxa" w:w="100"/>
              <w:right w:type="dxa" w:w="120"/>
            </w:tcMar>
            <w:vAlign w:val="center"/>
          </w:tcPr>
          <w:p>
            <w:pPr>
              <w:keepNext/>
              <w:jc w:val="left"/>
            </w:pPr>
            <w:r>
              <w:rPr>
                <w:rFonts w:ascii="Calibri" w:cs="Calibri" w:eastAsia="Calibri" w:hAnsi="Calibri"/>
                <w:b/>
                <w:bCs/>
                <w:color w:val="FFFFFF"/>
                <w:sz w:val="18"/>
                <w:szCs w:val="18"/>
              </w:rPr>
              <w:t xml:space="preserve">Business Implication</w:t>
            </w:r>
          </w:p>
        </w:tc>
        <w:tc>
          <w:tcPr>
            <w:tcW w:type="dxa" w:w="2226"/>
            <w:tcBorders>
              <w:top w:val="single" w:color="D0D7DE" w:sz="4"/>
              <w:left w:val="single" w:color="D0D7DE" w:sz="4"/>
              <w:bottom w:val="single" w:color="D0D7DE" w:sz="4"/>
              <w:right w:val="single" w:color="D0D7DE" w:sz="4"/>
            </w:tcBorders>
            <w:shd w:fill="1F3A5F" w:color="auto" w:val="clear"/>
            <w:tcMar>
              <w:top w:type="dxa" w:w="100"/>
              <w:left w:type="dxa" w:w="120"/>
              <w:bottom w:type="dxa" w:w="100"/>
              <w:right w:type="dxa" w:w="120"/>
            </w:tcMar>
            <w:vAlign w:val="center"/>
          </w:tcPr>
          <w:p>
            <w:pPr>
              <w:keepNext/>
              <w:jc w:val="left"/>
            </w:pPr>
            <w:r>
              <w:rPr>
                <w:rFonts w:ascii="Calibri" w:cs="Calibri" w:eastAsia="Calibri" w:hAnsi="Calibri"/>
                <w:b/>
                <w:bCs/>
                <w:color w:val="FFFFFF"/>
                <w:sz w:val="18"/>
                <w:szCs w:val="18"/>
              </w:rPr>
              <w:t xml:space="preserve">Recommended Action</w:t>
            </w:r>
          </w:p>
        </w:tc>
      </w:tr>
      <w:tr>
        <w:trPr>
          <w:cantSplit/>
        </w:trPr>
        <w:tc>
          <w:tcPr>
            <w:tcW w:type="dxa" w:w="13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left"/>
            </w:pPr>
            <w:r>
              <w:rPr>
                <w:rFonts w:ascii="Calibri" w:cs="Calibri" w:eastAsia="Calibri" w:hAnsi="Calibri"/>
                <w:b/>
                <w:bCs/>
                <w:sz w:val="18"/>
                <w:szCs w:val="18"/>
              </w:rPr>
              <w:t xml:space="preserve">Customer Satisfaction</w:t>
            </w:r>
          </w:p>
        </w:tc>
        <w:tc>
          <w:tcPr>
            <w:tcW w:type="dxa" w:w="20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left"/>
            </w:pPr>
            <w:r>
              <w:rPr>
                <w:rFonts w:ascii="Calibri" w:cs="Calibri" w:eastAsia="Calibri" w:hAnsi="Calibri"/>
                <w:b w:val="false"/>
                <w:bCs w:val="false"/>
                <w:sz w:val="18"/>
                <w:szCs w:val="18"/>
              </w:rPr>
              <w:t xml:space="preserve">Electronics has lower average rating</w:t>
            </w:r>
          </w:p>
        </w:tc>
        <w:tc>
          <w:tcPr>
            <w:tcW w:type="dxa" w:w="13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left"/>
            </w:pPr>
            <w:r>
              <w:rPr>
                <w:rFonts w:ascii="Calibri" w:cs="Calibri" w:eastAsia="Calibri" w:hAnsi="Calibri"/>
                <w:b w:val="false"/>
                <w:bCs w:val="false"/>
                <w:sz w:val="18"/>
                <w:szCs w:val="18"/>
              </w:rPr>
              <w:t xml:space="preserve">3.59 rating</w:t>
            </w:r>
          </w:p>
        </w:tc>
        <w:tc>
          <w:tcPr>
            <w:tcW w:type="dxa" w:w="22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left"/>
            </w:pPr>
            <w:r>
              <w:rPr>
                <w:rFonts w:ascii="Calibri" w:cs="Calibri" w:eastAsia="Calibri" w:hAnsi="Calibri"/>
                <w:b w:val="false"/>
                <w:bCs w:val="false"/>
                <w:sz w:val="18"/>
                <w:szCs w:val="18"/>
              </w:rPr>
              <w:t xml:space="preserve">Requires deeper investigation</w:t>
            </w:r>
          </w:p>
        </w:tc>
        <w:tc>
          <w:tcPr>
            <w:tcW w:type="dxa" w:w="2226"/>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left"/>
            </w:pPr>
            <w:r>
              <w:rPr>
                <w:rFonts w:ascii="Calibri" w:cs="Calibri" w:eastAsia="Calibri" w:hAnsi="Calibri"/>
                <w:b w:val="false"/>
                <w:bCs w:val="false"/>
                <w:sz w:val="18"/>
                <w:szCs w:val="18"/>
              </w:rPr>
              <w:t xml:space="preserve">Analyze Electronics products and reviews</w:t>
            </w:r>
          </w:p>
        </w:tc>
      </w:tr>
      <w:tr>
        <w:trPr>
          <w:cantSplit/>
        </w:trPr>
        <w:tc>
          <w:tcPr>
            <w:tcW w:type="dxa" w:w="1300"/>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left"/>
            </w:pPr>
            <w:r>
              <w:rPr>
                <w:rFonts w:ascii="Calibri" w:cs="Calibri" w:eastAsia="Calibri" w:hAnsi="Calibri"/>
                <w:b/>
                <w:bCs/>
                <w:sz w:val="18"/>
                <w:szCs w:val="18"/>
              </w:rPr>
              <w:t xml:space="preserve">Sentiment</w:t>
            </w:r>
          </w:p>
        </w:tc>
        <w:tc>
          <w:tcPr>
            <w:tcW w:type="dxa" w:w="2000"/>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left"/>
            </w:pPr>
            <w:r>
              <w:rPr>
                <w:rFonts w:ascii="Calibri" w:cs="Calibri" w:eastAsia="Calibri" w:hAnsi="Calibri"/>
                <w:b w:val="false"/>
                <w:bCs w:val="false"/>
                <w:sz w:val="18"/>
                <w:szCs w:val="18"/>
              </w:rPr>
              <w:t xml:space="preserve">Electronics has highest classified negative %</w:t>
            </w:r>
          </w:p>
        </w:tc>
        <w:tc>
          <w:tcPr>
            <w:tcW w:type="dxa" w:w="1300"/>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left"/>
            </w:pPr>
            <w:r>
              <w:rPr>
                <w:rFonts w:ascii="Calibri" w:cs="Calibri" w:eastAsia="Calibri" w:hAnsi="Calibri"/>
                <w:b w:val="false"/>
                <w:bCs w:val="false"/>
                <w:sz w:val="18"/>
                <w:szCs w:val="18"/>
              </w:rPr>
              <w:t xml:space="preserve">29.52%</w:t>
            </w:r>
          </w:p>
        </w:tc>
        <w:tc>
          <w:tcPr>
            <w:tcW w:type="dxa" w:w="2200"/>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left"/>
            </w:pPr>
            <w:r>
              <w:rPr>
                <w:rFonts w:ascii="Calibri" w:cs="Calibri" w:eastAsia="Calibri" w:hAnsi="Calibri"/>
                <w:b w:val="false"/>
                <w:bCs w:val="false"/>
                <w:sz w:val="18"/>
                <w:szCs w:val="18"/>
              </w:rPr>
              <w:t xml:space="preserve">Higher dissatisfaction signal</w:t>
            </w:r>
          </w:p>
        </w:tc>
        <w:tc>
          <w:tcPr>
            <w:tcW w:type="dxa" w:w="2226"/>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left"/>
            </w:pPr>
            <w:r>
              <w:rPr>
                <w:rFonts w:ascii="Calibri" w:cs="Calibri" w:eastAsia="Calibri" w:hAnsi="Calibri"/>
                <w:b w:val="false"/>
                <w:bCs w:val="false"/>
                <w:sz w:val="18"/>
                <w:szCs w:val="18"/>
              </w:rPr>
              <w:t xml:space="preserve">Investigate negative feedback</w:t>
            </w:r>
          </w:p>
        </w:tc>
      </w:tr>
      <w:tr>
        <w:trPr>
          <w:cantSplit/>
        </w:trPr>
        <w:tc>
          <w:tcPr>
            <w:tcW w:type="dxa" w:w="13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left"/>
            </w:pPr>
            <w:r>
              <w:rPr>
                <w:rFonts w:ascii="Calibri" w:cs="Calibri" w:eastAsia="Calibri" w:hAnsi="Calibri"/>
                <w:b/>
                <w:bCs/>
                <w:sz w:val="18"/>
                <w:szCs w:val="18"/>
              </w:rPr>
              <w:t xml:space="preserve">Product Quality</w:t>
            </w:r>
          </w:p>
        </w:tc>
        <w:tc>
          <w:tcPr>
            <w:tcW w:type="dxa" w:w="20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left"/>
            </w:pPr>
            <w:r>
              <w:rPr>
                <w:rFonts w:ascii="Calibri" w:cs="Calibri" w:eastAsia="Calibri" w:hAnsi="Calibri"/>
                <w:b w:val="false"/>
                <w:bCs w:val="false"/>
                <w:sz w:val="18"/>
                <w:szCs w:val="18"/>
              </w:rPr>
              <w:t xml:space="preserve">Electronics has quality-related indicators</w:t>
            </w:r>
          </w:p>
        </w:tc>
        <w:tc>
          <w:tcPr>
            <w:tcW w:type="dxa" w:w="13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left"/>
            </w:pPr>
            <w:r>
              <w:rPr>
                <w:rFonts w:ascii="Calibri" w:cs="Calibri" w:eastAsia="Calibri" w:hAnsi="Calibri"/>
                <w:b w:val="false"/>
                <w:bCs w:val="false"/>
                <w:sz w:val="18"/>
                <w:szCs w:val="18"/>
              </w:rPr>
              <w:t xml:space="preserve">13.15%</w:t>
            </w:r>
          </w:p>
        </w:tc>
        <w:tc>
          <w:tcPr>
            <w:tcW w:type="dxa" w:w="22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left"/>
            </w:pPr>
            <w:r>
              <w:rPr>
                <w:rFonts w:ascii="Calibri" w:cs="Calibri" w:eastAsia="Calibri" w:hAnsi="Calibri"/>
                <w:b w:val="false"/>
                <w:bCs w:val="false"/>
                <w:sz w:val="18"/>
                <w:szCs w:val="18"/>
              </w:rPr>
              <w:t xml:space="preserve">Possible quality concerns</w:t>
            </w:r>
          </w:p>
        </w:tc>
        <w:tc>
          <w:tcPr>
            <w:tcW w:type="dxa" w:w="2226"/>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left"/>
            </w:pPr>
            <w:r>
              <w:rPr>
                <w:rFonts w:ascii="Calibri" w:cs="Calibri" w:eastAsia="Calibri" w:hAnsi="Calibri"/>
                <w:b w:val="false"/>
                <w:bCs w:val="false"/>
                <w:sz w:val="18"/>
                <w:szCs w:val="18"/>
              </w:rPr>
              <w:t xml:space="preserve">Examine recurring review themes</w:t>
            </w:r>
          </w:p>
        </w:tc>
      </w:tr>
      <w:tr>
        <w:trPr>
          <w:cantSplit/>
        </w:trPr>
        <w:tc>
          <w:tcPr>
            <w:tcW w:type="dxa" w:w="1300"/>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left"/>
            </w:pPr>
            <w:r>
              <w:rPr>
                <w:rFonts w:ascii="Calibri" w:cs="Calibri" w:eastAsia="Calibri" w:hAnsi="Calibri"/>
                <w:b/>
                <w:bCs/>
                <w:sz w:val="18"/>
                <w:szCs w:val="18"/>
              </w:rPr>
              <w:t xml:space="preserve">Product Condition</w:t>
            </w:r>
          </w:p>
        </w:tc>
        <w:tc>
          <w:tcPr>
            <w:tcW w:type="dxa" w:w="2000"/>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left"/>
            </w:pPr>
            <w:r>
              <w:rPr>
                <w:rFonts w:ascii="Calibri" w:cs="Calibri" w:eastAsia="Calibri" w:hAnsi="Calibri"/>
                <w:b w:val="false"/>
                <w:bCs w:val="false"/>
                <w:sz w:val="18"/>
                <w:szCs w:val="18"/>
              </w:rPr>
              <w:t xml:space="preserve">Electronics has condition-related indicators</w:t>
            </w:r>
          </w:p>
        </w:tc>
        <w:tc>
          <w:tcPr>
            <w:tcW w:type="dxa" w:w="1300"/>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left"/>
            </w:pPr>
            <w:r>
              <w:rPr>
                <w:rFonts w:ascii="Calibri" w:cs="Calibri" w:eastAsia="Calibri" w:hAnsi="Calibri"/>
                <w:b w:val="false"/>
                <w:bCs w:val="false"/>
                <w:sz w:val="18"/>
                <w:szCs w:val="18"/>
              </w:rPr>
              <w:t xml:space="preserve">10.55%</w:t>
            </w:r>
          </w:p>
        </w:tc>
        <w:tc>
          <w:tcPr>
            <w:tcW w:type="dxa" w:w="2200"/>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left"/>
            </w:pPr>
            <w:r>
              <w:rPr>
                <w:rFonts w:ascii="Calibri" w:cs="Calibri" w:eastAsia="Calibri" w:hAnsi="Calibri"/>
                <w:b w:val="false"/>
                <w:bCs w:val="false"/>
                <w:sz w:val="18"/>
                <w:szCs w:val="18"/>
              </w:rPr>
              <w:t xml:space="preserve">Possible functionality or condition concerns</w:t>
            </w:r>
          </w:p>
        </w:tc>
        <w:tc>
          <w:tcPr>
            <w:tcW w:type="dxa" w:w="2226"/>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left"/>
            </w:pPr>
            <w:r>
              <w:rPr>
                <w:rFonts w:ascii="Calibri" w:cs="Calibri" w:eastAsia="Calibri" w:hAnsi="Calibri"/>
                <w:b w:val="false"/>
                <w:bCs w:val="false"/>
                <w:sz w:val="18"/>
                <w:szCs w:val="18"/>
              </w:rPr>
              <w:t xml:space="preserve">Analyze affected products</w:t>
            </w:r>
          </w:p>
        </w:tc>
      </w:tr>
      <w:tr>
        <w:trPr>
          <w:cantSplit/>
        </w:trPr>
        <w:tc>
          <w:tcPr>
            <w:tcW w:type="dxa" w:w="13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left"/>
            </w:pPr>
            <w:r>
              <w:rPr>
                <w:rFonts w:ascii="Calibri" w:cs="Calibri" w:eastAsia="Calibri" w:hAnsi="Calibri"/>
                <w:b/>
                <w:bCs/>
                <w:sz w:val="18"/>
                <w:szCs w:val="18"/>
              </w:rPr>
              <w:t xml:space="preserve">Beauty</w:t>
            </w:r>
          </w:p>
        </w:tc>
        <w:tc>
          <w:tcPr>
            <w:tcW w:type="dxa" w:w="20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left"/>
            </w:pPr>
            <w:r>
              <w:rPr>
                <w:rFonts w:ascii="Calibri" w:cs="Calibri" w:eastAsia="Calibri" w:hAnsi="Calibri"/>
                <w:b w:val="false"/>
                <w:bCs w:val="false"/>
                <w:sz w:val="18"/>
                <w:szCs w:val="18"/>
              </w:rPr>
              <w:t xml:space="preserve">Quality and condition indicators present</w:t>
            </w:r>
          </w:p>
        </w:tc>
        <w:tc>
          <w:tcPr>
            <w:tcW w:type="dxa" w:w="13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left"/>
            </w:pPr>
            <w:r>
              <w:rPr>
                <w:rFonts w:ascii="Calibri" w:cs="Calibri" w:eastAsia="Calibri" w:hAnsi="Calibri"/>
                <w:b w:val="false"/>
                <w:bCs w:val="false"/>
                <w:sz w:val="18"/>
                <w:szCs w:val="18"/>
              </w:rPr>
              <w:t xml:space="preserve">5.18%, 4.96%</w:t>
            </w:r>
          </w:p>
        </w:tc>
        <w:tc>
          <w:tcPr>
            <w:tcW w:type="dxa" w:w="22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left"/>
            </w:pPr>
            <w:r>
              <w:rPr>
                <w:rFonts w:ascii="Calibri" w:cs="Calibri" w:eastAsia="Calibri" w:hAnsi="Calibri"/>
                <w:b w:val="false"/>
                <w:bCs w:val="false"/>
                <w:sz w:val="18"/>
                <w:szCs w:val="18"/>
              </w:rPr>
              <w:t xml:space="preserve">Potential improvement areas</w:t>
            </w:r>
          </w:p>
        </w:tc>
        <w:tc>
          <w:tcPr>
            <w:tcW w:type="dxa" w:w="2226"/>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jc w:val="left"/>
            </w:pPr>
            <w:r>
              <w:rPr>
                <w:rFonts w:ascii="Calibri" w:cs="Calibri" w:eastAsia="Calibri" w:hAnsi="Calibri"/>
                <w:b w:val="false"/>
                <w:bCs w:val="false"/>
                <w:sz w:val="18"/>
                <w:szCs w:val="18"/>
              </w:rPr>
              <w:t xml:space="preserve">Examine negative reviews</w:t>
            </w:r>
          </w:p>
        </w:tc>
      </w:tr>
      <w:tr>
        <w:trPr>
          <w:cantSplit/>
        </w:trPr>
        <w:tc>
          <w:tcPr>
            <w:tcW w:type="dxa" w:w="1300"/>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left"/>
            </w:pPr>
            <w:r>
              <w:rPr>
                <w:rFonts w:ascii="Calibri" w:cs="Calibri" w:eastAsia="Calibri" w:hAnsi="Calibri"/>
                <w:b/>
                <w:bCs/>
                <w:sz w:val="18"/>
                <w:szCs w:val="18"/>
              </w:rPr>
              <w:t xml:space="preserve">Ebook</w:t>
            </w:r>
          </w:p>
        </w:tc>
        <w:tc>
          <w:tcPr>
            <w:tcW w:type="dxa" w:w="2000"/>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left"/>
            </w:pPr>
            <w:r>
              <w:rPr>
                <w:rFonts w:ascii="Calibri" w:cs="Calibri" w:eastAsia="Calibri" w:hAnsi="Calibri"/>
                <w:b w:val="false"/>
                <w:bCs w:val="false"/>
                <w:sz w:val="18"/>
                <w:szCs w:val="18"/>
              </w:rPr>
              <w:t xml:space="preserve">Some individual products have low ratings</w:t>
            </w:r>
          </w:p>
        </w:tc>
        <w:tc>
          <w:tcPr>
            <w:tcW w:type="dxa" w:w="1300"/>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left"/>
            </w:pPr>
            <w:r>
              <w:rPr>
                <w:rFonts w:ascii="Calibri" w:cs="Calibri" w:eastAsia="Calibri" w:hAnsi="Calibri"/>
                <w:b w:val="false"/>
                <w:bCs w:val="false"/>
                <w:sz w:val="18"/>
                <w:szCs w:val="18"/>
              </w:rPr>
              <w:t xml:space="preserve">Query 23</w:t>
            </w:r>
          </w:p>
        </w:tc>
        <w:tc>
          <w:tcPr>
            <w:tcW w:type="dxa" w:w="2200"/>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left"/>
            </w:pPr>
            <w:r>
              <w:rPr>
                <w:rFonts w:ascii="Calibri" w:cs="Calibri" w:eastAsia="Calibri" w:hAnsi="Calibri"/>
                <w:b w:val="false"/>
                <w:bCs w:val="false"/>
                <w:sz w:val="18"/>
                <w:szCs w:val="18"/>
              </w:rPr>
              <w:t xml:space="preserve">Category average may hide product issues</w:t>
            </w:r>
          </w:p>
        </w:tc>
        <w:tc>
          <w:tcPr>
            <w:tcW w:type="dxa" w:w="2226"/>
            <w:tcBorders>
              <w:top w:val="single" w:color="D0D7DE" w:sz="4"/>
              <w:left w:val="single" w:color="D0D7DE" w:sz="4"/>
              <w:bottom w:val="single" w:color="D0D7DE" w:sz="4"/>
              <w:right w:val="single" w:color="D0D7DE" w:sz="4"/>
            </w:tcBorders>
            <w:shd w:fill="F5F8FB" w:color="auto" w:val="clear"/>
            <w:tcMar>
              <w:top w:type="dxa" w:w="90"/>
              <w:left w:type="dxa" w:w="120"/>
              <w:bottom w:type="dxa" w:w="90"/>
              <w:right w:type="dxa" w:w="120"/>
            </w:tcMar>
            <w:vAlign w:val="center"/>
          </w:tcPr>
          <w:p>
            <w:pPr>
              <w:keepNext/>
              <w:jc w:val="left"/>
            </w:pPr>
            <w:r>
              <w:rPr>
                <w:rFonts w:ascii="Calibri" w:cs="Calibri" w:eastAsia="Calibri" w:hAnsi="Calibri"/>
                <w:b w:val="false"/>
                <w:bCs w:val="false"/>
                <w:sz w:val="18"/>
                <w:szCs w:val="18"/>
              </w:rPr>
              <w:t xml:space="preserve">Perform product-level analysis</w:t>
            </w:r>
          </w:p>
        </w:tc>
      </w:tr>
      <w:tr>
        <w:trPr>
          <w:cantSplit/>
        </w:trPr>
        <w:tc>
          <w:tcPr>
            <w:tcW w:type="dxa" w:w="13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val="false"/>
              <w:jc w:val="left"/>
            </w:pPr>
            <w:r>
              <w:rPr>
                <w:rFonts w:ascii="Calibri" w:cs="Calibri" w:eastAsia="Calibri" w:hAnsi="Calibri"/>
                <w:b/>
                <w:bCs/>
                <w:sz w:val="18"/>
                <w:szCs w:val="18"/>
              </w:rPr>
              <w:t xml:space="preserve">Grocery</w:t>
            </w:r>
          </w:p>
        </w:tc>
        <w:tc>
          <w:tcPr>
            <w:tcW w:type="dxa" w:w="20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val="false"/>
              <w:jc w:val="left"/>
            </w:pPr>
            <w:r>
              <w:rPr>
                <w:rFonts w:ascii="Calibri" w:cs="Calibri" w:eastAsia="Calibri" w:hAnsi="Calibri"/>
                <w:b w:val="false"/>
                <w:bCs w:val="false"/>
                <w:sz w:val="18"/>
                <w:szCs w:val="18"/>
              </w:rPr>
              <w:t xml:space="preserve">Rating-derived sentiment now available</w:t>
            </w:r>
          </w:p>
        </w:tc>
        <w:tc>
          <w:tcPr>
            <w:tcW w:type="dxa" w:w="13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val="false"/>
              <w:jc w:val="left"/>
            </w:pPr>
            <w:r>
              <w:rPr>
                <w:rFonts w:ascii="Calibri" w:cs="Calibri" w:eastAsia="Calibri" w:hAnsi="Calibri"/>
                <w:b w:val="false"/>
                <w:bCs w:val="false"/>
                <w:sz w:val="18"/>
                <w:szCs w:val="18"/>
              </w:rPr>
              <w:t xml:space="preserve">14.59% negative</w:t>
            </w:r>
          </w:p>
        </w:tc>
        <w:tc>
          <w:tcPr>
            <w:tcW w:type="dxa" w:w="2200"/>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val="false"/>
              <w:jc w:val="left"/>
            </w:pPr>
            <w:r>
              <w:rPr>
                <w:rFonts w:ascii="Calibri" w:cs="Calibri" w:eastAsia="Calibri" w:hAnsi="Calibri"/>
                <w:b w:val="false"/>
                <w:bCs w:val="false"/>
                <w:sz w:val="18"/>
                <w:szCs w:val="18"/>
              </w:rPr>
              <w:t xml:space="preserve">Third-highest negative share, after Electronics and Beauty</w:t>
            </w:r>
          </w:p>
        </w:tc>
        <w:tc>
          <w:tcPr>
            <w:tcW w:type="dxa" w:w="2226"/>
            <w:tcBorders>
              <w:top w:val="single" w:color="D0D7DE" w:sz="4"/>
              <w:left w:val="single" w:color="D0D7DE" w:sz="4"/>
              <w:bottom w:val="single" w:color="D0D7DE" w:sz="4"/>
              <w:right w:val="single" w:color="D0D7DE" w:sz="4"/>
            </w:tcBorders>
            <w:shd w:fill="FFFFFF" w:color="auto" w:val="clear"/>
            <w:tcMar>
              <w:top w:type="dxa" w:w="90"/>
              <w:left w:type="dxa" w:w="120"/>
              <w:bottom w:type="dxa" w:w="90"/>
              <w:right w:type="dxa" w:w="120"/>
            </w:tcMar>
            <w:vAlign w:val="center"/>
          </w:tcPr>
          <w:p>
            <w:pPr>
              <w:keepNext w:val="false"/>
              <w:jc w:val="left"/>
            </w:pPr>
            <w:r>
              <w:rPr>
                <w:rFonts w:ascii="Calibri" w:cs="Calibri" w:eastAsia="Calibri" w:hAnsi="Calibri"/>
                <w:b w:val="false"/>
                <w:bCs w:val="false"/>
                <w:sz w:val="18"/>
                <w:szCs w:val="18"/>
              </w:rPr>
              <w:t xml:space="preserve">Validate method and investigate negative reviews</w:t>
            </w:r>
          </w:p>
        </w:tc>
      </w:tr>
    </w:tbl>
    <w:p>
      <w:pPr>
        <w:spacing w:after="200" w:before="60" w:line="276" w:lineRule="auto"/>
        <w:jc w:val="left"/>
      </w:pPr>
      <w:r>
        <w:rPr>
          <w:rFonts w:ascii="Calibri" w:cs="Calibri" w:eastAsia="Calibri" w:hAnsi="Calibri"/>
          <w:i/>
          <w:iCs/>
          <w:color w:val="595959"/>
          <w:sz w:val="17"/>
          <w:szCs w:val="17"/>
        </w:rPr>
        <w:t xml:space="preserve">Table 9. Consolidated findings, implications and recommended actions.</w:t>
      </w:r>
    </w:p>
    <w:p>
      <w:pPr>
        <w:pStyle w:val="Heading1"/>
        <w:keepNext/>
      </w:pPr>
      <w:r>
        <w:rPr>
          <w:rFonts w:ascii="Calibri" w:cs="Calibri" w:eastAsia="Calibri" w:hAnsi="Calibri"/>
        </w:rPr>
        <w:t xml:space="preserve">10. Next Steps</w:t>
      </w:r>
    </w:p>
    <w:p>
      <w:pPr>
        <w:pStyle w:val="ListParagraph"/>
        <w:numPr>
          <w:ilvl w:val="0"/>
          <w:numId w:val="2"/>
        </w:numPr>
        <w:spacing w:after="70" w:line="276" w:lineRule="auto"/>
      </w:pPr>
      <w:r>
        <w:rPr>
          <w:rFonts w:ascii="Calibri" w:cs="Calibri" w:eastAsia="Calibri" w:hAnsi="Calibri"/>
          <w:b/>
          <w:bCs/>
          <w:sz w:val="21"/>
          <w:szCs w:val="21"/>
        </w:rPr>
        <w:t xml:space="preserve">Electronics: </w:t>
      </w:r>
      <w:r>
        <w:rPr>
          <w:rFonts w:ascii="Calibri" w:cs="Calibri" w:eastAsia="Calibri" w:hAnsi="Calibri"/>
          <w:sz w:val="21"/>
          <w:szCs w:val="21"/>
        </w:rPr>
        <w:t xml:space="preserve">analyze negative reviews product by product and group recurring performance and quality complaints.</w:t>
      </w:r>
    </w:p>
    <w:p>
      <w:pPr>
        <w:pStyle w:val="ListParagraph"/>
        <w:numPr>
          <w:ilvl w:val="0"/>
          <w:numId w:val="2"/>
        </w:numPr>
        <w:spacing w:after="70" w:line="276" w:lineRule="auto"/>
      </w:pPr>
      <w:r>
        <w:rPr>
          <w:rFonts w:ascii="Calibri" w:cs="Calibri" w:eastAsia="Calibri" w:hAnsi="Calibri"/>
          <w:b/>
          <w:bCs/>
          <w:sz w:val="21"/>
          <w:szCs w:val="21"/>
        </w:rPr>
        <w:t xml:space="preserve">Beauty: </w:t>
      </w:r>
      <w:r>
        <w:rPr>
          <w:rFonts w:ascii="Calibri" w:cs="Calibri" w:eastAsia="Calibri" w:hAnsi="Calibri"/>
          <w:sz w:val="21"/>
          <w:szCs w:val="21"/>
        </w:rPr>
        <w:t xml:space="preserve">identify the specific products and complaint themes behind the quality, condition and price signals.</w:t>
      </w:r>
    </w:p>
    <w:p>
      <w:pPr>
        <w:pStyle w:val="ListParagraph"/>
        <w:numPr>
          <w:ilvl w:val="0"/>
          <w:numId w:val="2"/>
        </w:numPr>
        <w:spacing w:after="70" w:line="276" w:lineRule="auto"/>
      </w:pPr>
      <w:r>
        <w:rPr>
          <w:rFonts w:ascii="Calibri" w:cs="Calibri" w:eastAsia="Calibri" w:hAnsi="Calibri"/>
          <w:b/>
          <w:bCs/>
          <w:sz w:val="21"/>
          <w:szCs w:val="21"/>
        </w:rPr>
        <w:t xml:space="preserve">Ebook: </w:t>
      </w:r>
      <w:r>
        <w:rPr>
          <w:rFonts w:ascii="Calibri" w:cs="Calibri" w:eastAsia="Calibri" w:hAnsi="Calibri"/>
          <w:sz w:val="21"/>
          <w:szCs w:val="21"/>
        </w:rPr>
        <w:t xml:space="preserve">review the low-rated products from Query 23 individually.</w:t>
      </w:r>
    </w:p>
    <w:p>
      <w:pPr>
        <w:pStyle w:val="ListParagraph"/>
        <w:numPr>
          <w:ilvl w:val="0"/>
          <w:numId w:val="2"/>
        </w:numPr>
        <w:spacing w:after="70" w:line="276" w:lineRule="auto"/>
      </w:pPr>
      <w:r>
        <w:rPr>
          <w:rFonts w:ascii="Calibri" w:cs="Calibri" w:eastAsia="Calibri" w:hAnsi="Calibri"/>
          <w:b/>
          <w:bCs/>
          <w:sz w:val="21"/>
          <w:szCs w:val="21"/>
        </w:rPr>
        <w:t xml:space="preserve">Grocery: </w:t>
      </w:r>
      <w:r>
        <w:rPr>
          <w:rFonts w:ascii="Calibri" w:cs="Calibri" w:eastAsia="Calibri" w:hAnsi="Calibri"/>
          <w:sz w:val="21"/>
          <w:szCs w:val="21"/>
        </w:rPr>
        <w:t xml:space="preserve">validate the rating-derived sentiment methodology and investigate Grocery's negative reviews. The keyword pain-point indicators do not yet cover Grocery.</w:t>
      </w:r>
    </w:p>
    <w:p>
      <w:pPr>
        <w:pStyle w:val="ListParagraph"/>
        <w:numPr>
          <w:ilvl w:val="0"/>
          <w:numId w:val="2"/>
        </w:numPr>
        <w:spacing w:after="70" w:line="276" w:lineRule="auto"/>
      </w:pPr>
      <w:r>
        <w:rPr>
          <w:rFonts w:ascii="Calibri" w:cs="Calibri" w:eastAsia="Calibri" w:hAnsi="Calibri"/>
          <w:b/>
          <w:bCs/>
          <w:sz w:val="21"/>
          <w:szCs w:val="21"/>
        </w:rPr>
        <w:t xml:space="preserve">Validation: </w:t>
      </w:r>
      <w:r>
        <w:rPr>
          <w:rFonts w:ascii="Calibri" w:cs="Calibri" w:eastAsia="Calibri" w:hAnsi="Calibri"/>
          <w:sz w:val="21"/>
          <w:szCs w:val="21"/>
        </w:rPr>
        <w:t xml:space="preserve">confirm the keyword indicators through review-text analysis before treating them as confirmed pain points.</w:t>
      </w:r>
    </w:p>
    <w:p>
      <w:pPr>
        <w:pStyle w:val="ListParagraph"/>
        <w:numPr>
          <w:ilvl w:val="0"/>
          <w:numId w:val="2"/>
        </w:numPr>
        <w:spacing w:after="70" w:line="276" w:lineRule="auto"/>
      </w:pPr>
      <w:r>
        <w:rPr>
          <w:rFonts w:ascii="Calibri" w:cs="Calibri" w:eastAsia="Calibri" w:hAnsi="Calibri"/>
          <w:b/>
          <w:bCs/>
          <w:sz w:val="21"/>
          <w:szCs w:val="21"/>
        </w:rPr>
        <w:t xml:space="preserve">Reporting: </w:t>
      </w:r>
      <w:r>
        <w:rPr>
          <w:rFonts w:ascii="Calibri" w:cs="Calibri" w:eastAsia="Calibri" w:hAnsi="Calibri"/>
          <w:sz w:val="21"/>
          <w:szCs w:val="21"/>
        </w:rPr>
        <w:t xml:space="preserve">carry the validated findings into the Power BI dashboard.</w:t>
      </w:r>
    </w:p>
    <w:sectPr>
      <w:headerReference w:type="default" r:id="rId7"/>
      <w:headerReference w:type="first" r:id="rId8"/>
      <w:footerReference w:type="default" r:id="rId9"/>
      <w:footerReference w:type="first" r:id="rId10"/>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7"/>
        <w:szCs w:val="17"/>
      </w:rPr>
      <w:t xml:space="preserve">Page </w:t>
    </w:r>
    <w:r>
      <w:rPr>
        <w:rFonts w:ascii="Calibri" w:cs="Calibri" w:eastAsia="Calibri" w:hAnsi="Calibri"/>
        <w:color w:val="595959"/>
        <w:sz w:val="17"/>
        <w:szCs w:val="17"/>
      </w:rPr>
      <w:fldChar w:fldCharType="begin"/>
      <w:instrText xml:space="preserve">PAGE</w:instrText>
      <w:fldChar w:fldCharType="separate"/>
      <w:fldChar w:fldCharType="end"/>
    </w:r>
    <w:r>
      <w:rPr>
        <w:rFonts w:ascii="Calibri" w:cs="Calibri" w:eastAsia="Calibri" w:hAnsi="Calibri"/>
        <w:color w:val="595959"/>
        <w:sz w:val="17"/>
        <w:szCs w:val="17"/>
      </w:rPr>
      <w:t xml:space="preserve"> of </w:t>
    </w:r>
    <w:r>
      <w:rPr>
        <w:rFonts w:ascii="Calibri" w:cs="Calibri" w:eastAsia="Calibri" w:hAnsi="Calibri"/>
        <w:color w:val="595959"/>
        <w:sz w:val="17"/>
        <w:szCs w:val="17"/>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E" w:sz="4" w:space="4"/>
      </w:pBdr>
      <w:jc w:val="right"/>
    </w:pPr>
    <w:r>
      <w:rPr>
        <w:rFonts w:ascii="Calibri" w:cs="Calibri" w:eastAsia="Calibri" w:hAnsi="Calibri"/>
        <w:color w:val="595959"/>
        <w:sz w:val="17"/>
        <w:szCs w:val="17"/>
      </w:rPr>
      <w:t xml:space="preserve">Amazon Customer Feedback Intelligence – Business Insights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2E75B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Amazon Customer Feedback Intelligence – Business Insights</dc:title>
  <dc:creator>Thangeshwari I G</dc:creator>
  <cp:lastModifiedBy>Un-named</cp:lastModifiedBy>
  <cp:revision>1</cp:revision>
  <dcterms:created xsi:type="dcterms:W3CDTF">2026-09-24T09:46:29.420Z</dcterms:created>
  <dcterms:modified xsi:type="dcterms:W3CDTF">2026-09-24T09:46:29.429Z</dcterms:modified>
</cp:coreProperties>
</file>

<file path=docProps/custom.xml><?xml version="1.0" encoding="utf-8"?>
<Properties xmlns="http://schemas.openxmlformats.org/officeDocument/2006/custom-properties" xmlns:vt="http://schemas.openxmlformats.org/officeDocument/2006/docPropsVTypes"/>
</file>