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Essai Fictif" w:hAnsi="Essai Fictif"/>
          <w:sz w:val="48"/>
        </w:rPr>
        <w:t>Essai de polices embarquées</w:t>
      </w:r>
    </w:p>
    <w:sectPr>
      <w:pgSz w:w="11906" w:h="16838"/>
      <w:pgMar w:top="1417" w:right="1417" w:bottom="1417" w:left="1417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ssai Fictif">
    <w:charset w:val="00"/>
    <w:family w:val="swiss"/>
    <w:pitch w:val="variable"/>
    <w:embedRegular r:id="rId1" w:fontKey="{6E1D5B3A-0C2F-4A8E-9B7D-1F2E3A4B5C6D}"/>
  </w:font>
</w:fonts>
</file>

<file path=word/settings.xml><?xml version="1.0" encoding="utf-8"?>
<w:settings xmlns:w="http://schemas.openxmlformats.org/wordprocessingml/2006/main" xmlns:r="http://schemas.openxmlformats.org/officeDocument/2006/relationships">
  <w:embedTrueTypeFonts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/Relationships>
</file>