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re1"/>
      </w:pPr>
      <w:r>
        <w:rPr>
          <w:sz w:val="44"/>
        </w:rPr>
        <w:t>Dossier CAB (Change Advisory Board)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 du changement</w:t>
            </w:r>
          </w:p>
        </w:tc>
        <w:tc>
          <w:tcPr>
            <w:tcW w:type="dxa" w:w="4320"/>
          </w:tcPr>
          <w:p>
            <w:r>
              <w:t>[Description du changement]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Demandeur</w:t>
            </w:r>
          </w:p>
        </w:tc>
        <w:tc>
          <w:tcPr>
            <w:tcW w:type="dxa" w:w="4320"/>
          </w:tcPr>
          <w:p>
            <w:r>
              <w:t>porteur.technique@exemple.fr — mainteneur du service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prévue</w:t>
            </w:r>
          </w:p>
        </w:tc>
        <w:tc>
          <w:tcPr>
            <w:tcW w:type="dxa" w:w="4320"/>
          </w:tcPr>
          <w:p>
            <w:r>
              <w:t>[Date du changement]</w:t>
            </w:r>
          </w:p>
        </w:tc>
      </w:tr>
    </w:tbl>
    <w:p>
      <w:pPr>
        <w:pStyle w:val="Titre2"/>
      </w:pPr>
      <w:r>
        <w:t>1. Descriptif de la demande</w:t>
      </w:r>
    </w:p>
    <w:p>
      <w:pPr>
        <w:pStyle w:val="Titre3"/>
      </w:pPr>
      <w:r>
        <w:t>Contexte et objectifs</w:t>
      </w:r>
    </w:p>
    <w:p>
      <w:pPr/>
      <w:r>
        <w:rPr>
          <w:b w:val="0"/>
          <w:i w:val="0"/>
        </w:rPr>
        <w:t>Bascule du service X vers la configuration Y sur l'environnement de qualification.</w:t>
      </w:r>
    </w:p>
    <w:p>
      <w:pPr>
        <w:pStyle w:val="Listepuces"/>
      </w:pPr>
      <w:r>
        <w:t>Objectif 1 — réduire la surface d'exposition du service.</w:t>
      </w:r>
    </w:p>
    <w:p>
      <w:pPr>
        <w:pStyle w:val="Listepuces"/>
      </w:pPr>
      <w:r>
        <w:t>Objectif 2 — aligner la configuration sur le référentiel interne.</w:t>
      </w:r>
    </w:p>
    <w:p>
      <w:pPr>
        <w:pStyle w:val="Listepuces"/>
      </w:pPr>
      <w:r>
        <w:t>Impacts attendus — quelques minutes d'indisponibilité, hors production.</w:t>
      </w:r>
    </w:p>
    <w:p>
      <w:pPr>
        <w:pStyle w:val="Listepuces"/>
      </w:pPr>
      <w:r>
        <w:t>Risques identifiés — perte de connectivité (faible), mitigée par le retour arrière.</w:t>
      </w:r>
    </w:p>
    <w:p>
      <w:pPr>
        <w:pStyle w:val="Titre2"/>
      </w:pPr>
      <w:r>
        <w:t>2. Mode opératoire de déploiement</w:t>
      </w:r>
    </w:p>
    <w:p>
      <w:pPr/>
      <w:r>
        <w:rPr>
          <w:b w:val="0"/>
          <w:i w:val="0"/>
        </w:rPr>
        <w:t>Toutes les opérations passent par la chaîne CI/CD, sans exécution locale.</w:t>
      </w:r>
    </w:p>
    <w:p>
      <w:pPr>
        <w:pStyle w:val="Listenumros"/>
      </w:pPr>
      <w:r>
        <w:t>Revue et fusion de la demande de tirage préparée.</w:t>
      </w:r>
    </w:p>
    <w:p>
      <w:pPr>
        <w:pStyle w:val="Listenumros"/>
      </w:pPr>
      <w:r>
        <w:t>Exécution du pipeline en mode plan seul, puis revue du plan.</w:t>
      </w:r>
    </w:p>
    <w:p>
      <w:pPr>
        <w:pStyle w:val="Listenumros"/>
      </w:pPr>
      <w:r>
        <w:t>Exécution du pipeline en mode application des changements.</w:t>
      </w:r>
    </w:p>
    <w:p>
      <w:pPr>
        <w:pStyle w:val="Titre3"/>
      </w:pPr>
      <w:r>
        <w:t>Points de contrôle qualité</w:t>
      </w:r>
    </w:p>
    <w:p>
      <w:pPr>
        <w:pStyle w:val="Listepuces"/>
      </w:pPr>
      <w:r>
        <w:t>Avant — plan revu, aucune ressource détruite.</w:t>
      </w:r>
    </w:p>
    <w:p>
      <w:pPr>
        <w:pStyle w:val="Listepuces"/>
      </w:pPr>
      <w:r>
        <w:t>Pendant — exécution en succès, aucune erreur de propagation.</w:t>
      </w:r>
    </w:p>
    <w:p>
      <w:pPr>
        <w:pStyle w:val="Listepuces"/>
      </w:pPr>
      <w:r>
        <w:t>Après — service joignable, supervision au vert.</w:t>
      </w:r>
    </w:p>
    <w:p>
      <w:pPr>
        <w:pStyle w:val="Titre2"/>
      </w:pPr>
      <w:r>
        <w:t>3. Étapes de rollback</w:t>
      </w:r>
    </w:p>
    <w:p>
      <w:pPr/>
      <w:r>
        <w:rPr>
          <w:b w:val="0"/>
          <w:i w:val="0"/>
        </w:rPr>
        <w:t>Le changement est réversible par la même variable de configuration.</w:t>
      </w:r>
    </w:p>
    <w:p>
      <w:pPr>
        <w:pStyle w:val="Listepuces"/>
      </w:pPr>
      <w:r>
        <w:t>Critère de déclenchement — service indisponible plus de 10 minutes.</w:t>
      </w:r>
    </w:p>
    <w:p>
      <w:pPr>
        <w:pStyle w:val="Listepuces"/>
      </w:pPr>
      <w:r>
        <w:t>Décideur — le porteur technique. Délai maximal de décision : 30 minutes.</w:t>
      </w:r>
    </w:p>
    <w:p>
      <w:pPr>
        <w:pStyle w:val="Listenumros"/>
      </w:pPr>
      <w:r>
        <w:t>Revert du commit de bascule sur la branche principale.</w:t>
      </w:r>
    </w:p>
    <w:p>
      <w:pPr>
        <w:pStyle w:val="Listenumros"/>
      </w:pPr>
      <w:r>
        <w:t>Exécution du pipeline en mode application des changements.</w:t>
      </w:r>
    </w:p>
    <w:p>
      <w:pPr>
        <w:pStyle w:val="Listenumros"/>
      </w:pPr>
      <w:r>
        <w:t>Contrôles de rétablissement et communication.</w:t>
      </w:r>
    </w:p>
    <w:p>
      <w:pPr>
        <w:pStyle w:val="Titre2"/>
      </w:pPr>
      <w:r>
        <w:t>4. Plan de communication (à rédiger)</w:t>
      </w:r>
    </w:p>
    <w:p>
      <w:pPr/>
      <w:r>
        <w:rPr>
          <w:b w:val="0"/>
          <w:i w:val="0"/>
        </w:rPr>
        <w:t>Lister les équipes, managers, prestataires concernés.</w:t>
      </w:r>
    </w:p>
    <w:sectPr w:rsidR="00F7603C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ABB28" w14:textId="77777777" w:rsidR="00F1081A" w:rsidRDefault="00F1081A">
      <w:pPr>
        <w:spacing w:after="0" w:line="240" w:lineRule="auto"/>
      </w:pPr>
      <w:r>
        <w:separator/>
      </w:r>
    </w:p>
  </w:endnote>
  <w:endnote w:type="continuationSeparator" w:id="0">
    <w:p w14:paraId="76F611AE" w14:textId="77777777" w:rsidR="00F1081A" w:rsidRDefault="00F108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85C07" w14:textId="77777777" w:rsidR="00F1081A" w:rsidRDefault="00F1081A">
      <w:pPr>
        <w:spacing w:after="0" w:line="240" w:lineRule="auto"/>
      </w:pPr>
      <w:r>
        <w:separator/>
      </w:r>
    </w:p>
  </w:footnote>
  <w:footnote w:type="continuationSeparator" w:id="0">
    <w:p w14:paraId="633AF368" w14:textId="77777777" w:rsidR="00F1081A" w:rsidRDefault="00F108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E0B85" w14:textId="00382656" w:rsidR="00F7603C" w:rsidRPr="002474D9" w:rsidRDefault="00F7603C">
    <w:pPr>
      <w:pStyle w:val="En-tte"/>
      <w:jc w:val="cent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315027">
    <w:abstractNumId w:val="8"/>
  </w:num>
  <w:num w:numId="2" w16cid:durableId="589003943">
    <w:abstractNumId w:val="6"/>
  </w:num>
  <w:num w:numId="3" w16cid:durableId="208567356">
    <w:abstractNumId w:val="5"/>
  </w:num>
  <w:num w:numId="4" w16cid:durableId="1397974571">
    <w:abstractNumId w:val="4"/>
  </w:num>
  <w:num w:numId="5" w16cid:durableId="1058241589">
    <w:abstractNumId w:val="7"/>
  </w:num>
  <w:num w:numId="6" w16cid:durableId="183328539">
    <w:abstractNumId w:val="3"/>
  </w:num>
  <w:num w:numId="7" w16cid:durableId="213011738">
    <w:abstractNumId w:val="2"/>
  </w:num>
  <w:num w:numId="8" w16cid:durableId="1793212611">
    <w:abstractNumId w:val="1"/>
  </w:num>
  <w:num w:numId="9" w16cid:durableId="575552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409"/>
    <w:rsid w:val="00034616"/>
    <w:rsid w:val="0006063C"/>
    <w:rsid w:val="00131139"/>
    <w:rsid w:val="0015074B"/>
    <w:rsid w:val="002474D9"/>
    <w:rsid w:val="0029639D"/>
    <w:rsid w:val="002C248E"/>
    <w:rsid w:val="00326F90"/>
    <w:rsid w:val="005733B4"/>
    <w:rsid w:val="00930FD4"/>
    <w:rsid w:val="00A43B99"/>
    <w:rsid w:val="00AA1D8D"/>
    <w:rsid w:val="00AB4D05"/>
    <w:rsid w:val="00AE1238"/>
    <w:rsid w:val="00B47730"/>
    <w:rsid w:val="00CB0664"/>
    <w:rsid w:val="00D77CA0"/>
    <w:rsid w:val="00F1081A"/>
    <w:rsid w:val="00F23617"/>
    <w:rsid w:val="00F7603C"/>
    <w:rsid w:val="00FC693F"/>
    <w:rsid w:val="0177D11C"/>
    <w:rsid w:val="43FBDA2E"/>
    <w:rsid w:val="488EC7E1"/>
    <w:rsid w:val="49A48E5A"/>
    <w:rsid w:val="6367D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798BC7"/>
  <w14:defaultImageDpi w14:val="330"/>
  <w15:docId w15:val="{8BC5B77F-7530-4C53-AF1A-704DFDC2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6480FD15FAB4488B7C2FC427BEB069" ma:contentTypeVersion="3" ma:contentTypeDescription="Crée un document." ma:contentTypeScope="" ma:versionID="646d17cb0300aea53badd7763fe1cab2">
  <xsd:schema xmlns:xsd="http://www.w3.org/2001/XMLSchema" xmlns:xs="http://www.w3.org/2001/XMLSchema" xmlns:p="http://schemas.microsoft.com/office/2006/metadata/properties" xmlns:ns2="1ac74b8a-5dbe-46df-8047-e8fee96bc7a1" targetNamespace="http://schemas.microsoft.com/office/2006/metadata/properties" ma:root="true" ma:fieldsID="2525c0b045fc5efbe72e4b3ec078cb36" ns2:_="">
    <xsd:import namespace="1ac74b8a-5dbe-46df-8047-e8fee96bc7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c74b8a-5dbe-46df-8047-e8fee96bc7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7F4959-87D3-438E-A79C-E498FF0D3D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c74b8a-5dbe-46df-8047-e8fee96bc7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A97F61B-D60D-4EF2-A59B-AFABC686CD7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323517-5B61-49FA-891A-1A0F73C7FBB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866</Characters>
  <Application>Microsoft Office Word</Application>
  <DocSecurity>0</DocSecurity>
  <Lines>48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BASSAGET, Daniel</cp:lastModifiedBy>
  <cp:revision>8</cp:revision>
  <dcterms:created xsi:type="dcterms:W3CDTF">2013-12-23T23:15:00Z</dcterms:created>
  <dcterms:modified xsi:type="dcterms:W3CDTF">2026-06-26T14:27:00Z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0x010100386480FD15FAB4488B7C2FC427BEB069</vt:lpwstr>
  </property>
  <property fmtid="{D5CDD505-2E9C-101B-9397-08002B2CF9AE}" pid="3" name="docLang">
    <vt:lpwstr>fr</vt:lpwstr>
  </property>
</Properties>
</file>