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6DBF" w14:textId="4871AABC" w:rsidR="00536838" w:rsidRDefault="00AF2662" w:rsidP="006952B4">
      <w:pPr>
        <w:pStyle w:val="Caption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Primary objective of this project</w:t>
      </w:r>
      <w:r w:rsidR="00511ED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is </w:t>
      </w:r>
      <w:r w:rsidR="00E46CF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to</w:t>
      </w:r>
      <w:r w:rsidR="0078396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develop classification models for</w:t>
      </w:r>
      <w:r w:rsidR="00511ED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DE7DF2" w:rsidRPr="00DE7D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identify</w:t>
      </w:r>
      <w:r w:rsidR="00DE7D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ing</w:t>
      </w:r>
      <w:r w:rsidR="00DE7DF2" w:rsidRPr="00DE7D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DE7D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author of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</w:t>
      </w:r>
      <w:r w:rsidR="00FB511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DE7DF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blog</w:t>
      </w:r>
      <w:r w:rsidR="005E3B2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E90AC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based on </w:t>
      </w:r>
      <w:r w:rsidR="00FB511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 set of </w:t>
      </w:r>
      <w:r w:rsidR="00FB5110" w:rsidRPr="00FB511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stylometric feature</w:t>
      </w:r>
      <w:r w:rsidR="00FB5110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</w:t>
      </w:r>
      <w:r w:rsidR="00B173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/predictors</w:t>
      </w:r>
      <w:r w:rsidR="0019362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="00BF6F1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1B7A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For this project we have used 10,000 blogs from 100 authors</w:t>
      </w:r>
      <w:r w:rsidR="006641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,</w:t>
      </w:r>
      <w:r w:rsidR="001B7AE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6641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where each </w:t>
      </w:r>
      <w:r w:rsidR="006641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author is identified by a unique id, which we call </w:t>
      </w:r>
      <w:proofErr w:type="spellStart"/>
      <w:r w:rsidR="006641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Author_id</w:t>
      </w:r>
      <w:proofErr w:type="spellEnd"/>
      <w:r w:rsidR="006641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. </w:t>
      </w:r>
      <w:r w:rsidR="005C393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Although </w:t>
      </w:r>
      <w:r w:rsidR="004322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555 </w:t>
      </w:r>
      <w:r w:rsidR="00106C9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stylometric</w:t>
      </w:r>
      <w:r w:rsidR="008E368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4322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features </w:t>
      </w:r>
      <w:r w:rsidR="008E368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are available </w:t>
      </w:r>
      <w:r w:rsidR="001C6A5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for</w:t>
      </w:r>
      <w:r w:rsidR="006641A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each blog</w:t>
      </w:r>
      <w:r w:rsidR="00F165CB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 </w:t>
      </w:r>
      <w:r w:rsidR="00BF5B26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we have </w:t>
      </w:r>
      <w:r w:rsidR="000B68D8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chosen </w:t>
      </w:r>
      <w:r w:rsidR="00BF5B26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only </w:t>
      </w:r>
      <w:r w:rsidR="00003BF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18</w:t>
      </w:r>
      <w:r w:rsidR="00EE38A0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8D31B1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of the </w:t>
      </w:r>
      <w:r w:rsidR="00345FB4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available </w:t>
      </w:r>
      <w:r w:rsidR="008D31B1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features </w:t>
      </w:r>
      <w:r w:rsidR="00AD734E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for all the statistical analysis and experiments </w:t>
      </w:r>
      <w:r w:rsidR="00C7484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in this project</w:t>
      </w:r>
      <w:r w:rsidR="008342F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,</w:t>
      </w:r>
      <w:r w:rsidR="00891E7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891E7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d</w:t>
      </w:r>
      <w:r w:rsidR="00891E77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ue to the computational and algorithmic complexity associated with using</w:t>
      </w:r>
      <w:r w:rsidR="00FD4B0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the entire feature set</w:t>
      </w:r>
      <w:r w:rsidR="00345FB4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="00BD520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Fifteen of the eighteen predictors are part of speech tags</w:t>
      </w:r>
      <w:r w:rsidR="006449E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BD5206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(POS) and remaining three are </w:t>
      </w:r>
      <w:r w:rsidR="0047142C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the syntactic features. </w:t>
      </w:r>
      <w:r w:rsidR="009D004C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Out of </w:t>
      </w:r>
      <w:r w:rsidR="0058170C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10</w:t>
      </w:r>
      <w:r w:rsidR="0052364C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,000 </w:t>
      </w:r>
      <w:r w:rsidR="003140B1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different blogs used </w:t>
      </w:r>
      <w:r w:rsidR="00FD4A95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in this project </w:t>
      </w:r>
      <w:r w:rsidR="009D004C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75% </w:t>
      </w:r>
      <w:r w:rsidR="002E1CA3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are </w:t>
      </w:r>
      <w:r w:rsidR="009D004C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randomly chosen for training and </w:t>
      </w:r>
      <w:r w:rsidR="002E1CA3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remaining 25% for validation. </w:t>
      </w:r>
      <w:r w:rsidR="004C5499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 brief description as well as the abbreviation used for each </w:t>
      </w:r>
      <w:r w:rsidR="00B173A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predictor</w:t>
      </w:r>
      <w:r w:rsidR="004C5499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are listed in </w:t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REF _Ref24236174 \h </w:instrText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\* MERGEFORMAT </w:instrText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Table 1</w:t>
      </w:r>
      <w:r w:rsidR="00803DC7" w:rsidRP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="00803DC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="00F947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So</w:t>
      </w:r>
      <w:r w:rsidR="00D6528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,</w:t>
      </w:r>
      <w:r w:rsidR="00F947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in a nutshell given a vector of 18 </w:t>
      </w:r>
      <w:r w:rsidR="008342F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predictor</w:t>
      </w:r>
      <w:r w:rsidR="0091228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values</w:t>
      </w:r>
      <w:r w:rsidR="00D6528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corresponding to a blog</w:t>
      </w:r>
      <w:r w:rsidR="00F9473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A11D4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our goal is to predict the </w:t>
      </w:r>
      <w:r w:rsidR="00886B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id of th</w:t>
      </w:r>
      <w:r w:rsidR="008342F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at</w:t>
      </w:r>
      <w:r w:rsidR="00886B7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C74A5D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blog’s </w:t>
      </w:r>
      <w:r w:rsidR="00A11D4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Author</w:t>
      </w:r>
      <w:r w:rsidR="00D859F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  <w:r w:rsidR="00A11D4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</w:p>
    <w:p w14:paraId="542792AF" w14:textId="59F997AF" w:rsidR="00536838" w:rsidRPr="00536838" w:rsidRDefault="00536838" w:rsidP="00664728">
      <w:pPr>
        <w:spacing w:after="120"/>
        <w:jc w:val="center"/>
      </w:pPr>
      <w:bookmarkStart w:id="0" w:name="_Ref24236174"/>
      <w:r w:rsidRPr="00536838">
        <w:rPr>
          <w:rFonts w:ascii="Times New Roman" w:hAnsi="Times New Roman" w:cs="Times New Roman"/>
          <w:iCs/>
        </w:rPr>
        <w:t xml:space="preserve">Table </w:t>
      </w:r>
      <w:r w:rsidRPr="00536838">
        <w:rPr>
          <w:rFonts w:ascii="Times New Roman" w:hAnsi="Times New Roman" w:cs="Times New Roman"/>
          <w:iCs/>
        </w:rPr>
        <w:fldChar w:fldCharType="begin"/>
      </w:r>
      <w:r w:rsidRPr="00536838">
        <w:rPr>
          <w:rFonts w:ascii="Times New Roman" w:hAnsi="Times New Roman" w:cs="Times New Roman"/>
          <w:iCs/>
        </w:rPr>
        <w:instrText xml:space="preserve"> SEQ Table \* ARABIC </w:instrText>
      </w:r>
      <w:r w:rsidRPr="00536838">
        <w:rPr>
          <w:rFonts w:ascii="Times New Roman" w:hAnsi="Times New Roman" w:cs="Times New Roman"/>
          <w:iCs/>
        </w:rPr>
        <w:fldChar w:fldCharType="separate"/>
      </w:r>
      <w:r w:rsidRPr="00536838">
        <w:rPr>
          <w:rFonts w:ascii="Times New Roman" w:hAnsi="Times New Roman" w:cs="Times New Roman"/>
          <w:iCs/>
        </w:rPr>
        <w:t>1</w:t>
      </w:r>
      <w:r w:rsidRPr="00536838">
        <w:rPr>
          <w:rFonts w:ascii="Times New Roman" w:hAnsi="Times New Roman" w:cs="Times New Roman"/>
          <w:iCs/>
        </w:rPr>
        <w:fldChar w:fldCharType="end"/>
      </w:r>
      <w:bookmarkEnd w:id="0"/>
      <w:r w:rsidRPr="00536838">
        <w:rPr>
          <w:rFonts w:ascii="Times New Roman" w:hAnsi="Times New Roman" w:cs="Times New Roman"/>
          <w:iCs/>
        </w:rPr>
        <w:t>.</w:t>
      </w:r>
      <w:r w:rsidR="00876708">
        <w:rPr>
          <w:rFonts w:ascii="Times New Roman" w:hAnsi="Times New Roman" w:cs="Times New Roman"/>
          <w:iCs/>
        </w:rPr>
        <w:t xml:space="preserve"> Description of the </w:t>
      </w:r>
      <w:r w:rsidR="00B173AD">
        <w:rPr>
          <w:rFonts w:ascii="Times New Roman" w:hAnsi="Times New Roman" w:cs="Times New Roman"/>
          <w:iCs/>
        </w:rPr>
        <w:t>predictors</w:t>
      </w:r>
      <w:r w:rsidR="00717A15">
        <w:rPr>
          <w:rFonts w:ascii="Times New Roman" w:hAnsi="Times New Roman" w:cs="Times New Roman"/>
          <w:iCs/>
        </w:rPr>
        <w:t xml:space="preserve"> </w:t>
      </w:r>
      <w:r w:rsidR="002244E4">
        <w:rPr>
          <w:rFonts w:ascii="Times New Roman" w:hAnsi="Times New Roman" w:cs="Times New Roman"/>
          <w:iCs/>
        </w:rPr>
        <w:t>used</w:t>
      </w:r>
      <w:r w:rsidR="00876708">
        <w:rPr>
          <w:rFonts w:ascii="Times New Roman" w:hAnsi="Times New Roman" w:cs="Times New Roman"/>
          <w:iCs/>
        </w:rPr>
        <w:t xml:space="preserve"> </w:t>
      </w:r>
      <w:r w:rsidR="00717A15">
        <w:rPr>
          <w:rFonts w:ascii="Times New Roman" w:hAnsi="Times New Roman" w:cs="Times New Roman"/>
          <w:iCs/>
        </w:rPr>
        <w:t>in this project.</w:t>
      </w:r>
    </w:p>
    <w:tbl>
      <w:tblPr>
        <w:tblStyle w:val="TableGrid"/>
        <w:tblW w:w="9468" w:type="dxa"/>
        <w:jc w:val="center"/>
        <w:tblLook w:val="04A0" w:firstRow="1" w:lastRow="0" w:firstColumn="1" w:lastColumn="0" w:noHBand="0" w:noVBand="1"/>
      </w:tblPr>
      <w:tblGrid>
        <w:gridCol w:w="2184"/>
        <w:gridCol w:w="3774"/>
        <w:gridCol w:w="3510"/>
      </w:tblGrid>
      <w:tr w:rsidR="00A64171" w:rsidRPr="00536838" w14:paraId="52D6BB83" w14:textId="74BA9EBE" w:rsidTr="00CE2049">
        <w:trPr>
          <w:trHeight w:hRule="exact" w:val="302"/>
          <w:jc w:val="center"/>
        </w:trPr>
        <w:tc>
          <w:tcPr>
            <w:tcW w:w="2184" w:type="dxa"/>
          </w:tcPr>
          <w:p w14:paraId="203DB5CC" w14:textId="50DA56A7" w:rsidR="00A64171" w:rsidRPr="00025EAB" w:rsidRDefault="00A64171" w:rsidP="006952B4">
            <w:pPr>
              <w:spacing w:before="60" w:after="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025EAB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3774" w:type="dxa"/>
          </w:tcPr>
          <w:p w14:paraId="7A741857" w14:textId="45EAD18A" w:rsidR="00A64171" w:rsidRPr="00025EAB" w:rsidRDefault="00A64171" w:rsidP="006952B4">
            <w:pPr>
              <w:spacing w:before="60" w:after="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025EAB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3510" w:type="dxa"/>
          </w:tcPr>
          <w:p w14:paraId="3668C740" w14:textId="1AB422D9" w:rsidR="00A64171" w:rsidRPr="00025EAB" w:rsidRDefault="00536838" w:rsidP="006952B4">
            <w:pPr>
              <w:spacing w:before="60" w:after="60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025EAB"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A64171" w:rsidRPr="00536838" w14:paraId="0F4F8DD9" w14:textId="4DF32E77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7378F769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ADJ</w:t>
            </w:r>
          </w:p>
        </w:tc>
        <w:tc>
          <w:tcPr>
            <w:tcW w:w="3774" w:type="dxa"/>
            <w:vAlign w:val="center"/>
            <w:hideMark/>
          </w:tcPr>
          <w:p w14:paraId="02B8607F" w14:textId="2F782B64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adjective</w:t>
            </w:r>
          </w:p>
        </w:tc>
        <w:tc>
          <w:tcPr>
            <w:tcW w:w="3510" w:type="dxa"/>
            <w:vAlign w:val="center"/>
          </w:tcPr>
          <w:p w14:paraId="054A64B3" w14:textId="719E02A2" w:rsidR="00A64171" w:rsidRPr="00536838" w:rsidRDefault="00A8277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big, old, green, incomprehensible, first</w:t>
            </w:r>
          </w:p>
        </w:tc>
      </w:tr>
      <w:tr w:rsidR="00A64171" w:rsidRPr="00536838" w14:paraId="22F01518" w14:textId="31ECA545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7A01755A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ADP</w:t>
            </w:r>
          </w:p>
        </w:tc>
        <w:tc>
          <w:tcPr>
            <w:tcW w:w="3774" w:type="dxa"/>
            <w:vAlign w:val="center"/>
            <w:hideMark/>
          </w:tcPr>
          <w:p w14:paraId="24FFEE64" w14:textId="58FD26F2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</w:t>
            </w: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 </w:t>
            </w:r>
            <w:proofErr w:type="spellStart"/>
            <w:r w:rsidRPr="000E3C2B">
              <w:rPr>
                <w:rFonts w:ascii="Times New Roman" w:eastAsia="Times New Roman" w:hAnsi="Times New Roman" w:cs="Times New Roman"/>
                <w:color w:val="1A1E23"/>
              </w:rPr>
              <w:t>adposition</w:t>
            </w:r>
            <w:proofErr w:type="spellEnd"/>
          </w:p>
        </w:tc>
        <w:tc>
          <w:tcPr>
            <w:tcW w:w="3510" w:type="dxa"/>
            <w:vAlign w:val="center"/>
          </w:tcPr>
          <w:p w14:paraId="5E8D07C1" w14:textId="6E9BB1D1" w:rsidR="00A64171" w:rsidRPr="00536838" w:rsidRDefault="007E43E3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hAnsi="Times New Roman" w:cs="Times New Roman"/>
                <w:color w:val="1A1E23"/>
              </w:rPr>
              <w:t>in, to, during</w:t>
            </w:r>
          </w:p>
        </w:tc>
      </w:tr>
      <w:tr w:rsidR="00A64171" w:rsidRPr="00536838" w14:paraId="71D453BB" w14:textId="709BE646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6F66071E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ADV</w:t>
            </w:r>
          </w:p>
        </w:tc>
        <w:tc>
          <w:tcPr>
            <w:tcW w:w="3774" w:type="dxa"/>
            <w:vAlign w:val="center"/>
            <w:hideMark/>
          </w:tcPr>
          <w:p w14:paraId="382BFC17" w14:textId="54080E38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adverb</w:t>
            </w:r>
          </w:p>
        </w:tc>
        <w:tc>
          <w:tcPr>
            <w:tcW w:w="3510" w:type="dxa"/>
            <w:vAlign w:val="center"/>
          </w:tcPr>
          <w:p w14:paraId="27DE0830" w14:textId="64FEEA66" w:rsidR="00A64171" w:rsidRPr="00536838" w:rsidRDefault="007E43E3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hAnsi="Times New Roman" w:cs="Times New Roman"/>
                <w:color w:val="1A1E23"/>
              </w:rPr>
              <w:t>very, tomorrow, down, where, there</w:t>
            </w:r>
          </w:p>
        </w:tc>
      </w:tr>
      <w:tr w:rsidR="00A64171" w:rsidRPr="00536838" w14:paraId="141710FB" w14:textId="6601CD62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77A22E0E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CCONJ</w:t>
            </w:r>
          </w:p>
        </w:tc>
        <w:tc>
          <w:tcPr>
            <w:tcW w:w="3774" w:type="dxa"/>
            <w:vAlign w:val="center"/>
            <w:hideMark/>
          </w:tcPr>
          <w:p w14:paraId="23CDD97B" w14:textId="4E1E7125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coordinating conjunction</w:t>
            </w:r>
          </w:p>
        </w:tc>
        <w:tc>
          <w:tcPr>
            <w:tcW w:w="3510" w:type="dxa"/>
            <w:vAlign w:val="center"/>
          </w:tcPr>
          <w:p w14:paraId="6E312787" w14:textId="17A257FE" w:rsidR="00A64171" w:rsidRPr="00536838" w:rsidRDefault="007E43E3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hAnsi="Times New Roman" w:cs="Times New Roman"/>
                <w:color w:val="1A1E23"/>
              </w:rPr>
              <w:t>and, or, but</w:t>
            </w:r>
          </w:p>
        </w:tc>
      </w:tr>
      <w:tr w:rsidR="00A64171" w:rsidRPr="00536838" w14:paraId="3836BE63" w14:textId="478CB6E3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53F31D83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DET</w:t>
            </w:r>
          </w:p>
        </w:tc>
        <w:tc>
          <w:tcPr>
            <w:tcW w:w="3774" w:type="dxa"/>
            <w:vAlign w:val="center"/>
            <w:hideMark/>
          </w:tcPr>
          <w:p w14:paraId="30C00A80" w14:textId="398F70A3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determiner</w:t>
            </w:r>
          </w:p>
        </w:tc>
        <w:tc>
          <w:tcPr>
            <w:tcW w:w="3510" w:type="dxa"/>
            <w:vAlign w:val="center"/>
          </w:tcPr>
          <w:p w14:paraId="7C50FE79" w14:textId="4315BE3C" w:rsidR="00A64171" w:rsidRPr="00536838" w:rsidRDefault="00E376B0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hAnsi="Times New Roman" w:cs="Times New Roman"/>
                <w:color w:val="1A1E23"/>
              </w:rPr>
              <w:t>a, an, the</w:t>
            </w:r>
          </w:p>
        </w:tc>
      </w:tr>
      <w:tr w:rsidR="00A64171" w:rsidRPr="00536838" w14:paraId="58E3A37F" w14:textId="7F366BF5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2732A22D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INTJ</w:t>
            </w:r>
          </w:p>
        </w:tc>
        <w:tc>
          <w:tcPr>
            <w:tcW w:w="3774" w:type="dxa"/>
            <w:vAlign w:val="center"/>
            <w:hideMark/>
          </w:tcPr>
          <w:p w14:paraId="5C845364" w14:textId="4EE0EA78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interjection</w:t>
            </w:r>
          </w:p>
        </w:tc>
        <w:tc>
          <w:tcPr>
            <w:tcW w:w="3510" w:type="dxa"/>
            <w:vAlign w:val="center"/>
          </w:tcPr>
          <w:p w14:paraId="65D89861" w14:textId="3C91A8CD" w:rsidR="00A64171" w:rsidRPr="00536838" w:rsidRDefault="00E376B0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proofErr w:type="spellStart"/>
            <w:r w:rsidRPr="00536838">
              <w:rPr>
                <w:rFonts w:ascii="Times New Roman" w:eastAsia="Times New Roman" w:hAnsi="Times New Roman" w:cs="Times New Roman"/>
                <w:color w:val="1A1E23"/>
              </w:rPr>
              <w:t>psst</w:t>
            </w:r>
            <w:proofErr w:type="spellEnd"/>
            <w:r w:rsidRPr="00536838">
              <w:rPr>
                <w:rFonts w:ascii="Times New Roman" w:eastAsia="Times New Roman" w:hAnsi="Times New Roman" w:cs="Times New Roman"/>
                <w:color w:val="1A1E23"/>
              </w:rPr>
              <w:t>, ouch, bravo, hello</w:t>
            </w:r>
          </w:p>
        </w:tc>
      </w:tr>
      <w:tr w:rsidR="00A64171" w:rsidRPr="00536838" w14:paraId="4A28AF73" w14:textId="235571AD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30043334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NOUN</w:t>
            </w:r>
          </w:p>
        </w:tc>
        <w:tc>
          <w:tcPr>
            <w:tcW w:w="3774" w:type="dxa"/>
            <w:vAlign w:val="center"/>
            <w:hideMark/>
          </w:tcPr>
          <w:p w14:paraId="2C2D133B" w14:textId="258FD27D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noun</w:t>
            </w:r>
          </w:p>
        </w:tc>
        <w:tc>
          <w:tcPr>
            <w:tcW w:w="3510" w:type="dxa"/>
            <w:vAlign w:val="center"/>
          </w:tcPr>
          <w:p w14:paraId="1FF6BBA3" w14:textId="3B810E75" w:rsidR="00A64171" w:rsidRPr="00536838" w:rsidRDefault="00E376B0" w:rsidP="006952B4">
            <w:pPr>
              <w:spacing w:before="60" w:after="60"/>
              <w:contextualSpacing/>
              <w:jc w:val="both"/>
              <w:rPr>
                <w:rFonts w:ascii="Times New Roman" w:hAnsi="Times New Roman" w:cs="Times New Roman"/>
                <w:color w:val="1A1E23"/>
              </w:rPr>
            </w:pPr>
            <w:r w:rsidRPr="00536838">
              <w:rPr>
                <w:rFonts w:ascii="Times New Roman" w:hAnsi="Times New Roman" w:cs="Times New Roman"/>
                <w:color w:val="1A1E23"/>
              </w:rPr>
              <w:t>girl, cat, tree, air, beauty</w:t>
            </w:r>
          </w:p>
        </w:tc>
      </w:tr>
      <w:tr w:rsidR="00A64171" w:rsidRPr="00536838" w14:paraId="3469CB00" w14:textId="0DDB0688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15DFBBF3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NUM</w:t>
            </w:r>
          </w:p>
        </w:tc>
        <w:tc>
          <w:tcPr>
            <w:tcW w:w="3774" w:type="dxa"/>
            <w:vAlign w:val="center"/>
            <w:hideMark/>
          </w:tcPr>
          <w:p w14:paraId="433A25B4" w14:textId="198AD789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numeral</w:t>
            </w:r>
          </w:p>
        </w:tc>
        <w:tc>
          <w:tcPr>
            <w:tcW w:w="3510" w:type="dxa"/>
            <w:vAlign w:val="center"/>
          </w:tcPr>
          <w:p w14:paraId="26965803" w14:textId="086E30E1" w:rsidR="00A64171" w:rsidRPr="00536838" w:rsidRDefault="00E22FA7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1, 2017, one, IV, MMXIV</w:t>
            </w:r>
          </w:p>
        </w:tc>
      </w:tr>
      <w:tr w:rsidR="00A64171" w:rsidRPr="00536838" w14:paraId="6D1E0A86" w14:textId="3BCCBBA1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599D96E4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PART</w:t>
            </w:r>
          </w:p>
        </w:tc>
        <w:tc>
          <w:tcPr>
            <w:tcW w:w="3774" w:type="dxa"/>
            <w:vAlign w:val="center"/>
            <w:hideMark/>
          </w:tcPr>
          <w:p w14:paraId="0DB28525" w14:textId="7E7B593D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particle</w:t>
            </w:r>
          </w:p>
        </w:tc>
        <w:tc>
          <w:tcPr>
            <w:tcW w:w="3510" w:type="dxa"/>
            <w:vAlign w:val="center"/>
          </w:tcPr>
          <w:p w14:paraId="3846EA87" w14:textId="74CCABC5" w:rsidR="00A64171" w:rsidRPr="00536838" w:rsidRDefault="00E22FA7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’s, not,</w:t>
            </w:r>
          </w:p>
        </w:tc>
      </w:tr>
      <w:tr w:rsidR="00A64171" w:rsidRPr="00536838" w14:paraId="7F36E9EE" w14:textId="28BD0C25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3486B7A2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PRON</w:t>
            </w:r>
          </w:p>
        </w:tc>
        <w:tc>
          <w:tcPr>
            <w:tcW w:w="3774" w:type="dxa"/>
            <w:vAlign w:val="center"/>
            <w:hideMark/>
          </w:tcPr>
          <w:p w14:paraId="2F3F8C8E" w14:textId="5D1B7B62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pronoun</w:t>
            </w:r>
          </w:p>
        </w:tc>
        <w:tc>
          <w:tcPr>
            <w:tcW w:w="3510" w:type="dxa"/>
            <w:vAlign w:val="center"/>
          </w:tcPr>
          <w:p w14:paraId="77879EE3" w14:textId="21A02EC1" w:rsidR="00A64171" w:rsidRPr="00536838" w:rsidRDefault="00E22FA7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I, you, he, she, themselves, somebody</w:t>
            </w:r>
          </w:p>
        </w:tc>
      </w:tr>
      <w:tr w:rsidR="00A64171" w:rsidRPr="00536838" w14:paraId="24AE210F" w14:textId="5A4CC146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78B94518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PROPN</w:t>
            </w:r>
          </w:p>
        </w:tc>
        <w:tc>
          <w:tcPr>
            <w:tcW w:w="3774" w:type="dxa"/>
            <w:vAlign w:val="center"/>
            <w:hideMark/>
          </w:tcPr>
          <w:p w14:paraId="769CB0D0" w14:textId="0259531F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proper noun</w:t>
            </w:r>
          </w:p>
        </w:tc>
        <w:tc>
          <w:tcPr>
            <w:tcW w:w="3510" w:type="dxa"/>
            <w:vAlign w:val="center"/>
          </w:tcPr>
          <w:p w14:paraId="4D9F87C0" w14:textId="6ABC1ADD" w:rsidR="00A64171" w:rsidRPr="00536838" w:rsidRDefault="00113A44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Mary, John, London, NATO, HBO</w:t>
            </w:r>
          </w:p>
        </w:tc>
      </w:tr>
      <w:tr w:rsidR="00A64171" w:rsidRPr="00536838" w14:paraId="7093D8FA" w14:textId="5EF27971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473709B3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PUNCT</w:t>
            </w:r>
          </w:p>
        </w:tc>
        <w:tc>
          <w:tcPr>
            <w:tcW w:w="3774" w:type="dxa"/>
            <w:vAlign w:val="center"/>
            <w:hideMark/>
          </w:tcPr>
          <w:p w14:paraId="257BFC49" w14:textId="387A0834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punctuation</w:t>
            </w:r>
          </w:p>
        </w:tc>
        <w:tc>
          <w:tcPr>
            <w:tcW w:w="3510" w:type="dxa"/>
            <w:vAlign w:val="center"/>
          </w:tcPr>
          <w:p w14:paraId="1729C22A" w14:textId="56F5788F" w:rsidR="00A64171" w:rsidRPr="00536838" w:rsidRDefault="00113A44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., (, ), ?</w:t>
            </w:r>
          </w:p>
        </w:tc>
      </w:tr>
      <w:tr w:rsidR="00A64171" w:rsidRPr="00536838" w14:paraId="3D3B8FCE" w14:textId="4E739DBA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5CD42505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SYM</w:t>
            </w:r>
          </w:p>
        </w:tc>
        <w:tc>
          <w:tcPr>
            <w:tcW w:w="3774" w:type="dxa"/>
            <w:vAlign w:val="center"/>
            <w:hideMark/>
          </w:tcPr>
          <w:p w14:paraId="519D1E83" w14:textId="65E75F93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symbol</w:t>
            </w:r>
          </w:p>
        </w:tc>
        <w:tc>
          <w:tcPr>
            <w:tcW w:w="3510" w:type="dxa"/>
            <w:vAlign w:val="center"/>
          </w:tcPr>
          <w:p w14:paraId="4476BB4B" w14:textId="098A9A65" w:rsidR="00A64171" w:rsidRPr="00536838" w:rsidRDefault="00113A44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$, %, §, ©, +, −, ×, ÷, =, :), </w:t>
            </w:r>
            <w:r w:rsidRPr="00536838">
              <w:rPr>
                <w:rFonts w:ascii="Segoe UI Emoji" w:eastAsia="Times New Roman" w:hAnsi="Segoe UI Emoji" w:cs="Segoe UI Emoji"/>
                <w:color w:val="1A1E23"/>
              </w:rPr>
              <w:t>😝</w:t>
            </w:r>
          </w:p>
        </w:tc>
      </w:tr>
      <w:tr w:rsidR="00A64171" w:rsidRPr="00536838" w14:paraId="0E947B96" w14:textId="4BA7AB87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3108B69E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VERB</w:t>
            </w:r>
          </w:p>
        </w:tc>
        <w:tc>
          <w:tcPr>
            <w:tcW w:w="3774" w:type="dxa"/>
            <w:vAlign w:val="center"/>
            <w:hideMark/>
          </w:tcPr>
          <w:p w14:paraId="36528AA4" w14:textId="784A77DF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verb</w:t>
            </w:r>
          </w:p>
        </w:tc>
        <w:tc>
          <w:tcPr>
            <w:tcW w:w="3510" w:type="dxa"/>
            <w:vAlign w:val="center"/>
          </w:tcPr>
          <w:p w14:paraId="7A6C3108" w14:textId="07246E08" w:rsidR="00A64171" w:rsidRPr="00536838" w:rsidRDefault="0053683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run, runs, running, eat, ate, eating</w:t>
            </w:r>
          </w:p>
        </w:tc>
      </w:tr>
      <w:tr w:rsidR="00A64171" w:rsidRPr="00536838" w14:paraId="72658AAC" w14:textId="477F81DE" w:rsidTr="00CE2049">
        <w:trPr>
          <w:trHeight w:hRule="exact" w:val="302"/>
          <w:jc w:val="center"/>
        </w:trPr>
        <w:tc>
          <w:tcPr>
            <w:tcW w:w="2184" w:type="dxa"/>
            <w:vAlign w:val="center"/>
            <w:hideMark/>
          </w:tcPr>
          <w:p w14:paraId="1C78C2B6" w14:textId="77777777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0E3C2B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SPACE</w:t>
            </w:r>
          </w:p>
        </w:tc>
        <w:tc>
          <w:tcPr>
            <w:tcW w:w="3774" w:type="dxa"/>
            <w:vAlign w:val="center"/>
            <w:hideMark/>
          </w:tcPr>
          <w:p w14:paraId="5FD27D8F" w14:textId="109166E9" w:rsidR="00A64171" w:rsidRPr="000E3C2B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 xml:space="preserve">Frequency of  </w:t>
            </w:r>
            <w:r w:rsidRPr="000E3C2B">
              <w:rPr>
                <w:rFonts w:ascii="Times New Roman" w:eastAsia="Times New Roman" w:hAnsi="Times New Roman" w:cs="Times New Roman"/>
                <w:color w:val="1A1E23"/>
              </w:rPr>
              <w:t>space</w:t>
            </w:r>
          </w:p>
        </w:tc>
        <w:tc>
          <w:tcPr>
            <w:tcW w:w="3510" w:type="dxa"/>
          </w:tcPr>
          <w:p w14:paraId="01A5F93E" w14:textId="77777777" w:rsidR="00A64171" w:rsidRPr="00536838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</w:p>
        </w:tc>
      </w:tr>
      <w:tr w:rsidR="00A64171" w:rsidRPr="00536838" w14:paraId="276CF84B" w14:textId="22F3D56D" w:rsidTr="00CE2049">
        <w:trPr>
          <w:trHeight w:hRule="exact" w:val="302"/>
          <w:jc w:val="center"/>
        </w:trPr>
        <w:tc>
          <w:tcPr>
            <w:tcW w:w="2184" w:type="dxa"/>
            <w:vAlign w:val="center"/>
          </w:tcPr>
          <w:p w14:paraId="6827D378" w14:textId="20374880" w:rsidR="00A64171" w:rsidRPr="00536838" w:rsidRDefault="00D6504A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a</w:t>
            </w:r>
            <w:r w:rsidR="00A64171" w:rsidRPr="00536838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verage_word_length</w:t>
            </w:r>
            <w:proofErr w:type="spellEnd"/>
          </w:p>
        </w:tc>
        <w:tc>
          <w:tcPr>
            <w:tcW w:w="3774" w:type="dxa"/>
            <w:vAlign w:val="center"/>
          </w:tcPr>
          <w:p w14:paraId="5AE8936F" w14:textId="248BECA5" w:rsidR="00A64171" w:rsidRPr="00536838" w:rsidRDefault="00A64171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Average word length</w:t>
            </w:r>
          </w:p>
        </w:tc>
        <w:tc>
          <w:tcPr>
            <w:tcW w:w="3510" w:type="dxa"/>
            <w:vAlign w:val="center"/>
          </w:tcPr>
          <w:p w14:paraId="7F4F74C9" w14:textId="1B9DD9C3" w:rsidR="00A64171" w:rsidRPr="00536838" w:rsidRDefault="0053683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—</w:t>
            </w:r>
          </w:p>
        </w:tc>
      </w:tr>
      <w:tr w:rsidR="00536838" w:rsidRPr="00536838" w14:paraId="25348E40" w14:textId="08FBF20A" w:rsidTr="00CE2049">
        <w:trPr>
          <w:trHeight w:hRule="exact" w:val="302"/>
          <w:jc w:val="center"/>
        </w:trPr>
        <w:tc>
          <w:tcPr>
            <w:tcW w:w="2184" w:type="dxa"/>
            <w:vAlign w:val="center"/>
          </w:tcPr>
          <w:p w14:paraId="0274D49B" w14:textId="0543A76B" w:rsidR="00536838" w:rsidRPr="00536838" w:rsidRDefault="00D6504A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d</w:t>
            </w:r>
            <w:r w:rsidR="00536838" w:rsidRPr="00536838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igits_percentage</w:t>
            </w:r>
            <w:proofErr w:type="spellEnd"/>
          </w:p>
        </w:tc>
        <w:tc>
          <w:tcPr>
            <w:tcW w:w="3774" w:type="dxa"/>
            <w:vAlign w:val="center"/>
          </w:tcPr>
          <w:p w14:paraId="570CE831" w14:textId="1DCAEC2D" w:rsidR="00536838" w:rsidRPr="00536838" w:rsidRDefault="0053683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Percentage of digits used</w:t>
            </w:r>
          </w:p>
        </w:tc>
        <w:tc>
          <w:tcPr>
            <w:tcW w:w="3510" w:type="dxa"/>
            <w:vAlign w:val="center"/>
          </w:tcPr>
          <w:p w14:paraId="44812F64" w14:textId="25A3A323" w:rsidR="00536838" w:rsidRPr="00536838" w:rsidRDefault="0053683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—</w:t>
            </w:r>
          </w:p>
        </w:tc>
      </w:tr>
      <w:tr w:rsidR="00536838" w:rsidRPr="00536838" w14:paraId="1A632C09" w14:textId="53BA6FD5" w:rsidTr="00CE2049">
        <w:trPr>
          <w:trHeight w:hRule="exact" w:val="302"/>
          <w:jc w:val="center"/>
        </w:trPr>
        <w:tc>
          <w:tcPr>
            <w:tcW w:w="2184" w:type="dxa"/>
            <w:vAlign w:val="center"/>
          </w:tcPr>
          <w:p w14:paraId="199510D2" w14:textId="65827703" w:rsidR="00536838" w:rsidRPr="00536838" w:rsidRDefault="00D6504A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t</w:t>
            </w:r>
            <w:r w:rsidR="00536838" w:rsidRPr="00536838">
              <w:rPr>
                <w:rFonts w:ascii="Times New Roman" w:eastAsia="Times New Roman" w:hAnsi="Times New Roman" w:cs="Times New Roman"/>
                <w:color w:val="1A1E23"/>
                <w:bdr w:val="none" w:sz="0" w:space="0" w:color="auto" w:frame="1"/>
              </w:rPr>
              <w:t>otal_words</w:t>
            </w:r>
            <w:proofErr w:type="spellEnd"/>
          </w:p>
        </w:tc>
        <w:tc>
          <w:tcPr>
            <w:tcW w:w="3774" w:type="dxa"/>
            <w:vAlign w:val="center"/>
          </w:tcPr>
          <w:p w14:paraId="06B2F4BA" w14:textId="77763F8A" w:rsidR="00536838" w:rsidRPr="00536838" w:rsidRDefault="0053683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Total count of words</w:t>
            </w:r>
          </w:p>
        </w:tc>
        <w:tc>
          <w:tcPr>
            <w:tcW w:w="3510" w:type="dxa"/>
            <w:vAlign w:val="center"/>
          </w:tcPr>
          <w:p w14:paraId="32611568" w14:textId="562B33D9" w:rsidR="00536838" w:rsidRPr="00536838" w:rsidRDefault="00536838" w:rsidP="006952B4">
            <w:pPr>
              <w:spacing w:before="60" w:after="60"/>
              <w:contextualSpacing/>
              <w:jc w:val="both"/>
              <w:rPr>
                <w:rFonts w:ascii="Times New Roman" w:eastAsia="Times New Roman" w:hAnsi="Times New Roman" w:cs="Times New Roman"/>
                <w:color w:val="1A1E23"/>
              </w:rPr>
            </w:pPr>
            <w:r w:rsidRPr="00536838">
              <w:rPr>
                <w:rFonts w:ascii="Times New Roman" w:eastAsia="Times New Roman" w:hAnsi="Times New Roman" w:cs="Times New Roman"/>
                <w:color w:val="1A1E23"/>
              </w:rPr>
              <w:t>—</w:t>
            </w:r>
          </w:p>
        </w:tc>
      </w:tr>
    </w:tbl>
    <w:p w14:paraId="4E10D615" w14:textId="386C120E" w:rsidR="00364646" w:rsidRDefault="004D3749" w:rsidP="00B173AD">
      <w:pPr>
        <w:pStyle w:val="Caption"/>
        <w:spacing w:before="240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</w:t>
      </w:r>
      <w:r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catterplot</w:t>
      </w:r>
      <w:r w:rsidR="00B17FA3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 w:rsidR="00926D0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between</w:t>
      </w:r>
      <w:r w:rsidR="00B17FA3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each pair of features are </w:t>
      </w:r>
      <w:r w:rsidR="00C645F2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presented in </w:t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begin"/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REF _Ref24286323 \h </w:instrText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instrText xml:space="preserve"> \* MERGEFORMAT </w:instrText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separate"/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Figure 1</w:t>
      </w:r>
      <w:r w:rsidR="00CD3AA3" w:rsidRP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fldChar w:fldCharType="end"/>
      </w:r>
      <w:r w:rsidR="00CD3AA3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s initial observation </w:t>
      </w:r>
      <w:r w:rsidR="00FD5128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and</w:t>
      </w:r>
      <w:r w:rsidR="00B73AD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the plots are </w:t>
      </w:r>
      <w:r w:rsidR="00ED45B1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used for preliminary inspection </w:t>
      </w:r>
      <w:r w:rsidR="009F6431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of </w:t>
      </w:r>
      <w:r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any </w:t>
      </w:r>
      <w:r w:rsidR="0096483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possible </w:t>
      </w:r>
      <w:r w:rsidR="009F6431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correlation </w:t>
      </w:r>
      <w:r w:rsidR="00077AF0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or dependency </w:t>
      </w:r>
      <w:r w:rsidR="00D650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among</w:t>
      </w:r>
      <w:r w:rsidR="000A1B1F" w:rsidRPr="0053683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the features. </w:t>
      </w:r>
      <w:r w:rsidR="00BB7C95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It may be noted that </w:t>
      </w:r>
      <w:r w:rsidR="00042F0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 very strong correlation is present between </w:t>
      </w:r>
      <w:r w:rsidR="00DB509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many of the predictors. </w:t>
      </w:r>
      <w:r w:rsidR="001B3068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For example, </w:t>
      </w:r>
      <w:r w:rsidR="00ED7FD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ADJ is highly correlated with </w:t>
      </w:r>
      <w:r w:rsidR="0023549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the </w:t>
      </w:r>
      <w:r w:rsidR="00894B6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ADP,ADV,CCONJ,DET,NOUN,</w:t>
      </w:r>
      <w:r w:rsidR="0016274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PART,PRON,PUNCT,</w:t>
      </w:r>
      <w:r w:rsidR="0023549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VERB and </w:t>
      </w:r>
      <w:proofErr w:type="spellStart"/>
      <w:r w:rsidR="00D6504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</w:t>
      </w:r>
      <w:r w:rsidR="0023549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otal_words</w:t>
      </w:r>
      <w:proofErr w:type="spellEnd"/>
      <w:r w:rsidR="0023549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predictors.</w:t>
      </w:r>
      <w:r w:rsidR="00573E27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Similar trend can be observed for other predictors as well. </w:t>
      </w:r>
      <w:r w:rsidR="00586C5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Clearly t</w:t>
      </w:r>
      <w:r w:rsidR="00D2262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his</w:t>
      </w:r>
      <w:bookmarkStart w:id="1" w:name="_GoBack"/>
      <w:bookmarkEnd w:id="1"/>
      <w:r w:rsidR="00A634FE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observation </w:t>
      </w:r>
      <w:r w:rsidR="00586014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suggests</w:t>
      </w:r>
      <w:r w:rsidR="00D2262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th</w:t>
      </w:r>
      <w:r w:rsidR="00CB5781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e need for</w:t>
      </w:r>
      <w:r w:rsidR="00D65B8F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Principle Component Analysis(PCA) to </w:t>
      </w:r>
      <w:r w:rsidR="003E646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filter out the variables which </w:t>
      </w:r>
      <w:r w:rsidR="00586C52" w:rsidRPr="00586C5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approximate most of the complexity in </w:t>
      </w:r>
      <w:r w:rsidR="00586C5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the</w:t>
      </w:r>
      <w:r w:rsidR="00586C52" w:rsidRPr="00586C5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 xml:space="preserve"> datase</w:t>
      </w:r>
      <w:r w:rsidR="00586C52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t</w:t>
      </w:r>
      <w:r w:rsidR="005621BA"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  <w:t>.</w:t>
      </w:r>
    </w:p>
    <w:p w14:paraId="17305384" w14:textId="51745318" w:rsidR="00902AE1" w:rsidRPr="00364646" w:rsidRDefault="00902AE1" w:rsidP="00364646">
      <w:pPr>
        <w:pStyle w:val="Caption"/>
        <w:jc w:val="both"/>
        <w:rPr>
          <w:rFonts w:ascii="Times New Roman" w:hAnsi="Times New Roman" w:cs="Times New Roman"/>
          <w:i w:val="0"/>
          <w:iCs w:val="0"/>
          <w:color w:val="auto"/>
          <w:sz w:val="22"/>
          <w:szCs w:val="22"/>
        </w:rPr>
      </w:pPr>
      <w:r w:rsidRPr="00364646">
        <w:rPr>
          <w:rFonts w:ascii="Times New Roman" w:hAnsi="Times New Roman" w:cs="Times New Roman"/>
          <w:b/>
          <w:i w:val="0"/>
          <w:color w:val="000000" w:themeColor="text1"/>
          <w:sz w:val="24"/>
        </w:rPr>
        <w:t>Principle Component Analysis (PCA):</w:t>
      </w:r>
      <w:r w:rsidRPr="00364646">
        <w:rPr>
          <w:rFonts w:ascii="Times New Roman" w:hAnsi="Times New Roman" w:cs="Times New Roman"/>
          <w:b/>
          <w:i w:val="0"/>
          <w:color w:val="000000" w:themeColor="text1"/>
        </w:rPr>
        <w:t xml:space="preserve"> </w:t>
      </w:r>
      <w:r w:rsidR="00367204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Scatterplots already confirmed that many predictors are highly correlated</w:t>
      </w:r>
      <w:r w:rsidR="001B78CC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, hence </w:t>
      </w:r>
      <w:r w:rsidR="0091398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we have performed PCA </w:t>
      </w:r>
      <w:r w:rsidR="00003BF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on</w:t>
      </w:r>
      <w:r w:rsidR="0091398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the</w:t>
      </w:r>
      <w:r w:rsidR="00003BF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feature set consisting of</w:t>
      </w:r>
      <w:r w:rsidR="0091398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="00003BF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18 predictors</w:t>
      </w:r>
      <w:r w:rsidR="0091398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to determine </w:t>
      </w:r>
      <w:r w:rsidR="006237A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which </w:t>
      </w:r>
      <w:r w:rsidR="00003BF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of these predictors</w:t>
      </w:r>
      <w:r w:rsidR="006237A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capture most of the </w:t>
      </w:r>
      <w:r w:rsidR="003A448C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variance </w:t>
      </w:r>
      <w:r w:rsidR="006237A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in the dataset.</w:t>
      </w:r>
      <w:r w:rsidR="00EA2FAB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="00003BF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Specifically, o</w:t>
      </w:r>
      <w:r w:rsidR="00E066C3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bservations in the training dataset </w:t>
      </w:r>
      <w:r w:rsidR="00A1278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are</w:t>
      </w:r>
      <w:r w:rsidR="00E066C3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="00F1201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used to </w:t>
      </w:r>
      <w:r w:rsidR="00EB16C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find</w:t>
      </w:r>
      <w:r w:rsidR="00F1201A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the principle components</w:t>
      </w:r>
      <w:r w:rsidR="000E7897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(PC)</w:t>
      </w:r>
      <w:r w:rsidR="00EB16C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and </w:t>
      </w:r>
      <w:r w:rsidR="007532DF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summary </w:t>
      </w:r>
      <w:r w:rsidR="00EB16C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of the </w:t>
      </w:r>
      <w:r w:rsidR="007532DF" w:rsidRPr="0036464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PCA object is shown </w:t>
      </w:r>
      <w:r w:rsidR="00364646" w:rsidRPr="00364646">
        <w:rPr>
          <w:rFonts w:ascii="Times New Roman" w:hAnsi="Times New Roman" w:cs="Times New Roman"/>
          <w:i w:val="0"/>
          <w:color w:val="000000" w:themeColor="text1"/>
          <w:sz w:val="22"/>
        </w:rPr>
        <w:t>below.</w:t>
      </w:r>
      <w:r w:rsidR="00770436">
        <w:rPr>
          <w:rFonts w:ascii="Times New Roman" w:hAnsi="Times New Roman" w:cs="Times New Roman"/>
          <w:i w:val="0"/>
          <w:color w:val="000000" w:themeColor="text1"/>
          <w:sz w:val="22"/>
        </w:rPr>
        <w:t xml:space="preserve"> </w:t>
      </w:r>
      <w:r w:rsidR="00770436" w:rsidRPr="00770436">
        <w:rPr>
          <w:rFonts w:ascii="Times New Roman" w:hAnsi="Times New Roman" w:cs="Times New Roman"/>
          <w:i w:val="0"/>
          <w:color w:val="000000" w:themeColor="text1"/>
          <w:sz w:val="22"/>
        </w:rPr>
        <w:t>We have obtained 18 principal components which we call PC1-18 , and out of them, PC1 and PC2 explains 64% and 9.3% ,i.e. 73.3% of the total variability in the training dataset.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64646" w14:paraId="4ADC4F30" w14:textId="77777777" w:rsidTr="00364646">
        <w:tc>
          <w:tcPr>
            <w:tcW w:w="9576" w:type="dxa"/>
          </w:tcPr>
          <w:p w14:paraId="1A26501E" w14:textId="3BF0022F" w:rsidR="00364646" w:rsidRDefault="00364646" w:rsidP="00364646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86E458D" wp14:editId="5F6C1CD6">
                  <wp:extent cx="5995670" cy="139446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670" cy="1394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8FDA5" w14:textId="5179F638" w:rsidR="00B1363B" w:rsidRPr="00364646" w:rsidRDefault="00770436" w:rsidP="00364646">
      <w:r w:rsidRPr="006952B4">
        <w:rPr>
          <w:rFonts w:ascii="Times New Roman" w:hAnsi="Times New Roman" w:cs="Times New Roman"/>
        </w:rPr>
        <w:t xml:space="preserve">Hence, we know that by </w:t>
      </w:r>
      <w:r>
        <w:rPr>
          <w:rFonts w:ascii="Times New Roman" w:hAnsi="Times New Roman" w:cs="Times New Roman"/>
        </w:rPr>
        <w:t>analyzing</w:t>
      </w:r>
      <w:r w:rsidRPr="006952B4">
        <w:rPr>
          <w:rFonts w:ascii="Times New Roman" w:hAnsi="Times New Roman" w:cs="Times New Roman"/>
        </w:rPr>
        <w:t xml:space="preserve"> the position of an observation based on PC1 and PC2 we can get an accurate view on where it stands in relation to other samples.</w:t>
      </w:r>
      <w:r w:rsidR="00A03BF3">
        <w:rPr>
          <w:rFonts w:ascii="Times New Roman" w:hAnsi="Times New Roman" w:cs="Times New Roman"/>
        </w:rPr>
        <w:t xml:space="preserve"> </w:t>
      </w:r>
      <w:r w:rsidR="00A03BF3" w:rsidRPr="006952B4">
        <w:rPr>
          <w:rFonts w:ascii="Times New Roman" w:hAnsi="Times New Roman" w:cs="Times New Roman"/>
        </w:rPr>
        <w:t xml:space="preserve">The loading plot of the PCA presenting the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2250A" w14:paraId="48164A65" w14:textId="77777777" w:rsidTr="007A428B">
        <w:tc>
          <w:tcPr>
            <w:tcW w:w="9576" w:type="dxa"/>
          </w:tcPr>
          <w:p w14:paraId="75CE9809" w14:textId="4C3BCC70" w:rsidR="0002250A" w:rsidRDefault="00BB1DBD" w:rsidP="006952B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1EC0B3" wp14:editId="798A821D">
                  <wp:extent cx="5943600" cy="5943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llplot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C2DD1" w14:textId="180D6338" w:rsidR="00867505" w:rsidRPr="00BB1DBD" w:rsidRDefault="00BB1DBD" w:rsidP="006952B4">
            <w:pPr>
              <w:jc w:val="center"/>
            </w:pPr>
            <w:bookmarkStart w:id="2" w:name="_Ref24286323"/>
            <w:r w:rsidRPr="00BB1DBD">
              <w:rPr>
                <w:rFonts w:ascii="Times New Roman" w:hAnsi="Times New Roman" w:cs="Times New Roman"/>
                <w:iCs/>
              </w:rPr>
              <w:t xml:space="preserve">Figure </w:t>
            </w:r>
            <w:r w:rsidRPr="00BB1DBD">
              <w:rPr>
                <w:rFonts w:ascii="Times New Roman" w:hAnsi="Times New Roman" w:cs="Times New Roman"/>
                <w:iCs/>
              </w:rPr>
              <w:fldChar w:fldCharType="begin"/>
            </w:r>
            <w:r w:rsidRPr="00BB1DBD">
              <w:rPr>
                <w:rFonts w:ascii="Times New Roman" w:hAnsi="Times New Roman" w:cs="Times New Roman"/>
                <w:iCs/>
              </w:rPr>
              <w:instrText xml:space="preserve"> SEQ Figure \* ARABIC </w:instrText>
            </w:r>
            <w:r w:rsidRPr="00BB1DBD">
              <w:rPr>
                <w:rFonts w:ascii="Times New Roman" w:hAnsi="Times New Roman" w:cs="Times New Roman"/>
                <w:iCs/>
              </w:rPr>
              <w:fldChar w:fldCharType="separate"/>
            </w:r>
            <w:r w:rsidR="000E21BA">
              <w:rPr>
                <w:rFonts w:ascii="Times New Roman" w:hAnsi="Times New Roman" w:cs="Times New Roman"/>
                <w:iCs/>
                <w:noProof/>
              </w:rPr>
              <w:t>1</w:t>
            </w:r>
            <w:r w:rsidRPr="00BB1DBD">
              <w:rPr>
                <w:rFonts w:ascii="Times New Roman" w:hAnsi="Times New Roman" w:cs="Times New Roman"/>
                <w:iCs/>
              </w:rPr>
              <w:fldChar w:fldCharType="end"/>
            </w:r>
            <w:bookmarkEnd w:id="2"/>
            <w:r>
              <w:rPr>
                <w:rFonts w:ascii="Times New Roman" w:hAnsi="Times New Roman" w:cs="Times New Roman"/>
                <w:iCs/>
              </w:rPr>
              <w:t>. Scatterplots between all pairs of predictors.</w:t>
            </w:r>
          </w:p>
        </w:tc>
      </w:tr>
    </w:tbl>
    <w:p w14:paraId="2B1BAE5D" w14:textId="279BBA86" w:rsidR="0076246D" w:rsidRDefault="00A03BF3" w:rsidP="006952B4">
      <w:pPr>
        <w:spacing w:before="240"/>
        <w:jc w:val="both"/>
        <w:rPr>
          <w:rFonts w:ascii="Times New Roman" w:hAnsi="Times New Roman" w:cs="Times New Roman"/>
        </w:rPr>
      </w:pPr>
      <w:r w:rsidRPr="006952B4">
        <w:rPr>
          <w:rFonts w:ascii="Times New Roman" w:hAnsi="Times New Roman" w:cs="Times New Roman"/>
        </w:rPr>
        <w:lastRenderedPageBreak/>
        <w:t>predictors contributing</w:t>
      </w:r>
      <w:r w:rsidRPr="006952B4">
        <w:rPr>
          <w:rFonts w:ascii="Times New Roman" w:hAnsi="Times New Roman" w:cs="Times New Roman"/>
        </w:rPr>
        <w:t xml:space="preserve"> </w:t>
      </w:r>
      <w:r w:rsidR="006F4F47" w:rsidRPr="006952B4">
        <w:rPr>
          <w:rFonts w:ascii="Times New Roman" w:hAnsi="Times New Roman" w:cs="Times New Roman"/>
        </w:rPr>
        <w:t>to the PC1 and PC2 respectively</w:t>
      </w:r>
      <w:r w:rsidR="001F3D96" w:rsidRPr="006952B4">
        <w:rPr>
          <w:rFonts w:ascii="Times New Roman" w:hAnsi="Times New Roman" w:cs="Times New Roman"/>
        </w:rPr>
        <w:t xml:space="preserve"> </w:t>
      </w:r>
      <w:r w:rsidR="00F62FD9" w:rsidRPr="006952B4">
        <w:rPr>
          <w:rFonts w:ascii="Times New Roman" w:hAnsi="Times New Roman" w:cs="Times New Roman"/>
        </w:rPr>
        <w:t>is shown in</w:t>
      </w:r>
      <w:r w:rsidR="00770436">
        <w:rPr>
          <w:rFonts w:ascii="Times New Roman" w:hAnsi="Times New Roman" w:cs="Times New Roman"/>
          <w:color w:val="FF0000"/>
        </w:rPr>
        <w:t xml:space="preserve"> </w:t>
      </w:r>
      <w:r w:rsidR="00770436">
        <w:rPr>
          <w:rFonts w:ascii="Times New Roman" w:hAnsi="Times New Roman" w:cs="Times New Roman"/>
          <w:color w:val="FF0000"/>
        </w:rPr>
        <w:fldChar w:fldCharType="begin"/>
      </w:r>
      <w:r w:rsidR="00770436">
        <w:rPr>
          <w:rFonts w:ascii="Times New Roman" w:hAnsi="Times New Roman" w:cs="Times New Roman"/>
          <w:color w:val="FF0000"/>
        </w:rPr>
        <w:instrText xml:space="preserve"> REF _Ref24298219 \h </w:instrText>
      </w:r>
      <w:r w:rsidR="00770436">
        <w:rPr>
          <w:rFonts w:ascii="Times New Roman" w:hAnsi="Times New Roman" w:cs="Times New Roman"/>
          <w:color w:val="FF0000"/>
        </w:rPr>
      </w:r>
      <w:r w:rsidR="00770436">
        <w:rPr>
          <w:rFonts w:ascii="Times New Roman" w:hAnsi="Times New Roman" w:cs="Times New Roman"/>
          <w:color w:val="FF0000"/>
        </w:rPr>
        <w:fldChar w:fldCharType="separate"/>
      </w:r>
      <w:r w:rsidR="00770436" w:rsidRPr="00E562CB">
        <w:rPr>
          <w:rFonts w:ascii="Times New Roman" w:hAnsi="Times New Roman" w:cs="Times New Roman"/>
          <w:iCs/>
        </w:rPr>
        <w:t>Figure 2</w:t>
      </w:r>
      <w:r w:rsidR="00770436">
        <w:rPr>
          <w:rFonts w:ascii="Times New Roman" w:hAnsi="Times New Roman" w:cs="Times New Roman"/>
          <w:color w:val="FF0000"/>
        </w:rPr>
        <w:fldChar w:fldCharType="end"/>
      </w:r>
      <w:r w:rsidR="00770436">
        <w:rPr>
          <w:rFonts w:ascii="Times New Roman" w:hAnsi="Times New Roman" w:cs="Times New Roman"/>
          <w:color w:val="FF0000"/>
        </w:rPr>
        <w:t>.</w:t>
      </w:r>
      <w:r w:rsidR="006F4F47" w:rsidRPr="006952B4">
        <w:rPr>
          <w:rFonts w:ascii="Times New Roman" w:hAnsi="Times New Roman" w:cs="Times New Roman"/>
          <w:color w:val="FF0000"/>
        </w:rPr>
        <w:t xml:space="preserve"> </w:t>
      </w:r>
      <w:r w:rsidR="00D362B1" w:rsidRPr="006952B4">
        <w:rPr>
          <w:rFonts w:ascii="Times New Roman" w:hAnsi="Times New Roman" w:cs="Times New Roman"/>
        </w:rPr>
        <w:t>Loading plot</w:t>
      </w:r>
      <w:r w:rsidR="00AD46D5" w:rsidRPr="006952B4">
        <w:rPr>
          <w:rFonts w:ascii="Times New Roman" w:hAnsi="Times New Roman" w:cs="Times New Roman"/>
        </w:rPr>
        <w:t xml:space="preserve"> </w:t>
      </w:r>
      <w:r w:rsidR="00D362B1" w:rsidRPr="006952B4">
        <w:rPr>
          <w:rFonts w:ascii="Times New Roman" w:hAnsi="Times New Roman" w:cs="Times New Roman"/>
        </w:rPr>
        <w:t xml:space="preserve">shows that </w:t>
      </w:r>
      <w:r w:rsidR="000E7897" w:rsidRPr="006952B4">
        <w:rPr>
          <w:rFonts w:ascii="Times New Roman" w:hAnsi="Times New Roman" w:cs="Times New Roman"/>
        </w:rPr>
        <w:t>the predictors SYM, NUM, PROPN do not contribute significantly on either PCs hence can be ignored</w:t>
      </w:r>
      <w:r w:rsidR="009C42DB" w:rsidRPr="006952B4">
        <w:rPr>
          <w:rFonts w:ascii="Times New Roman" w:hAnsi="Times New Roman" w:cs="Times New Roman"/>
        </w:rPr>
        <w:t xml:space="preserve"> while </w:t>
      </w:r>
      <w:r w:rsidR="006150CE">
        <w:rPr>
          <w:rFonts w:ascii="Times New Roman" w:hAnsi="Times New Roman" w:cs="Times New Roman"/>
        </w:rPr>
        <w:t>defining</w:t>
      </w:r>
      <w:r w:rsidR="009C42DB" w:rsidRPr="006952B4">
        <w:rPr>
          <w:rFonts w:ascii="Times New Roman" w:hAnsi="Times New Roman" w:cs="Times New Roman"/>
        </w:rPr>
        <w:t xml:space="preserve"> the classification models.</w:t>
      </w:r>
    </w:p>
    <w:tbl>
      <w:tblPr>
        <w:tblStyle w:val="TableGrid"/>
        <w:tblW w:w="11520" w:type="dxa"/>
        <w:tblInd w:w="-8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364646" w14:paraId="36EA37CC" w14:textId="2D538ADB" w:rsidTr="00364646">
        <w:tc>
          <w:tcPr>
            <w:tcW w:w="11520" w:type="dxa"/>
          </w:tcPr>
          <w:p w14:paraId="6D215CDF" w14:textId="77777777" w:rsidR="00364646" w:rsidRDefault="00364646" w:rsidP="003646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F53945F" wp14:editId="546FD122">
                  <wp:extent cx="4206240" cy="2595851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55" cy="2621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02CC1F" w14:textId="33F4BF17" w:rsidR="00364646" w:rsidRPr="00E562CB" w:rsidRDefault="00364646" w:rsidP="00364646">
            <w:pPr>
              <w:jc w:val="center"/>
              <w:rPr>
                <w:rFonts w:ascii="Times New Roman" w:hAnsi="Times New Roman" w:cs="Times New Roman"/>
              </w:rPr>
            </w:pPr>
            <w:bookmarkStart w:id="3" w:name="_Ref24298219"/>
            <w:r w:rsidRPr="00E562CB">
              <w:rPr>
                <w:rFonts w:ascii="Times New Roman" w:hAnsi="Times New Roman" w:cs="Times New Roman"/>
                <w:iCs/>
              </w:rPr>
              <w:t xml:space="preserve">Figure </w:t>
            </w:r>
            <w:r w:rsidRPr="00E562CB">
              <w:rPr>
                <w:rFonts w:ascii="Times New Roman" w:hAnsi="Times New Roman" w:cs="Times New Roman"/>
                <w:iCs/>
              </w:rPr>
              <w:fldChar w:fldCharType="begin"/>
            </w:r>
            <w:r w:rsidRPr="00E562CB">
              <w:rPr>
                <w:rFonts w:ascii="Times New Roman" w:hAnsi="Times New Roman" w:cs="Times New Roman"/>
                <w:iCs/>
              </w:rPr>
              <w:instrText xml:space="preserve"> SEQ Figure \* ARABIC </w:instrText>
            </w:r>
            <w:r w:rsidRPr="00E562CB">
              <w:rPr>
                <w:rFonts w:ascii="Times New Roman" w:hAnsi="Times New Roman" w:cs="Times New Roman"/>
                <w:iCs/>
              </w:rPr>
              <w:fldChar w:fldCharType="separate"/>
            </w:r>
            <w:r w:rsidRPr="00E562CB">
              <w:rPr>
                <w:rFonts w:ascii="Times New Roman" w:hAnsi="Times New Roman" w:cs="Times New Roman"/>
                <w:iCs/>
              </w:rPr>
              <w:t>2</w:t>
            </w:r>
            <w:r w:rsidRPr="00E562CB">
              <w:rPr>
                <w:rFonts w:ascii="Times New Roman" w:hAnsi="Times New Roman" w:cs="Times New Roman"/>
                <w:iCs/>
              </w:rPr>
              <w:fldChar w:fldCharType="end"/>
            </w:r>
            <w:bookmarkEnd w:id="3"/>
            <w:r w:rsidRPr="00E562CB">
              <w:rPr>
                <w:rFonts w:ascii="Times New Roman" w:hAnsi="Times New Roman" w:cs="Times New Roman"/>
                <w:iCs/>
              </w:rPr>
              <w:t>.</w:t>
            </w:r>
            <w:r w:rsidRPr="00E562CB">
              <w:rPr>
                <w:rFonts w:ascii="Times New Roman" w:hAnsi="Times New Roman" w:cs="Times New Roman"/>
              </w:rPr>
              <w:t xml:space="preserve"> Loading plot of the PCA model</w:t>
            </w:r>
          </w:p>
        </w:tc>
      </w:tr>
    </w:tbl>
    <w:p w14:paraId="06EC3B7F" w14:textId="6EBD63BE" w:rsidR="00E43959" w:rsidRDefault="00E43959" w:rsidP="00E43959"/>
    <w:p w14:paraId="72A85BEB" w14:textId="30730816" w:rsidR="00BE335C" w:rsidRPr="009C5582" w:rsidRDefault="00192549" w:rsidP="00E43959">
      <w:pPr>
        <w:rPr>
          <w:rFonts w:ascii="Times New Roman" w:hAnsi="Times New Roman" w:cs="Times New Roman"/>
        </w:rPr>
      </w:pPr>
      <w:r w:rsidRPr="009C5582">
        <w:rPr>
          <w:rFonts w:ascii="Times New Roman" w:hAnsi="Times New Roman" w:cs="Times New Roman"/>
        </w:rPr>
        <w:t>In the following sections we discuss about different classification models that we have developed using the training datasets and present their performance on the test dataset.</w:t>
      </w:r>
    </w:p>
    <w:sectPr w:rsidR="00BE335C" w:rsidRPr="009C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wMDY2MDE3tzQzsbRQ0lEKTi0uzszPAykwrAUAEwiPLCwAAAA="/>
  </w:docVars>
  <w:rsids>
    <w:rsidRoot w:val="00DB0243"/>
    <w:rsid w:val="00003BF6"/>
    <w:rsid w:val="00010021"/>
    <w:rsid w:val="00013939"/>
    <w:rsid w:val="0002250A"/>
    <w:rsid w:val="00025EAB"/>
    <w:rsid w:val="00042F0E"/>
    <w:rsid w:val="00077AF0"/>
    <w:rsid w:val="000A1B1F"/>
    <w:rsid w:val="000B68D8"/>
    <w:rsid w:val="000C01C9"/>
    <w:rsid w:val="000E21BA"/>
    <w:rsid w:val="000E3C2B"/>
    <w:rsid w:val="000E7897"/>
    <w:rsid w:val="001029F8"/>
    <w:rsid w:val="00106C9D"/>
    <w:rsid w:val="00111CE7"/>
    <w:rsid w:val="00113A44"/>
    <w:rsid w:val="00162742"/>
    <w:rsid w:val="00192549"/>
    <w:rsid w:val="00193626"/>
    <w:rsid w:val="001B3068"/>
    <w:rsid w:val="001B78CC"/>
    <w:rsid w:val="001B7AE8"/>
    <w:rsid w:val="001C6A5E"/>
    <w:rsid w:val="001F3D96"/>
    <w:rsid w:val="00207452"/>
    <w:rsid w:val="0022133E"/>
    <w:rsid w:val="002244E4"/>
    <w:rsid w:val="0023508A"/>
    <w:rsid w:val="0023549E"/>
    <w:rsid w:val="002529E7"/>
    <w:rsid w:val="0027504B"/>
    <w:rsid w:val="0028413B"/>
    <w:rsid w:val="00286F53"/>
    <w:rsid w:val="002A40E9"/>
    <w:rsid w:val="002C49A6"/>
    <w:rsid w:val="002E1CA3"/>
    <w:rsid w:val="002F4F9D"/>
    <w:rsid w:val="003140B1"/>
    <w:rsid w:val="00345FB4"/>
    <w:rsid w:val="0035728A"/>
    <w:rsid w:val="003643E3"/>
    <w:rsid w:val="00364646"/>
    <w:rsid w:val="00367204"/>
    <w:rsid w:val="0038112F"/>
    <w:rsid w:val="003A1561"/>
    <w:rsid w:val="003A448C"/>
    <w:rsid w:val="003C3796"/>
    <w:rsid w:val="003E0CBF"/>
    <w:rsid w:val="003E6462"/>
    <w:rsid w:val="003F4820"/>
    <w:rsid w:val="003F556D"/>
    <w:rsid w:val="004322FE"/>
    <w:rsid w:val="0043407C"/>
    <w:rsid w:val="00434C07"/>
    <w:rsid w:val="0047142C"/>
    <w:rsid w:val="004C5499"/>
    <w:rsid w:val="004D3749"/>
    <w:rsid w:val="004F426F"/>
    <w:rsid w:val="005025F8"/>
    <w:rsid w:val="00511EDC"/>
    <w:rsid w:val="0052364C"/>
    <w:rsid w:val="0053591B"/>
    <w:rsid w:val="00536838"/>
    <w:rsid w:val="00537607"/>
    <w:rsid w:val="005621BA"/>
    <w:rsid w:val="00573E27"/>
    <w:rsid w:val="0058170C"/>
    <w:rsid w:val="00586014"/>
    <w:rsid w:val="00586C52"/>
    <w:rsid w:val="005A4C6F"/>
    <w:rsid w:val="005B7843"/>
    <w:rsid w:val="005C393C"/>
    <w:rsid w:val="005E3B28"/>
    <w:rsid w:val="005F5FF7"/>
    <w:rsid w:val="006150CE"/>
    <w:rsid w:val="00616768"/>
    <w:rsid w:val="006237A6"/>
    <w:rsid w:val="006449EF"/>
    <w:rsid w:val="0066394B"/>
    <w:rsid w:val="006641AE"/>
    <w:rsid w:val="00664728"/>
    <w:rsid w:val="00665D30"/>
    <w:rsid w:val="00676B6E"/>
    <w:rsid w:val="00677BDA"/>
    <w:rsid w:val="006874FE"/>
    <w:rsid w:val="006952B4"/>
    <w:rsid w:val="006D0D22"/>
    <w:rsid w:val="006E6F65"/>
    <w:rsid w:val="006F4F47"/>
    <w:rsid w:val="00717A15"/>
    <w:rsid w:val="007532DF"/>
    <w:rsid w:val="0076246D"/>
    <w:rsid w:val="00770436"/>
    <w:rsid w:val="0077274C"/>
    <w:rsid w:val="00783964"/>
    <w:rsid w:val="007A428B"/>
    <w:rsid w:val="007E43E3"/>
    <w:rsid w:val="007E5CEF"/>
    <w:rsid w:val="007F1FCB"/>
    <w:rsid w:val="00803DC7"/>
    <w:rsid w:val="008342F7"/>
    <w:rsid w:val="008456B1"/>
    <w:rsid w:val="00851D05"/>
    <w:rsid w:val="00867505"/>
    <w:rsid w:val="00876708"/>
    <w:rsid w:val="00881331"/>
    <w:rsid w:val="00886B75"/>
    <w:rsid w:val="00890675"/>
    <w:rsid w:val="00891E77"/>
    <w:rsid w:val="00894B62"/>
    <w:rsid w:val="008B0FBD"/>
    <w:rsid w:val="008D31B1"/>
    <w:rsid w:val="008E3686"/>
    <w:rsid w:val="008E4338"/>
    <w:rsid w:val="008E551F"/>
    <w:rsid w:val="00902AE1"/>
    <w:rsid w:val="0091228E"/>
    <w:rsid w:val="0091398A"/>
    <w:rsid w:val="00913AAD"/>
    <w:rsid w:val="00926D08"/>
    <w:rsid w:val="00937A70"/>
    <w:rsid w:val="00964834"/>
    <w:rsid w:val="009B3526"/>
    <w:rsid w:val="009C42DB"/>
    <w:rsid w:val="009C5582"/>
    <w:rsid w:val="009C5FCC"/>
    <w:rsid w:val="009D004C"/>
    <w:rsid w:val="009D3F62"/>
    <w:rsid w:val="009E0298"/>
    <w:rsid w:val="009F3EDF"/>
    <w:rsid w:val="009F6431"/>
    <w:rsid w:val="00A03BF3"/>
    <w:rsid w:val="00A11D42"/>
    <w:rsid w:val="00A1278A"/>
    <w:rsid w:val="00A44FFB"/>
    <w:rsid w:val="00A47163"/>
    <w:rsid w:val="00A57DC8"/>
    <w:rsid w:val="00A634FE"/>
    <w:rsid w:val="00A64171"/>
    <w:rsid w:val="00A7400C"/>
    <w:rsid w:val="00A82778"/>
    <w:rsid w:val="00AB5537"/>
    <w:rsid w:val="00AD46D5"/>
    <w:rsid w:val="00AD734E"/>
    <w:rsid w:val="00AF2662"/>
    <w:rsid w:val="00B1363B"/>
    <w:rsid w:val="00B173AD"/>
    <w:rsid w:val="00B17FA3"/>
    <w:rsid w:val="00B215F9"/>
    <w:rsid w:val="00B717BB"/>
    <w:rsid w:val="00B73AD2"/>
    <w:rsid w:val="00B85E9E"/>
    <w:rsid w:val="00B912E2"/>
    <w:rsid w:val="00B95225"/>
    <w:rsid w:val="00BA02A5"/>
    <w:rsid w:val="00BA702C"/>
    <w:rsid w:val="00BB1DBD"/>
    <w:rsid w:val="00BB7C95"/>
    <w:rsid w:val="00BD5206"/>
    <w:rsid w:val="00BE335C"/>
    <w:rsid w:val="00BF5B26"/>
    <w:rsid w:val="00BF6F17"/>
    <w:rsid w:val="00C140C1"/>
    <w:rsid w:val="00C16595"/>
    <w:rsid w:val="00C31957"/>
    <w:rsid w:val="00C33C2A"/>
    <w:rsid w:val="00C5242A"/>
    <w:rsid w:val="00C645F2"/>
    <w:rsid w:val="00C7484C"/>
    <w:rsid w:val="00C74A5D"/>
    <w:rsid w:val="00C8078C"/>
    <w:rsid w:val="00CA0CF8"/>
    <w:rsid w:val="00CA5B47"/>
    <w:rsid w:val="00CB4E66"/>
    <w:rsid w:val="00CB5781"/>
    <w:rsid w:val="00CD3AA3"/>
    <w:rsid w:val="00CE2049"/>
    <w:rsid w:val="00CF0F12"/>
    <w:rsid w:val="00D13D23"/>
    <w:rsid w:val="00D16911"/>
    <w:rsid w:val="00D216EA"/>
    <w:rsid w:val="00D2262A"/>
    <w:rsid w:val="00D235DB"/>
    <w:rsid w:val="00D362B1"/>
    <w:rsid w:val="00D6504A"/>
    <w:rsid w:val="00D65282"/>
    <w:rsid w:val="00D65B8F"/>
    <w:rsid w:val="00D734A9"/>
    <w:rsid w:val="00D762EC"/>
    <w:rsid w:val="00D859F4"/>
    <w:rsid w:val="00DA6924"/>
    <w:rsid w:val="00DB0243"/>
    <w:rsid w:val="00DB2282"/>
    <w:rsid w:val="00DB5097"/>
    <w:rsid w:val="00DD0875"/>
    <w:rsid w:val="00DE7DF2"/>
    <w:rsid w:val="00DF0490"/>
    <w:rsid w:val="00DF0768"/>
    <w:rsid w:val="00E066C3"/>
    <w:rsid w:val="00E07062"/>
    <w:rsid w:val="00E22FA7"/>
    <w:rsid w:val="00E26A2B"/>
    <w:rsid w:val="00E35581"/>
    <w:rsid w:val="00E376B0"/>
    <w:rsid w:val="00E40916"/>
    <w:rsid w:val="00E43959"/>
    <w:rsid w:val="00E46CFA"/>
    <w:rsid w:val="00E562CB"/>
    <w:rsid w:val="00E61C36"/>
    <w:rsid w:val="00E643AC"/>
    <w:rsid w:val="00E90ACA"/>
    <w:rsid w:val="00E94F78"/>
    <w:rsid w:val="00E971BD"/>
    <w:rsid w:val="00EA2FAB"/>
    <w:rsid w:val="00EA5E38"/>
    <w:rsid w:val="00EB16C6"/>
    <w:rsid w:val="00ED45B1"/>
    <w:rsid w:val="00ED7FD7"/>
    <w:rsid w:val="00EE38A0"/>
    <w:rsid w:val="00EE70BF"/>
    <w:rsid w:val="00EF42C6"/>
    <w:rsid w:val="00F1201A"/>
    <w:rsid w:val="00F1532F"/>
    <w:rsid w:val="00F165CB"/>
    <w:rsid w:val="00F42713"/>
    <w:rsid w:val="00F62FD9"/>
    <w:rsid w:val="00F67759"/>
    <w:rsid w:val="00F67D6F"/>
    <w:rsid w:val="00F7516B"/>
    <w:rsid w:val="00F9473F"/>
    <w:rsid w:val="00FB5110"/>
    <w:rsid w:val="00FC65FD"/>
    <w:rsid w:val="00FD4A95"/>
    <w:rsid w:val="00FD4B0C"/>
    <w:rsid w:val="00FD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53E2789"/>
  <w15:chartTrackingRefBased/>
  <w15:docId w15:val="{437DF7DD-C5D5-4CA4-AABB-6C4E5BC3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85E9E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7E5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E3C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50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02A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AE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E7E3-5869-4346-BDAB-4B421CFC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Guha, Indranil</dc:creator>
  <cp:keywords/>
  <dc:description/>
  <cp:lastModifiedBy>Guha, Indranil</cp:lastModifiedBy>
  <cp:revision>215</cp:revision>
  <dcterms:created xsi:type="dcterms:W3CDTF">2019-11-09T20:01:00Z</dcterms:created>
  <dcterms:modified xsi:type="dcterms:W3CDTF">2019-11-10T23:43:00Z</dcterms:modified>
</cp:coreProperties>
</file>