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DATASTRUMA LLC</w:t>
      </w:r>
    </w:p>
    <w:p>
      <w:pPr>
        <w:jc w:val="center"/>
      </w:pPr>
      <w:r>
        <w:rPr>
          <w:b/>
          <w:sz w:val="40"/>
        </w:rPr>
        <w:t>Independent Contractor Confidentiality &amp; NDA Template</w:t>
      </w:r>
    </w:p>
    <w:p>
      <w:pPr>
        <w:jc w:val="center"/>
      </w:pPr>
      <w:r>
        <w:t>Template for counsel review before use</w:t>
      </w:r>
    </w:p>
    <w:p>
      <w:r>
        <w:t>IMPORTANT: This is an operational template, not legal advice. Datastruma should have qualified counsel review it for the governing jurisdiction and contractor model before execution.</w:t>
      </w:r>
    </w:p>
    <w:p>
      <w:pPr>
        <w:pStyle w:val="Heading1"/>
      </w:pPr>
      <w:r>
        <w:t>1. Parties</w:t>
      </w:r>
    </w:p>
    <w:p>
      <w:r>
        <w:t>This Agreement is between Datastruma LLC (“Company”) and __________________ (“Contractor”), effective __________.</w:t>
      </w:r>
    </w:p>
    <w:p>
      <w:pPr>
        <w:pStyle w:val="Heading1"/>
      </w:pPr>
      <w:r>
        <w:t>2. Confidential Information</w:t>
      </w:r>
    </w:p>
    <w:p>
      <w:r>
        <w:t>Confidential Information includes client data, prompts, model outputs, rubrics, datasets, credentials, project instructions, business information, technical information, and any non-public information disclosed in connection with work.</w:t>
      </w:r>
    </w:p>
    <w:p>
      <w:pPr>
        <w:pStyle w:val="Heading1"/>
      </w:pPr>
      <w:r>
        <w:t>3. Use and Non-Disclosure</w:t>
      </w:r>
    </w:p>
    <w:p>
      <w:r>
        <w:t>Contractor will use Confidential Information only to perform authorized services, will not disclose it to any third party, and will follow Company/client handling instructions.</w:t>
      </w:r>
    </w:p>
    <w:p>
      <w:pPr>
        <w:pStyle w:val="Heading1"/>
      </w:pPr>
      <w:r>
        <w:t>4. Security</w:t>
      </w:r>
    </w:p>
    <w:p>
      <w:r>
        <w:t>Contractor will use only approved accounts, devices, storage, communication channels, and tools; will not upload project content to unauthorized AI services; and will promptly report suspected loss, exposure, or unauthorized access.</w:t>
      </w:r>
    </w:p>
    <w:p>
      <w:pPr>
        <w:pStyle w:val="Heading1"/>
      </w:pPr>
      <w:r>
        <w:t>5. Return / Deletion</w:t>
      </w:r>
    </w:p>
    <w:p>
      <w:r>
        <w:t>Upon request or end of engagement, Contractor will return or securely delete Company/client materials as instructed, subject to applicable legal retention requirements.</w:t>
      </w:r>
    </w:p>
    <w:p>
      <w:pPr>
        <w:pStyle w:val="Heading1"/>
      </w:pPr>
      <w:r>
        <w:t>6. Work Product</w:t>
      </w:r>
    </w:p>
    <w:p>
      <w:r>
        <w:t>To the extent permitted by applicable law and the applicable statement of work, project work product created for Company will be assigned to Company upon payment, excluding Contractor pre-existing materials specifically identified in writing.</w:t>
      </w:r>
    </w:p>
    <w:p>
      <w:pPr>
        <w:pStyle w:val="Heading1"/>
      </w:pPr>
      <w:r>
        <w:t>7. Independent Contractor</w:t>
      </w:r>
    </w:p>
    <w:p>
      <w:r>
        <w:t>Nothing in this template creates employment, partnership, or authority to bind Company. Compensation, tax, and work terms are governed by a separate written agreement or statement of work.</w:t>
      </w:r>
    </w:p>
    <w:p>
      <w:pPr>
        <w:pStyle w:val="Heading1"/>
      </w:pPr>
      <w:r>
        <w:t>8. Term and Survival</w:t>
      </w:r>
    </w:p>
    <w:p>
      <w:r>
        <w:t>Confidentiality obligations survive termination for the period required by the applicable client agreement or, if none is specified, as determined in the final counsel-approved agreement.</w:t>
      </w:r>
    </w:p>
    <w:p>
      <w:pPr>
        <w:pStyle w:val="Heading1"/>
      </w:pPr>
      <w:r>
        <w:t>9. Governing Law / Remedies</w:t>
      </w:r>
    </w:p>
    <w:p>
      <w:r>
        <w:t>To be completed by counsel.</w:t>
      </w:r>
    </w:p>
    <w:p>
      <w:pPr>
        <w:pStyle w:val="Heading1"/>
      </w:pPr>
      <w:r>
        <w:t>10. Signatures</w:t>
      </w:r>
    </w:p>
    <w:p>
      <w:r>
        <w:t>Datastruma LLC: __________________  Date: ________</w:t>
        <w:br/>
        <w:t>Contractor: _______________________  Date: 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