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5F5E" w14:textId="77777777" w:rsidR="00905543" w:rsidRPr="00905543" w:rsidRDefault="00905543" w:rsidP="00905543">
      <w:pPr>
        <w:keepNext/>
        <w:keepLines/>
        <w:spacing w:after="0" w:line="400" w:lineRule="exact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</w:pPr>
      <w:r w:rsidRPr="00905543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附</w:t>
      </w:r>
      <w:r w:rsidRPr="00905543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表</w:t>
      </w:r>
      <w:r w:rsidRPr="00905543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 xml:space="preserve">4-1  </w:t>
      </w:r>
      <w:r w:rsidRPr="00905543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成都市绿色建筑设计专项论证报告申报一览表（民用建筑）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3705"/>
        <w:gridCol w:w="1554"/>
        <w:gridCol w:w="4309"/>
        <w:gridCol w:w="2164"/>
        <w:gridCol w:w="1025"/>
        <w:gridCol w:w="1502"/>
      </w:tblGrid>
      <w:tr w:rsidR="00905543" w:rsidRPr="00905543" w14:paraId="31404E88" w14:textId="77777777" w:rsidTr="00905543">
        <w:trPr>
          <w:trHeight w:val="333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C51C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0" w:name="_Hlk178347970"/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项目名称</w:t>
            </w: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ABEE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" w:name="项目名称4"/>
            <w:bookmarkEnd w:id="1"/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960F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建设单位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958B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" w:name="建设单位4"/>
            <w:bookmarkEnd w:id="2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D49C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设计单位</w:t>
            </w:r>
          </w:p>
        </w:tc>
        <w:tc>
          <w:tcPr>
            <w:tcW w:w="8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46DA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" w:name="设计单位4"/>
            <w:bookmarkEnd w:id="3"/>
          </w:p>
        </w:tc>
      </w:tr>
      <w:tr w:rsidR="00905543" w:rsidRPr="00905543" w14:paraId="24B9A774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1723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建筑类型</w:t>
            </w:r>
          </w:p>
        </w:tc>
        <w:tc>
          <w:tcPr>
            <w:tcW w:w="12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7E51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" w:name="建筑类型4"/>
            <w:bookmarkEnd w:id="4"/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CDB9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星级目标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195E3" w14:textId="77777777" w:rsidR="00905543" w:rsidRPr="00905543" w:rsidRDefault="00905543" w:rsidP="00905543">
            <w:pPr>
              <w:spacing w:after="0" w:line="400" w:lineRule="exact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bookmarkStart w:id="5" w:name="星级目标4"/>
            <w:bookmarkEnd w:id="5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FF15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建筑面积</w:t>
            </w:r>
          </w:p>
        </w:tc>
        <w:tc>
          <w:tcPr>
            <w:tcW w:w="8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B7D1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" w:name="总建筑面积4"/>
            <w:bookmarkEnd w:id="6"/>
          </w:p>
        </w:tc>
      </w:tr>
      <w:tr w:rsidR="00905543" w:rsidRPr="00905543" w14:paraId="05A3FC91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9E26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序号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FA4B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报告名称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FFB9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备注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4C5A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0393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条文号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EE13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是否提供</w:t>
            </w:r>
          </w:p>
        </w:tc>
      </w:tr>
      <w:tr w:rsidR="00905543" w:rsidRPr="00905543" w14:paraId="6912BF2A" w14:textId="77777777" w:rsidTr="00905543">
        <w:trPr>
          <w:trHeight w:val="340"/>
        </w:trPr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CEFA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70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30DF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室内污染物浓度预评估报告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AD7F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B79B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945A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3.1.1.9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2389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是■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1EF19F37" w14:textId="77777777" w:rsidTr="00905543">
        <w:trPr>
          <w:trHeight w:val="340"/>
        </w:trPr>
        <w:tc>
          <w:tcPr>
            <w:tcW w:w="3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CB03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FD39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4290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6089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3909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3.4.1.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F02F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是■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04C6908B" w14:textId="77777777" w:rsidTr="00905543">
        <w:trPr>
          <w:trHeight w:val="340"/>
        </w:trPr>
        <w:tc>
          <w:tcPr>
            <w:tcW w:w="3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5C08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7895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D362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29A8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F27A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0054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2434ECC9" w14:textId="77777777" w:rsidTr="00905543">
        <w:trPr>
          <w:trHeight w:val="340"/>
        </w:trPr>
        <w:tc>
          <w:tcPr>
            <w:tcW w:w="3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D69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D7F7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F825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857D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“绿建+健康”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DAB5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30E3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45502C32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C933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887A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装饰性构件造价比例计算书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940B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3F8D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EBDA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3.1.1.16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D9BD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是■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27574565" w14:textId="77777777" w:rsidTr="00905543">
        <w:trPr>
          <w:trHeight w:val="340"/>
        </w:trPr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BC50A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70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6E21D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室内背景噪声分析报告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5A19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48E7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B6EE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3.1.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AB32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是■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0DBEB43A" w14:textId="77777777" w:rsidTr="00905543">
        <w:trPr>
          <w:trHeight w:val="340"/>
        </w:trPr>
        <w:tc>
          <w:tcPr>
            <w:tcW w:w="36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DFAF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10C2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BFFC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00CF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E6F3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3.1.2.22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D8B1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0E3DA5C5" w14:textId="77777777" w:rsidTr="00905543">
        <w:trPr>
          <w:trHeight w:val="340"/>
        </w:trPr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4BCA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70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5691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主要构件隔声性能分析报告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D9A2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" w:name="OLE_LINK43"/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必须提供</w:t>
            </w:r>
            <w:bookmarkEnd w:id="7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0B63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C591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3.1.1.2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1B44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是■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27F9A6E0" w14:textId="77777777" w:rsidTr="00905543">
        <w:trPr>
          <w:trHeight w:val="340"/>
        </w:trPr>
        <w:tc>
          <w:tcPr>
            <w:tcW w:w="3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D1CD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8D06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0E1E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741D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6D18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3.1.2.23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0961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111C5660" w14:textId="77777777" w:rsidTr="00905543">
        <w:trPr>
          <w:trHeight w:val="340"/>
        </w:trPr>
        <w:tc>
          <w:tcPr>
            <w:tcW w:w="3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3A8A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A013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E2A3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694D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“绿建+健康”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9B92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FEE7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36A1B788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A603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8FDE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围护结构结露、防潮、隔热性能计算书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2944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EB17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B2E6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3.1.1.2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0B94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是■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2915B050" w14:textId="77777777" w:rsidTr="00905543">
        <w:trPr>
          <w:trHeight w:val="340"/>
        </w:trPr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AC03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70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CAF5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场地热环境计算报告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02AE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98DA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CBF1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3.1.1.2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C041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是■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610D2BCF" w14:textId="77777777" w:rsidTr="00905543">
        <w:trPr>
          <w:trHeight w:val="340"/>
        </w:trPr>
        <w:tc>
          <w:tcPr>
            <w:tcW w:w="3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9AB4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BAD5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4A19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7FB4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0332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3.6.1.2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64C6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是■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1F92D958" w14:textId="77777777" w:rsidTr="00905543">
        <w:trPr>
          <w:trHeight w:val="340"/>
        </w:trPr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686B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70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B884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公共交通布局示意图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8E00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14:ligatures w14:val="none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7D96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BB18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3.1.1.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6B74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■</w:t>
            </w:r>
            <w:r w:rsidRPr="00905543"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  <w14:ligatures w14:val="none"/>
              </w:rPr>
              <w:t xml:space="preserve">  否□</w:t>
            </w:r>
          </w:p>
        </w:tc>
      </w:tr>
      <w:tr w:rsidR="00905543" w:rsidRPr="00905543" w14:paraId="14465516" w14:textId="77777777" w:rsidTr="00905543">
        <w:trPr>
          <w:trHeight w:val="340"/>
        </w:trPr>
        <w:tc>
          <w:tcPr>
            <w:tcW w:w="36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8CCA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0DC2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B36D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47C9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BE76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3.1.2.9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FF4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24B46F2C" w14:textId="77777777" w:rsidTr="00905543">
        <w:trPr>
          <w:trHeight w:val="340"/>
        </w:trPr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ADE1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70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6316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绿色建材设计应用比例计算书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2269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F577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AECD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3.1.1.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D871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■</w:t>
            </w:r>
            <w:r w:rsidRPr="00905543"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  <w:t xml:space="preserve">  否□</w:t>
            </w:r>
          </w:p>
        </w:tc>
      </w:tr>
      <w:tr w:rsidR="00905543" w:rsidRPr="00905543" w14:paraId="44DE262E" w14:textId="77777777" w:rsidTr="00905543">
        <w:trPr>
          <w:trHeight w:val="340"/>
        </w:trPr>
        <w:tc>
          <w:tcPr>
            <w:tcW w:w="36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9C17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F612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EB8C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2CF0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D369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3.1.2.20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4A3D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47456AF0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B799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48F9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供暖空调全年计算负荷的分析报告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65A3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0DF0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9F07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3.1.1.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A803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■</w:t>
            </w:r>
            <w:r w:rsidRPr="00905543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15D1D2B2" w14:textId="77777777" w:rsidTr="00905543">
        <w:trPr>
          <w:trHeight w:val="340"/>
        </w:trPr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4526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70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B064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建筑碳排放计算分析报告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B993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2D11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D2D7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3.1.1.2</w:t>
            </w:r>
            <w:r w:rsidRPr="0090554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5DF3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■</w:t>
            </w:r>
            <w:r w:rsidRPr="00905543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3EA1CFEE" w14:textId="77777777" w:rsidTr="00905543">
        <w:trPr>
          <w:trHeight w:val="340"/>
        </w:trPr>
        <w:tc>
          <w:tcPr>
            <w:tcW w:w="3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CBE9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8B57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5A34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635A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55DD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3.1.3.4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D41C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40E4DBDC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2A65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533D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可调节外遮阳比例计算书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3D60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72A4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DCE2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3.1.2.8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B226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6279CABF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3511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B258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工业化内装部品用量比例计算书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C09D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1FD0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4EEC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3.1.2.18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91E3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3BA93E52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3F14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B2BB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可再循环材料和可再利用材料、利废建材用量比例计算书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91B4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7EF5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5F58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3.1.2.19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9583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75966260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8A68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A7C7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人均集中绿地面积比例计算书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5A3C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87B6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4140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0840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11EAB894" w14:textId="77777777" w:rsidTr="00905543">
        <w:trPr>
          <w:trHeight w:val="340"/>
        </w:trPr>
        <w:tc>
          <w:tcPr>
            <w:tcW w:w="3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8E8B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70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3DD3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动态采光分析报告、采光系数计算书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9633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EFFE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B339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3.1.2.24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7851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74D2030D" w14:textId="77777777" w:rsidTr="00905543">
        <w:trPr>
          <w:trHeight w:val="363"/>
        </w:trPr>
        <w:tc>
          <w:tcPr>
            <w:tcW w:w="3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7AFB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D419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B3C8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D5FE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“绿建+健康”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60E5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11A7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330F818A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BFB2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F546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通风开口面积比例计算书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5943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4B11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9A8F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3.1.2.25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4438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3972AA76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9496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1A5B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室内自然通风模拟分析报告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F71C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C319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728F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3.1.2.25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BBE5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06AF630B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23EF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587B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声环境优化报告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4E53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AC92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4746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kern w:val="0"/>
                <w:sz w:val="20"/>
                <w:szCs w:val="20"/>
                <w14:ligatures w14:val="none"/>
              </w:rPr>
              <w:t>3.1.2.27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3527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3EC8B284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75F5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02A0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室外风环境模拟分析报告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8F73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15E1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4438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109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7823552E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546F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184B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旧建筑使用专项报告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C754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B419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004D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3.1.3.2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579E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55E52628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7CEF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C440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建设工程质量保险产品投保计划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6AC07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5B19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A3E4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3.1.3.5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3F68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1882A6B1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59E3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30A4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结构规则性判定报告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E3A6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8D5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结构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5A80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3.2.1.4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C422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是■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3163F208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1839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1B63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抗震性能设计或采用隔震、消能减震技术的报告或证明材料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7E93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BCF2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结构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61C7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3.2.2.1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0297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3B95EE74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8E60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DCBE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各类材料用量比例计算书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40E3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2681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结构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0FE5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3.2.2.3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A5FB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7D5D82E2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9BA3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9EDA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预制构件应用混凝土体积占混凝土总体积比例的计算书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E19E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55AC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结构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99C9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3.2.3.1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8AA6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487B9D96" w14:textId="77777777" w:rsidTr="00905543">
        <w:trPr>
          <w:trHeight w:val="340"/>
        </w:trPr>
        <w:tc>
          <w:tcPr>
            <w:tcW w:w="3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3200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170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04CD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可再生能源利用率计算书</w:t>
            </w:r>
          </w:p>
        </w:tc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0929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4BDC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1CFC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3.3.2.7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D575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05DA98F6" w14:textId="77777777" w:rsidTr="00905543">
        <w:trPr>
          <w:trHeight w:val="340"/>
        </w:trPr>
        <w:tc>
          <w:tcPr>
            <w:tcW w:w="3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513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AC8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935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AB56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E815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3EA2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4C52B654" w14:textId="77777777" w:rsidTr="00905543">
        <w:trPr>
          <w:trHeight w:val="300"/>
        </w:trPr>
        <w:tc>
          <w:tcPr>
            <w:tcW w:w="3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AD11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0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09E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367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E5E20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B9A2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3.5.2.7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744A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7865DCA8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9CB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17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F1E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室内热环境分析报告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EC5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1424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9AAD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BC15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6FA60C3C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F0AF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7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5BD1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建筑能耗模拟分析报告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F1B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95D1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4CE8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3.4.2.7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44AC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5CD56CAF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0465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709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865A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供暖空调系统能耗节能率分析报告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FB76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B525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3AE3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FA4E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71A524D1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755B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FDC5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生态修复方案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3E7EB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500B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8ED87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3.6.2.3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D42B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23451E43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26AEC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CC976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绿地及透水铺装比例计算书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972A8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0791D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31E75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3.6.2.5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44EE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6D49D22D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6B85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AF72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遮阴比例计算书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8CF0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A8E51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2864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3.6.2.7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71FB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  <w:tr w:rsidR="00905543" w:rsidRPr="00905543" w14:paraId="2A69B18A" w14:textId="77777777" w:rsidTr="00905543">
        <w:trPr>
          <w:trHeight w:val="340"/>
        </w:trPr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108DA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Pr="00905543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7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D5A73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绿容率计算书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3E404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F390F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CB27E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3.6.3.1</w:t>
            </w:r>
          </w:p>
        </w:tc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84E89" w14:textId="77777777" w:rsidR="00905543" w:rsidRPr="00905543" w:rsidRDefault="00905543" w:rsidP="00905543">
            <w:pPr>
              <w:widowControl/>
              <w:spacing w:after="0" w:line="400" w:lineRule="exact"/>
              <w:jc w:val="both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 </w:t>
            </w:r>
            <w:r w:rsidRPr="00905543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905543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</w:tr>
    </w:tbl>
    <w:bookmarkEnd w:id="0"/>
    <w:p w14:paraId="33CCD7D2" w14:textId="77777777" w:rsidR="00905543" w:rsidRPr="00905543" w:rsidRDefault="00905543" w:rsidP="00905543">
      <w:pPr>
        <w:spacing w:after="0" w:line="400" w:lineRule="exact"/>
        <w:jc w:val="center"/>
        <w:rPr>
          <w:rFonts w:ascii="Times New Roman" w:eastAsia="宋体" w:hAnsi="Times New Roman" w:cs="Times New Roman"/>
          <w:sz w:val="15"/>
          <w:szCs w:val="15"/>
          <w14:ligatures w14:val="none"/>
        </w:rPr>
      </w:pPr>
      <w:r w:rsidRPr="00905543">
        <w:rPr>
          <w:rFonts w:ascii="Times New Roman" w:eastAsia="宋体" w:hAnsi="Times New Roman" w:cs="Times New Roman" w:hint="eastAsia"/>
          <w:sz w:val="20"/>
          <w:szCs w:val="20"/>
          <w14:ligatures w14:val="none"/>
        </w:rPr>
        <w:t>（设计单位盖章）</w:t>
      </w:r>
      <w:r w:rsidRPr="00905543">
        <w:rPr>
          <w:rFonts w:ascii="Times New Roman" w:eastAsia="宋体" w:hAnsi="Times New Roman" w:cs="Times New Roman"/>
          <w:sz w:val="20"/>
          <w:szCs w:val="20"/>
          <w14:ligatures w14:val="none"/>
        </w:rPr>
        <w:t xml:space="preserve">                                </w:t>
      </w:r>
      <w:bookmarkStart w:id="8" w:name="设计日期3"/>
      <w:bookmarkEnd w:id="8"/>
    </w:p>
    <w:p w14:paraId="54806137" w14:textId="77777777" w:rsidR="00905543" w:rsidRPr="00905543" w:rsidRDefault="00905543" w:rsidP="00905543">
      <w:pPr>
        <w:spacing w:after="0" w:line="400" w:lineRule="exact"/>
        <w:rPr>
          <w:rFonts w:ascii="等线" w:eastAsia="等线" w:hAnsi="等线" w:cs="Times New Roman" w:hint="eastAsia"/>
          <w:kern w:val="0"/>
          <w:sz w:val="20"/>
          <w:szCs w:val="20"/>
          <w14:ligatures w14:val="none"/>
        </w:rPr>
      </w:pPr>
      <w:r w:rsidRPr="00905543">
        <w:rPr>
          <w:rFonts w:ascii="Times New Roman" w:eastAsia="宋体" w:hAnsi="Times New Roman" w:cs="Times New Roman" w:hint="eastAsia"/>
          <w:sz w:val="20"/>
          <w:szCs w:val="20"/>
          <w14:ligatures w14:val="none"/>
        </w:rPr>
        <w:t>注：本表由设计单位填写，加粗字体的报告为控制项条文对应的论证报告。</w:t>
      </w:r>
    </w:p>
    <w:p w14:paraId="5C1E5139" w14:textId="77777777" w:rsidR="00A618E4" w:rsidRPr="00905543" w:rsidRDefault="00A618E4" w:rsidP="00905543">
      <w:pPr>
        <w:spacing w:after="0" w:line="400" w:lineRule="exact"/>
        <w:rPr>
          <w:rFonts w:hint="eastAsia"/>
        </w:rPr>
      </w:pPr>
    </w:p>
    <w:sectPr w:rsidR="00A618E4" w:rsidRPr="00905543" w:rsidSect="00905543">
      <w:pgSz w:w="16838" w:h="23811" w:code="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1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43"/>
    <w:rsid w:val="006860A2"/>
    <w:rsid w:val="007E5EFD"/>
    <w:rsid w:val="00905543"/>
    <w:rsid w:val="00966240"/>
    <w:rsid w:val="00A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4D8B"/>
  <w15:chartTrackingRefBased/>
  <w15:docId w15:val="{98113FBB-7D98-4481-A65A-C5B2FC1A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55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5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4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4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54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5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5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5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54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5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5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554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554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554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55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55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55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55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5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55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55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5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554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554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55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2025-04-27T09:42:00Z</dcterms:created>
  <dcterms:modified xsi:type="dcterms:W3CDTF">2025-04-27T09:44:00Z</dcterms:modified>
</cp:coreProperties>
</file>